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orizontalLine"/>
        <w:bidi w:val="0"/>
        <w:jc w:val="left"/>
        <w:rPr/>
      </w:pPr>
      <w:r>
        <w:rPr/>
      </w:r>
    </w:p>
    <w:p>
      <w:pPr>
        <w:pStyle w:val="TextBody"/>
        <w:bidi w:val="0"/>
        <w:spacing w:before="0" w:after="0"/>
        <w:jc w:val="center"/>
        <w:rPr>
          <w:rFonts w:ascii="Times New Roman" w:hAnsi="Times New Roman"/>
          <w:b/>
          <w:color w:val="000000"/>
          <w:sz w:val="28"/>
          <w:shd w:fill="FFFFFF" w:val="clear"/>
        </w:rPr>
      </w:pPr>
      <w:r>
        <w:rPr>
          <w:rFonts w:ascii="Times New Roman" w:hAnsi="Times New Roman"/>
          <w:b/>
          <w:color w:val="000000"/>
          <w:sz w:val="28"/>
          <w:shd w:fill="FFFFFF" w:val="clear"/>
        </w:rPr>
        <w:t>UNITED STATES</w:t>
      </w:r>
    </w:p>
    <w:p>
      <w:pPr>
        <w:pStyle w:val="TextBody"/>
        <w:bidi w:val="0"/>
        <w:spacing w:before="0" w:after="0"/>
        <w:jc w:val="center"/>
        <w:rPr>
          <w:rFonts w:ascii="Times New Roman" w:hAnsi="Times New Roman"/>
          <w:b/>
          <w:color w:val="000000"/>
          <w:sz w:val="28"/>
          <w:shd w:fill="FFFFFF" w:val="clear"/>
        </w:rPr>
      </w:pPr>
      <w:r>
        <w:rPr>
          <w:rFonts w:ascii="Times New Roman" w:hAnsi="Times New Roman"/>
          <w:b/>
          <w:color w:val="000000"/>
          <w:sz w:val="28"/>
          <w:shd w:fill="FFFFFF" w:val="clear"/>
        </w:rPr>
        <w:t>SECURITIES AND EXCHANGE COMMISSION</w:t>
      </w:r>
    </w:p>
    <w:p>
      <w:pPr>
        <w:pStyle w:val="TextBody"/>
        <w:bidi w:val="0"/>
        <w:spacing w:before="0" w:after="0"/>
        <w:jc w:val="center"/>
        <w:rPr>
          <w:rFonts w:ascii="Times New Roman" w:hAnsi="Times New Roman"/>
          <w:b/>
          <w:color w:val="000000"/>
          <w:sz w:val="24"/>
          <w:shd w:fill="FFFFFF" w:val="clear"/>
        </w:rPr>
      </w:pPr>
      <w:r>
        <w:rPr>
          <w:rFonts w:ascii="Times New Roman" w:hAnsi="Times New Roman"/>
          <w:b/>
          <w:color w:val="000000"/>
          <w:sz w:val="24"/>
          <w:shd w:fill="FFFFFF" w:val="clear"/>
        </w:rPr>
        <w:t>Washington, D.C. 20549</w:t>
      </w:r>
    </w:p>
    <w:p>
      <w:pPr>
        <w:pStyle w:val="TextBody"/>
        <w:bidi w:val="0"/>
        <w:spacing w:before="0" w:after="0"/>
        <w:jc w:val="center"/>
        <w:rPr>
          <w:color w:val="000000"/>
          <w:shd w:fill="FFFFFF" w:val="clear"/>
        </w:rPr>
      </w:pPr>
      <w:r>
        <w:rPr>
          <w:color w:val="000000"/>
          <w:shd w:fill="FFFFFF" w:val="clear"/>
        </w:rPr>
        <w:t xml:space="preserve">  </w:t>
      </w:r>
    </w:p>
    <w:p>
      <w:pPr>
        <w:pStyle w:val="HorizontalLine"/>
        <w:bidi w:val="0"/>
        <w:jc w:val="center"/>
        <w:rPr/>
      </w:pPr>
      <w:r>
        <w:rPr/>
      </w:r>
    </w:p>
    <w:p>
      <w:pPr>
        <w:pStyle w:val="TextBody"/>
        <w:bidi w:val="0"/>
        <w:jc w:val="center"/>
        <w:rPr>
          <w:rFonts w:ascii="Times New Roman" w:hAnsi="Times New Roman"/>
          <w:b w:val="false"/>
          <w:color w:val="000000"/>
          <w:sz w:val="20"/>
          <w:shd w:fill="FFFFFF" w:val="clear"/>
        </w:rPr>
      </w:pPr>
      <w:r>
        <w:rPr>
          <w:rFonts w:ascii="Times New Roman" w:hAnsi="Times New Roman"/>
          <w:b/>
          <w:color w:val="000000"/>
          <w:sz w:val="36"/>
          <w:shd w:fill="FFFFFF" w:val="clear"/>
        </w:rPr>
        <w:t>FORM 10-Q</w:t>
      </w:r>
      <w:r>
        <w:rPr>
          <w:rFonts w:ascii="Times New Roman" w:hAnsi="Times New Roman"/>
          <w:b w:val="false"/>
          <w:color w:val="000000"/>
          <w:sz w:val="20"/>
          <w:shd w:fill="FFFFFF" w:val="clear"/>
        </w:rPr>
        <w:t xml:space="preserve"> </w:t>
      </w:r>
    </w:p>
    <w:p>
      <w:pPr>
        <w:pStyle w:val="HorizontalLine"/>
        <w:bidi w:val="0"/>
        <w:jc w:val="center"/>
        <w:rPr/>
      </w:pPr>
      <w:r>
        <w:rPr/>
      </w:r>
    </w:p>
    <w:p>
      <w:pPr>
        <w:pStyle w:val="TextBody"/>
        <w:bidi w:val="0"/>
        <w:spacing w:before="0" w:after="0"/>
        <w:jc w:val="left"/>
        <w:rPr/>
      </w:pPr>
      <w:r>
        <w:rPr/>
      </w:r>
    </w:p>
    <w:tbl>
      <w:tblPr>
        <w:tblW w:w="10135" w:type="dxa"/>
        <w:jc w:val="left"/>
        <w:tblInd w:w="0" w:type="dxa"/>
        <w:tblLayout w:type="fixed"/>
        <w:tblCellMar>
          <w:top w:w="0" w:type="dxa"/>
          <w:left w:w="0" w:type="dxa"/>
          <w:bottom w:w="0" w:type="dxa"/>
          <w:right w:w="0" w:type="dxa"/>
        </w:tblCellMar>
      </w:tblPr>
      <w:tblGrid>
        <w:gridCol w:w="245"/>
        <w:gridCol w:w="9890"/>
      </w:tblGrid>
      <w:tr>
        <w:trPr/>
        <w:tc>
          <w:tcPr>
            <w:tcW w:w="245" w:type="dxa"/>
            <w:tcBorders/>
            <w:vAlign w:val="center"/>
          </w:tcPr>
          <w:p>
            <w:pPr>
              <w:pStyle w:val="TableContents"/>
              <w:bidi w:val="0"/>
              <w:spacing w:before="0" w:after="0"/>
              <w:jc w:val="center"/>
              <w:rPr>
                <w:color w:val="000000"/>
              </w:rPr>
            </w:pPr>
            <w:r>
              <w:rPr>
                <w:color w:val="000000"/>
              </w:rPr>
              <w:t>☒</w:t>
            </w:r>
          </w:p>
        </w:tc>
        <w:tc>
          <w:tcPr>
            <w:tcW w:w="9890" w:type="dxa"/>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QUARTERLY REPORT PURSUANT TO SECTION 13 OR 15(d) OF THE SECURITIES EXCHANGE ACT OF 1934</w:t>
            </w:r>
          </w:p>
        </w:tc>
      </w:tr>
    </w:tbl>
    <w:p>
      <w:pPr>
        <w:pStyle w:val="TextBody"/>
        <w:bidi w:val="0"/>
        <w:spacing w:before="0" w:after="0"/>
        <w:jc w:val="left"/>
        <w:rPr/>
      </w:pPr>
      <w:r>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For the Quarterly Period Ended September 30, 2023</w:t>
      </w:r>
    </w:p>
    <w:p>
      <w:pPr>
        <w:pStyle w:val="TextBody"/>
        <w:bidi w:val="0"/>
        <w:spacing w:before="0" w:after="0"/>
        <w:jc w:val="center"/>
        <w:rPr/>
      </w:pPr>
      <w:r>
        <w:rPr/>
      </w:r>
    </w:p>
    <w:tbl>
      <w:tblPr>
        <w:tblW w:w="10120" w:type="dxa"/>
        <w:jc w:val="left"/>
        <w:tblInd w:w="0" w:type="dxa"/>
        <w:tblLayout w:type="fixed"/>
        <w:tblCellMar>
          <w:top w:w="0" w:type="dxa"/>
          <w:left w:w="0" w:type="dxa"/>
          <w:bottom w:w="0" w:type="dxa"/>
          <w:right w:w="0" w:type="dxa"/>
        </w:tblCellMar>
      </w:tblPr>
      <w:tblGrid>
        <w:gridCol w:w="245"/>
        <w:gridCol w:w="9875"/>
      </w:tblGrid>
      <w:tr>
        <w:trPr/>
        <w:tc>
          <w:tcPr>
            <w:tcW w:w="245" w:type="dxa"/>
            <w:tcBorders/>
            <w:vAlign w:val="center"/>
          </w:tcPr>
          <w:p>
            <w:pPr>
              <w:pStyle w:val="TableContents"/>
              <w:bidi w:val="0"/>
              <w:spacing w:before="0" w:after="0"/>
              <w:jc w:val="center"/>
              <w:rPr>
                <w:color w:val="000000"/>
              </w:rPr>
            </w:pPr>
            <w:r>
              <w:rPr>
                <w:color w:val="000000"/>
              </w:rPr>
              <w:t>☐</w:t>
            </w:r>
          </w:p>
        </w:tc>
        <w:tc>
          <w:tcPr>
            <w:tcW w:w="9875" w:type="dxa"/>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TRANSITION REPORT PURSUANT TO SECTION 13 OR 15(d) OF THE SECURITIES EXCHANGE ACT OF 1934</w:t>
            </w:r>
          </w:p>
        </w:tc>
      </w:tr>
    </w:tbl>
    <w:p>
      <w:pPr>
        <w:pStyle w:val="TextBody"/>
        <w:bidi w:val="0"/>
        <w:spacing w:before="0" w:after="0"/>
        <w:jc w:val="left"/>
        <w:rPr/>
      </w:pPr>
      <w:r>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For the transition period from ___________ to ___________</w:t>
      </w:r>
    </w:p>
    <w:p>
      <w:pPr>
        <w:pStyle w:val="TextBody"/>
        <w:bidi w:val="0"/>
        <w:spacing w:before="0" w:after="0"/>
        <w:jc w:val="left"/>
        <w:rPr/>
      </w:pPr>
      <w:r>
        <w:rPr/>
      </w:r>
    </w:p>
    <w:p>
      <w:pPr>
        <w:pStyle w:val="TextBody"/>
        <w:bidi w:val="0"/>
        <w:jc w:val="center"/>
        <w:rPr>
          <w:rFonts w:ascii="Times New Roman" w:hAnsi="Times New Roman"/>
          <w:b/>
          <w:color w:val="000000"/>
          <w:sz w:val="20"/>
          <w:shd w:fill="FFFFFF" w:val="clear"/>
        </w:rPr>
      </w:pPr>
      <w:r>
        <w:rPr>
          <w:rFonts w:ascii="Times New Roman" w:hAnsi="Times New Roman"/>
          <w:b/>
          <w:color w:val="000000"/>
          <w:sz w:val="20"/>
          <w:shd w:fill="FFFFFF" w:val="clear"/>
        </w:rPr>
        <w:t>Commission File Number: 001-40566</w:t>
      </w:r>
    </w:p>
    <w:p>
      <w:pPr>
        <w:pStyle w:val="HorizontalLine"/>
        <w:bidi w:val="0"/>
        <w:jc w:val="center"/>
        <w:rPr/>
      </w:pPr>
      <w:r>
        <w:rPr/>
      </w:r>
    </w:p>
    <w:p>
      <w:pPr>
        <w:pStyle w:val="TextBody"/>
        <w:bidi w:val="0"/>
        <w:spacing w:before="0" w:after="0"/>
        <w:jc w:val="center"/>
        <w:rPr>
          <w:rFonts w:ascii="Times New Roman" w:hAnsi="Times New Roman"/>
          <w:b/>
          <w:color w:val="000000"/>
          <w:sz w:val="36"/>
          <w:shd w:fill="FFFFFF" w:val="clear"/>
        </w:rPr>
      </w:pPr>
      <w:r>
        <w:rPr>
          <w:rFonts w:ascii="Times New Roman" w:hAnsi="Times New Roman"/>
          <w:b/>
          <w:color w:val="000000"/>
          <w:sz w:val="36"/>
          <w:shd w:fill="FFFFFF" w:val="clear"/>
        </w:rPr>
        <w:t>TABOOLA.COM LTD.</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(Exact name of registrant as specified in its charter)</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r>
    </w:p>
    <w:p>
      <w:pPr>
        <w:pStyle w:val="HorizontalLine"/>
        <w:bidi w:val="0"/>
        <w:jc w:val="center"/>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r>
    </w:p>
    <w:tbl>
      <w:tblPr>
        <w:tblW w:w="4855" w:type="dxa"/>
        <w:jc w:val="left"/>
        <w:tblInd w:w="0" w:type="dxa"/>
        <w:tblLayout w:type="fixed"/>
        <w:tblCellMar>
          <w:top w:w="0" w:type="dxa"/>
          <w:left w:w="0" w:type="dxa"/>
          <w:bottom w:w="0" w:type="dxa"/>
          <w:right w:w="0" w:type="dxa"/>
        </w:tblCellMar>
      </w:tblPr>
      <w:tblGrid>
        <w:gridCol w:w="3290"/>
        <w:gridCol w:w="1565"/>
      </w:tblGrid>
      <w:tr>
        <w:trPr/>
        <w:tc>
          <w:tcPr>
            <w:tcW w:w="3290"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Israel</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(State or other jurisdiction of</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incorporation or organization)</w:t>
            </w:r>
          </w:p>
        </w:tc>
        <w:tc>
          <w:tcPr>
            <w:tcW w:w="1565"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Not Applicable</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(I.R.S. Employer</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Identification No.)</w:t>
            </w:r>
          </w:p>
        </w:tc>
      </w:tr>
      <w:tr>
        <w:trPr/>
        <w:tc>
          <w:tcPr>
            <w:tcW w:w="3290" w:type="dxa"/>
            <w:tcBorders/>
            <w:vAlign w:val="center"/>
          </w:tcPr>
          <w:p>
            <w:pPr>
              <w:pStyle w:val="TableContents"/>
              <w:bidi w:val="0"/>
              <w:spacing w:before="0" w:after="0"/>
              <w:jc w:val="left"/>
              <w:rPr/>
            </w:pPr>
            <w:r>
              <w:rPr/>
              <w:t> </w:t>
            </w:r>
          </w:p>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16 Madison Square West</w:t>
            </w:r>
          </w:p>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7th Floor</w:t>
            </w:r>
          </w:p>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New York, NY</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(Address of principal executive offices)</w:t>
            </w:r>
          </w:p>
        </w:tc>
        <w:tc>
          <w:tcPr>
            <w:tcW w:w="1565"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10010</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(Zip code)</w:t>
            </w:r>
          </w:p>
        </w:tc>
      </w:tr>
      <w:tr>
        <w:trPr/>
        <w:tc>
          <w:tcPr>
            <w:tcW w:w="4855" w:type="dxa"/>
            <w:gridSpan w:val="2"/>
            <w:tcBorders/>
            <w:vAlign w:val="center"/>
          </w:tcPr>
          <w:p>
            <w:pPr>
              <w:pStyle w:val="TableContents"/>
              <w:bidi w:val="0"/>
              <w:spacing w:before="0" w:after="0"/>
              <w:jc w:val="left"/>
              <w:rPr/>
            </w:pPr>
            <w:r>
              <w:rPr/>
              <w:t> </w:t>
            </w:r>
          </w:p>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212-206-7633</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(Registrant’s telephone number, including area code)</w:t>
            </w:r>
          </w:p>
        </w:tc>
      </w:tr>
    </w:tbl>
    <w:p>
      <w:pPr>
        <w:pStyle w:val="TextBody"/>
        <w:bidi w:val="0"/>
        <w:spacing w:before="0" w:after="0"/>
        <w:jc w:val="left"/>
        <w:rPr/>
      </w:pPr>
      <w:r>
        <w:rPr/>
      </w:r>
    </w:p>
    <w:p>
      <w:pPr>
        <w:pStyle w:val="HorizontalLine"/>
        <w:bidi w:val="0"/>
        <w:jc w:val="left"/>
        <w:rPr/>
      </w:pPr>
      <w:r>
        <w:rPr/>
      </w:r>
    </w:p>
    <w:p>
      <w:pPr>
        <w:pStyle w:val="TextBody"/>
        <w:bidi w:val="0"/>
        <w:spacing w:before="0" w:after="0"/>
        <w:jc w:val="left"/>
        <w:rPr/>
      </w:pPr>
      <w:r>
        <w:rPr/>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Securities registered pursuant to Section 12(b) of the Act:</w:t>
      </w:r>
    </w:p>
    <w:tbl>
      <w:tblPr>
        <w:tblW w:w="7725" w:type="dxa"/>
        <w:jc w:val="left"/>
        <w:tblInd w:w="0" w:type="dxa"/>
        <w:tblLayout w:type="fixed"/>
        <w:tblCellMar>
          <w:top w:w="0" w:type="dxa"/>
          <w:left w:w="0" w:type="dxa"/>
          <w:bottom w:w="0" w:type="dxa"/>
          <w:right w:w="0" w:type="dxa"/>
        </w:tblCellMar>
      </w:tblPr>
      <w:tblGrid>
        <w:gridCol w:w="3035"/>
        <w:gridCol w:w="60"/>
        <w:gridCol w:w="860"/>
        <w:gridCol w:w="60"/>
        <w:gridCol w:w="3710"/>
      </w:tblGrid>
      <w:tr>
        <w:trPr/>
        <w:tc>
          <w:tcPr>
            <w:tcW w:w="3035" w:type="dxa"/>
            <w:tcBorders/>
            <w:vAlign w:val="center"/>
          </w:tcPr>
          <w:p>
            <w:pPr>
              <w:pStyle w:val="TableContents"/>
              <w:bidi w:val="0"/>
              <w:spacing w:before="0" w:after="0"/>
              <w:jc w:val="center"/>
              <w:rPr>
                <w:color w:val="000000"/>
              </w:rPr>
            </w:pPr>
            <w:r>
              <w:rPr>
                <w:color w:val="000000"/>
              </w:rPr>
              <w:t> </w:t>
            </w:r>
          </w:p>
        </w:tc>
        <w:tc>
          <w:tcPr>
            <w:tcW w:w="60" w:type="dxa"/>
            <w:tcBorders/>
            <w:vAlign w:val="center"/>
          </w:tcPr>
          <w:p>
            <w:pPr>
              <w:pStyle w:val="TableContents"/>
              <w:bidi w:val="0"/>
              <w:spacing w:before="0" w:after="0"/>
              <w:jc w:val="center"/>
              <w:rPr>
                <w:color w:val="000000"/>
              </w:rPr>
            </w:pPr>
            <w:r>
              <w:rPr>
                <w:color w:val="000000"/>
              </w:rPr>
              <w:t> </w:t>
            </w:r>
          </w:p>
        </w:tc>
        <w:tc>
          <w:tcPr>
            <w:tcW w:w="860" w:type="dxa"/>
            <w:tcBorders/>
            <w:vAlign w:val="center"/>
          </w:tcPr>
          <w:p>
            <w:pPr>
              <w:pStyle w:val="TableContents"/>
              <w:bidi w:val="0"/>
              <w:spacing w:before="0" w:after="0"/>
              <w:jc w:val="center"/>
              <w:rPr>
                <w:color w:val="000000"/>
              </w:rPr>
            </w:pPr>
            <w:r>
              <w:rPr>
                <w:color w:val="000000"/>
              </w:rPr>
              <w:t> </w:t>
            </w:r>
          </w:p>
        </w:tc>
        <w:tc>
          <w:tcPr>
            <w:tcW w:w="60" w:type="dxa"/>
            <w:tcBorders/>
            <w:vAlign w:val="center"/>
          </w:tcPr>
          <w:p>
            <w:pPr>
              <w:pStyle w:val="TableContents"/>
              <w:bidi w:val="0"/>
              <w:spacing w:before="0" w:after="0"/>
              <w:jc w:val="center"/>
              <w:rPr>
                <w:color w:val="000000"/>
              </w:rPr>
            </w:pPr>
            <w:r>
              <w:rPr>
                <w:color w:val="000000"/>
              </w:rPr>
              <w:t> </w:t>
            </w:r>
          </w:p>
        </w:tc>
        <w:tc>
          <w:tcPr>
            <w:tcW w:w="3710" w:type="dxa"/>
            <w:tcBorders/>
            <w:vAlign w:val="center"/>
          </w:tcPr>
          <w:p>
            <w:pPr>
              <w:pStyle w:val="TableContents"/>
              <w:bidi w:val="0"/>
              <w:spacing w:before="0" w:after="0"/>
              <w:jc w:val="center"/>
              <w:rPr>
                <w:color w:val="000000"/>
              </w:rPr>
            </w:pPr>
            <w:r>
              <w:rPr>
                <w:color w:val="000000"/>
              </w:rPr>
              <w:t> </w:t>
            </w:r>
          </w:p>
        </w:tc>
      </w:tr>
      <w:tr>
        <w:trPr/>
        <w:tc>
          <w:tcPr>
            <w:tcW w:w="3035" w:type="dxa"/>
            <w:tcBorders>
              <w:bottom w:val="single" w:sz="12" w:space="0" w:color="000000"/>
            </w:tcBorders>
            <w:tcMar>
              <w:bottom w:w="28" w:type="dxa"/>
            </w:tcMar>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Title of each class</w:t>
            </w:r>
          </w:p>
        </w:tc>
        <w:tc>
          <w:tcPr>
            <w:tcW w:w="60" w:type="dxa"/>
            <w:tcBorders/>
            <w:vAlign w:val="center"/>
          </w:tcPr>
          <w:p>
            <w:pPr>
              <w:pStyle w:val="TableContents"/>
              <w:bidi w:val="0"/>
              <w:spacing w:before="0" w:after="0"/>
              <w:jc w:val="center"/>
              <w:rPr>
                <w:color w:val="000000"/>
              </w:rPr>
            </w:pPr>
            <w:r>
              <w:rPr>
                <w:color w:val="000000"/>
              </w:rPr>
              <w:t> </w:t>
            </w:r>
          </w:p>
        </w:tc>
        <w:tc>
          <w:tcPr>
            <w:tcW w:w="860" w:type="dxa"/>
            <w:tcBorders>
              <w:bottom w:val="single" w:sz="12" w:space="0" w:color="000000"/>
            </w:tcBorders>
            <w:tcMar>
              <w:bottom w:w="28" w:type="dxa"/>
            </w:tcMar>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Trading</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Symbol(s)</w:t>
            </w:r>
          </w:p>
        </w:tc>
        <w:tc>
          <w:tcPr>
            <w:tcW w:w="60" w:type="dxa"/>
            <w:tcBorders/>
            <w:vAlign w:val="center"/>
          </w:tcPr>
          <w:p>
            <w:pPr>
              <w:pStyle w:val="TableContents"/>
              <w:bidi w:val="0"/>
              <w:spacing w:before="0" w:after="0"/>
              <w:jc w:val="center"/>
              <w:rPr>
                <w:color w:val="000000"/>
              </w:rPr>
            </w:pPr>
            <w:r>
              <w:rPr>
                <w:color w:val="000000"/>
              </w:rPr>
              <w:t> </w:t>
            </w:r>
          </w:p>
        </w:tc>
        <w:tc>
          <w:tcPr>
            <w:tcW w:w="3710" w:type="dxa"/>
            <w:tcBorders>
              <w:bottom w:val="single" w:sz="12" w:space="0" w:color="000000"/>
            </w:tcBorders>
            <w:tcMar>
              <w:bottom w:w="28" w:type="dxa"/>
            </w:tcMar>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Name of each exchange on which registered</w:t>
            </w:r>
          </w:p>
        </w:tc>
      </w:tr>
      <w:tr>
        <w:trPr/>
        <w:tc>
          <w:tcPr>
            <w:tcW w:w="3035"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Ordinary shares, no par value</w:t>
            </w:r>
          </w:p>
        </w:tc>
        <w:tc>
          <w:tcPr>
            <w:tcW w:w="60" w:type="dxa"/>
            <w:tcBorders/>
            <w:vAlign w:val="center"/>
          </w:tcPr>
          <w:p>
            <w:pPr>
              <w:pStyle w:val="TableContents"/>
              <w:bidi w:val="0"/>
              <w:spacing w:before="0" w:after="0"/>
              <w:jc w:val="center"/>
              <w:rPr>
                <w:color w:val="000000"/>
              </w:rPr>
            </w:pPr>
            <w:r>
              <w:rPr>
                <w:color w:val="000000"/>
              </w:rPr>
              <w:t> </w:t>
            </w:r>
          </w:p>
        </w:tc>
        <w:tc>
          <w:tcPr>
            <w:tcW w:w="860"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TBLA</w:t>
            </w:r>
          </w:p>
        </w:tc>
        <w:tc>
          <w:tcPr>
            <w:tcW w:w="60" w:type="dxa"/>
            <w:tcBorders/>
            <w:vAlign w:val="center"/>
          </w:tcPr>
          <w:p>
            <w:pPr>
              <w:pStyle w:val="TableContents"/>
              <w:bidi w:val="0"/>
              <w:spacing w:before="0" w:after="0"/>
              <w:jc w:val="center"/>
              <w:rPr>
                <w:color w:val="000000"/>
              </w:rPr>
            </w:pPr>
            <w:r>
              <w:rPr>
                <w:color w:val="000000"/>
              </w:rPr>
              <w:t> </w:t>
            </w:r>
          </w:p>
        </w:tc>
        <w:tc>
          <w:tcPr>
            <w:tcW w:w="3710"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The Nasdaq Global Market</w:t>
            </w:r>
          </w:p>
        </w:tc>
      </w:tr>
      <w:tr>
        <w:trPr/>
        <w:tc>
          <w:tcPr>
            <w:tcW w:w="3035"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Warrants to purchase Ordinary shares</w:t>
            </w:r>
          </w:p>
        </w:tc>
        <w:tc>
          <w:tcPr>
            <w:tcW w:w="60" w:type="dxa"/>
            <w:tcBorders/>
            <w:vAlign w:val="center"/>
          </w:tcPr>
          <w:p>
            <w:pPr>
              <w:pStyle w:val="TableContents"/>
              <w:bidi w:val="0"/>
              <w:spacing w:before="0" w:after="0"/>
              <w:jc w:val="center"/>
              <w:rPr>
                <w:color w:val="000000"/>
              </w:rPr>
            </w:pPr>
            <w:r>
              <w:rPr>
                <w:color w:val="000000"/>
              </w:rPr>
              <w:t> </w:t>
            </w:r>
          </w:p>
        </w:tc>
        <w:tc>
          <w:tcPr>
            <w:tcW w:w="860"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TBLAW</w:t>
            </w:r>
          </w:p>
        </w:tc>
        <w:tc>
          <w:tcPr>
            <w:tcW w:w="60" w:type="dxa"/>
            <w:tcBorders/>
            <w:vAlign w:val="center"/>
          </w:tcPr>
          <w:p>
            <w:pPr>
              <w:pStyle w:val="TableContents"/>
              <w:bidi w:val="0"/>
              <w:spacing w:before="0" w:after="0"/>
              <w:jc w:val="center"/>
              <w:rPr>
                <w:color w:val="000000"/>
              </w:rPr>
            </w:pPr>
            <w:r>
              <w:rPr>
                <w:color w:val="000000"/>
              </w:rPr>
              <w:t> </w:t>
            </w:r>
          </w:p>
        </w:tc>
        <w:tc>
          <w:tcPr>
            <w:tcW w:w="3710"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The Nasdaq Global Market</w:t>
            </w:r>
          </w:p>
        </w:tc>
      </w:tr>
    </w:tbl>
    <w:p>
      <w:pPr>
        <w:pStyle w:val="TextBody"/>
        <w:bidi w:val="0"/>
        <w:spacing w:before="0" w:after="0"/>
        <w:jc w:val="left"/>
        <w:rPr/>
      </w:pPr>
      <w:r>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Securities registered pursuant to Section 12(g) of the Act: None</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pStyle w:val="TextBody"/>
        <w:bidi w:val="0"/>
        <w:spacing w:before="0" w:after="0"/>
        <w:jc w:val="left"/>
        <w:rPr>
          <w:color w:val="000000"/>
          <w:shd w:fill="FFFFFF" w:val="clear"/>
        </w:rPr>
      </w:pPr>
      <w:r>
        <w:rPr>
          <w:color w:val="000000"/>
          <w:shd w:fill="FFFFFF" w:val="clear"/>
        </w:rPr>
        <w:t xml:space="preserve">☒ </w:t>
      </w:r>
      <w:r>
        <w:rPr>
          <w:rFonts w:ascii="Times New Roman" w:hAnsi="Times New Roman"/>
          <w:color w:val="000000"/>
          <w:sz w:val="20"/>
          <w:shd w:fill="FFFFFF" w:val="clear"/>
        </w:rPr>
        <w:t>Yes ☐ No</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 Yes ☐ No</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jc w:val="left"/>
        <w:rPr/>
      </w:pPr>
      <w:r>
        <w:rPr/>
      </w:r>
    </w:p>
    <w:tbl>
      <w:tblPr>
        <w:tblW w:w="4595" w:type="dxa"/>
        <w:jc w:val="left"/>
        <w:tblInd w:w="0" w:type="dxa"/>
        <w:tblLayout w:type="fixed"/>
        <w:tblCellMar>
          <w:top w:w="0" w:type="dxa"/>
          <w:left w:w="0" w:type="dxa"/>
          <w:bottom w:w="0" w:type="dxa"/>
          <w:right w:w="0" w:type="dxa"/>
        </w:tblCellMar>
      </w:tblPr>
      <w:tblGrid>
        <w:gridCol w:w="1835"/>
        <w:gridCol w:w="230"/>
        <w:gridCol w:w="60"/>
        <w:gridCol w:w="2225"/>
        <w:gridCol w:w="245"/>
      </w:tblGrid>
      <w:tr>
        <w:trPr/>
        <w:tc>
          <w:tcPr>
            <w:tcW w:w="183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Large accelerated filer</w:t>
            </w:r>
          </w:p>
        </w:tc>
        <w:tc>
          <w:tcPr>
            <w:tcW w:w="230" w:type="dxa"/>
            <w:tcBorders/>
            <w:vAlign w:val="center"/>
          </w:tcPr>
          <w:p>
            <w:pPr>
              <w:pStyle w:val="TableContents"/>
              <w:bidi w:val="0"/>
              <w:spacing w:before="0" w:after="0"/>
              <w:jc w:val="left"/>
              <w:rPr>
                <w:color w:val="000000"/>
              </w:rPr>
            </w:pPr>
            <w:r>
              <w:rPr>
                <w:color w:val="000000"/>
              </w:rPr>
              <w:t>☐</w:t>
            </w:r>
          </w:p>
        </w:tc>
        <w:tc>
          <w:tcPr>
            <w:tcW w:w="60" w:type="dxa"/>
            <w:tcBorders/>
            <w:vAlign w:val="center"/>
          </w:tcPr>
          <w:p>
            <w:pPr>
              <w:pStyle w:val="TableContents"/>
              <w:bidi w:val="0"/>
              <w:spacing w:before="0" w:after="0"/>
              <w:jc w:val="left"/>
              <w:rPr>
                <w:color w:val="000000"/>
              </w:rPr>
            </w:pPr>
            <w:r>
              <w:rPr>
                <w:color w:val="000000"/>
              </w:rPr>
              <w:t> </w:t>
            </w:r>
          </w:p>
        </w:tc>
        <w:tc>
          <w:tcPr>
            <w:tcW w:w="222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Accelerated filer</w:t>
            </w:r>
          </w:p>
        </w:tc>
        <w:tc>
          <w:tcPr>
            <w:tcW w:w="245" w:type="dxa"/>
            <w:tcBorders/>
            <w:vAlign w:val="center"/>
          </w:tcPr>
          <w:p>
            <w:pPr>
              <w:pStyle w:val="TableContents"/>
              <w:bidi w:val="0"/>
              <w:spacing w:before="0" w:after="0"/>
              <w:jc w:val="left"/>
              <w:rPr>
                <w:color w:val="000000"/>
              </w:rPr>
            </w:pPr>
            <w:r>
              <w:rPr>
                <w:color w:val="000000"/>
              </w:rPr>
              <w:t>☒</w:t>
            </w:r>
          </w:p>
        </w:tc>
      </w:tr>
      <w:tr>
        <w:trPr/>
        <w:tc>
          <w:tcPr>
            <w:tcW w:w="183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Non-accelerated filer</w:t>
            </w:r>
          </w:p>
        </w:tc>
        <w:tc>
          <w:tcPr>
            <w:tcW w:w="230" w:type="dxa"/>
            <w:tcBorders/>
            <w:vAlign w:val="center"/>
          </w:tcPr>
          <w:p>
            <w:pPr>
              <w:pStyle w:val="TableContents"/>
              <w:bidi w:val="0"/>
              <w:spacing w:before="0" w:after="0"/>
              <w:jc w:val="left"/>
              <w:rPr>
                <w:color w:val="000000"/>
              </w:rPr>
            </w:pPr>
            <w:r>
              <w:rPr>
                <w:color w:val="000000"/>
              </w:rPr>
              <w:t>☐</w:t>
            </w:r>
          </w:p>
        </w:tc>
        <w:tc>
          <w:tcPr>
            <w:tcW w:w="60" w:type="dxa"/>
            <w:tcBorders/>
            <w:vAlign w:val="center"/>
          </w:tcPr>
          <w:p>
            <w:pPr>
              <w:pStyle w:val="TableContents"/>
              <w:bidi w:val="0"/>
              <w:spacing w:before="0" w:after="0"/>
              <w:jc w:val="left"/>
              <w:rPr>
                <w:color w:val="000000"/>
              </w:rPr>
            </w:pPr>
            <w:r>
              <w:rPr>
                <w:color w:val="000000"/>
              </w:rPr>
              <w:t> </w:t>
            </w:r>
          </w:p>
        </w:tc>
        <w:tc>
          <w:tcPr>
            <w:tcW w:w="222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Smaller reporting company</w:t>
            </w:r>
          </w:p>
        </w:tc>
        <w:tc>
          <w:tcPr>
            <w:tcW w:w="245" w:type="dxa"/>
            <w:tcBorders/>
            <w:vAlign w:val="center"/>
          </w:tcPr>
          <w:p>
            <w:pPr>
              <w:pStyle w:val="TableContents"/>
              <w:bidi w:val="0"/>
              <w:spacing w:before="0" w:after="0"/>
              <w:jc w:val="left"/>
              <w:rPr>
                <w:color w:val="000000"/>
              </w:rPr>
            </w:pPr>
            <w:r>
              <w:rPr>
                <w:color w:val="000000"/>
              </w:rPr>
              <w:t>☐</w:t>
            </w:r>
          </w:p>
        </w:tc>
      </w:tr>
      <w:tr>
        <w:trPr/>
        <w:tc>
          <w:tcPr>
            <w:tcW w:w="1835" w:type="dxa"/>
            <w:tcBorders/>
            <w:vAlign w:val="center"/>
          </w:tcPr>
          <w:p>
            <w:pPr>
              <w:pStyle w:val="TableContents"/>
              <w:bidi w:val="0"/>
              <w:spacing w:before="0" w:after="0"/>
              <w:jc w:val="left"/>
              <w:rPr>
                <w:color w:val="000000"/>
              </w:rPr>
            </w:pPr>
            <w:r>
              <w:rPr>
                <w:color w:val="000000"/>
              </w:rPr>
              <w:t> </w:t>
            </w:r>
          </w:p>
        </w:tc>
        <w:tc>
          <w:tcPr>
            <w:tcW w:w="230" w:type="dxa"/>
            <w:tcBorders/>
            <w:vAlign w:val="center"/>
          </w:tcPr>
          <w:p>
            <w:pPr>
              <w:pStyle w:val="TableContents"/>
              <w:bidi w:val="0"/>
              <w:spacing w:before="0" w:after="0"/>
              <w:jc w:val="left"/>
              <w:rPr>
                <w:color w:val="000000"/>
              </w:rPr>
            </w:pPr>
            <w:r>
              <w:rPr>
                <w:color w:val="000000"/>
              </w:rPr>
              <w:t>  </w:t>
            </w:r>
          </w:p>
        </w:tc>
        <w:tc>
          <w:tcPr>
            <w:tcW w:w="60" w:type="dxa"/>
            <w:tcBorders/>
            <w:vAlign w:val="center"/>
          </w:tcPr>
          <w:p>
            <w:pPr>
              <w:pStyle w:val="TableContents"/>
              <w:bidi w:val="0"/>
              <w:spacing w:before="0" w:after="0"/>
              <w:jc w:val="left"/>
              <w:rPr>
                <w:color w:val="000000"/>
              </w:rPr>
            </w:pPr>
            <w:r>
              <w:rPr>
                <w:color w:val="000000"/>
              </w:rPr>
              <w:t> </w:t>
            </w:r>
          </w:p>
        </w:tc>
        <w:tc>
          <w:tcPr>
            <w:tcW w:w="222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Emerging growth company</w:t>
            </w:r>
          </w:p>
        </w:tc>
        <w:tc>
          <w:tcPr>
            <w:tcW w:w="245" w:type="dxa"/>
            <w:tcBorders/>
            <w:vAlign w:val="center"/>
          </w:tcPr>
          <w:p>
            <w:pPr>
              <w:pStyle w:val="TableContents"/>
              <w:bidi w:val="0"/>
              <w:spacing w:before="0" w:after="0"/>
              <w:jc w:val="left"/>
              <w:rPr>
                <w:color w:val="000000"/>
              </w:rPr>
            </w:pPr>
            <w:r>
              <w:rPr>
                <w:color w:val="000000"/>
              </w:rPr>
              <w:t>☐</w:t>
            </w:r>
          </w:p>
        </w:tc>
      </w:tr>
    </w:tbl>
    <w:p>
      <w:pPr>
        <w:pStyle w:val="TextBody"/>
        <w:bidi w:val="0"/>
        <w:spacing w:before="0" w:after="0"/>
        <w:jc w:val="left"/>
        <w:rPr/>
      </w:pPr>
      <w:r>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Indicate by check mark whether the registrant is a shell company (as defined in Rule 12b-2 of the Exchange Act).</w:t>
      </w:r>
    </w:p>
    <w:p>
      <w:pPr>
        <w:pStyle w:val="TextBody"/>
        <w:bidi w:val="0"/>
        <w:spacing w:before="0" w:after="0"/>
        <w:jc w:val="left"/>
        <w:rPr>
          <w:color w:val="000000"/>
          <w:shd w:fill="FFFFFF" w:val="clear"/>
        </w:rPr>
      </w:pPr>
      <w:r>
        <w:rPr>
          <w:color w:val="000000"/>
          <w:shd w:fill="FFFFFF" w:val="clear"/>
        </w:rPr>
        <w:t xml:space="preserve"> ☐ </w:t>
      </w:r>
      <w:r>
        <w:rPr>
          <w:rFonts w:ascii="Times New Roman" w:hAnsi="Times New Roman"/>
          <w:color w:val="000000"/>
          <w:sz w:val="20"/>
          <w:shd w:fill="FFFFFF" w:val="clear"/>
        </w:rPr>
        <w:t>Yes ☒ No</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As of October 31, 2023 the Registrant had outstanding 298,239,500 Ordinary shares and 45,198,702 Non-Voting Ordinary shares.</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r>
    </w:p>
    <w:p>
      <w:pPr>
        <w:pStyle w:val="HorizontalLine"/>
        <w:bidi w:val="0"/>
        <w:jc w:val="left"/>
        <w:rPr/>
      </w:pPr>
      <w:r>
        <w:rPr/>
      </w:r>
    </w:p>
    <w:p>
      <w:pPr>
        <w:pStyle w:val="HorizontalLine"/>
        <w:bidi w:val="0"/>
        <w:spacing w:before="200" w:after="200"/>
        <w:jc w:val="left"/>
        <w:rPr/>
      </w:pPr>
      <w:r>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Taboola.com Ltd.</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Quarterly Report on Form 10-Q</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 xml:space="preserve">Table of </w:t>
      </w:r>
      <w:bookmarkStart w:id="0" w:name="Contents"/>
      <w:bookmarkEnd w:id="0"/>
      <w:r>
        <w:rPr>
          <w:rFonts w:ascii="Times New Roman" w:hAnsi="Times New Roman"/>
          <w:b/>
          <w:color w:val="000000"/>
          <w:sz w:val="20"/>
          <w:shd w:fill="FFFFFF" w:val="clear"/>
        </w:rPr>
        <w:t>Contents</w:t>
      </w:r>
    </w:p>
    <w:p>
      <w:pPr>
        <w:pStyle w:val="TextBody"/>
        <w:bidi w:val="0"/>
        <w:spacing w:before="0" w:after="0"/>
        <w:jc w:val="left"/>
        <w:rPr>
          <w:sz w:val="20"/>
        </w:rPr>
      </w:pPr>
      <w:r>
        <w:rPr>
          <w:sz w:val="20"/>
        </w:rPr>
      </w:r>
    </w:p>
    <w:tbl>
      <w:tblPr>
        <w:tblW w:w="8583" w:type="dxa"/>
        <w:jc w:val="left"/>
        <w:tblInd w:w="-15" w:type="dxa"/>
        <w:tblLayout w:type="fixed"/>
        <w:tblCellMar>
          <w:top w:w="28" w:type="dxa"/>
          <w:left w:w="28" w:type="dxa"/>
          <w:bottom w:w="0" w:type="dxa"/>
          <w:right w:w="28" w:type="dxa"/>
        </w:tblCellMar>
      </w:tblPr>
      <w:tblGrid>
        <w:gridCol w:w="931"/>
        <w:gridCol w:w="7336"/>
        <w:gridCol w:w="316"/>
      </w:tblGrid>
      <w:tr>
        <w:trPr/>
        <w:tc>
          <w:tcPr>
            <w:tcW w:w="8583" w:type="dxa"/>
            <w:gridSpan w:val="3"/>
            <w:tcBorders>
              <w:top w:val="single" w:sz="12" w:space="0" w:color="000000"/>
              <w:left w:val="single" w:sz="12" w:space="0" w:color="000000"/>
              <w:right w:val="single" w:sz="12" w:space="0" w:color="000000"/>
            </w:tcBorders>
            <w:vAlign w:val="center"/>
          </w:tcPr>
          <w:p>
            <w:pPr>
              <w:pStyle w:val="TableContents"/>
              <w:bidi w:val="0"/>
              <w:spacing w:before="0" w:after="0"/>
              <w:jc w:val="right"/>
              <w:rPr>
                <w:b/>
                <w:sz w:val="20"/>
              </w:rPr>
            </w:pPr>
            <w:r>
              <w:rPr>
                <w:b/>
                <w:sz w:val="20"/>
              </w:rPr>
              <w:t>Page No.</w:t>
            </w:r>
          </w:p>
        </w:tc>
      </w:tr>
      <w:tr>
        <w:trPr/>
        <w:tc>
          <w:tcPr>
            <w:tcW w:w="931" w:type="dxa"/>
            <w:tcBorders>
              <w:top w:val="single" w:sz="12" w:space="0" w:color="000000"/>
              <w:left w:val="single" w:sz="12" w:space="0" w:color="000000"/>
            </w:tcBorders>
            <w:shd w:fill="CCEEFF" w:val="clear"/>
            <w:tcMar>
              <w:right w:w="0" w:type="dxa"/>
            </w:tcMar>
            <w:vAlign w:val="center"/>
          </w:tcPr>
          <w:p>
            <w:pPr>
              <w:pStyle w:val="TableContents"/>
              <w:bidi w:val="0"/>
              <w:spacing w:before="0" w:after="0"/>
              <w:jc w:val="both"/>
              <w:rPr>
                <w:b/>
                <w:smallCaps/>
                <w:sz w:val="20"/>
              </w:rPr>
            </w:pPr>
            <w:r>
              <w:rPr>
                <w:b/>
                <w:smallCaps/>
                <w:sz w:val="20"/>
              </w:rPr>
              <w:t>PART I.</w:t>
            </w:r>
          </w:p>
        </w:tc>
        <w:tc>
          <w:tcPr>
            <w:tcW w:w="7336" w:type="dxa"/>
            <w:tcBorders>
              <w:top w:val="single" w:sz="12" w:space="0" w:color="000000"/>
              <w:left w:val="single" w:sz="12" w:space="0" w:color="000000"/>
            </w:tcBorders>
            <w:shd w:fill="CCEEFF" w:val="clear"/>
            <w:tcMar>
              <w:right w:w="0" w:type="dxa"/>
            </w:tcMar>
            <w:vAlign w:val="center"/>
          </w:tcPr>
          <w:p>
            <w:pPr>
              <w:pStyle w:val="TableContents"/>
              <w:bidi w:val="0"/>
              <w:spacing w:before="0" w:after="0"/>
              <w:jc w:val="both"/>
              <w:rPr/>
            </w:pPr>
            <w:hyperlink w:anchor="FINANCIAL">
              <w:r>
                <w:rPr>
                  <w:rStyle w:val="InternetLink"/>
                  <w:b/>
                  <w:smallCaps/>
                  <w:sz w:val="20"/>
                </w:rPr>
                <w:t>FINANCIAL INFORMATION</w:t>
              </w:r>
            </w:hyperlink>
          </w:p>
        </w:tc>
        <w:tc>
          <w:tcPr>
            <w:tcW w:w="316" w:type="dxa"/>
            <w:tcBorders>
              <w:top w:val="single" w:sz="12" w:space="0" w:color="000000"/>
              <w:left w:val="single" w:sz="12" w:space="0" w:color="000000"/>
              <w:right w:val="single" w:sz="12" w:space="0" w:color="000000"/>
            </w:tcBorders>
            <w:shd w:fill="CCEEFF" w:val="clear"/>
            <w:vAlign w:val="center"/>
          </w:tcPr>
          <w:p>
            <w:pPr>
              <w:pStyle w:val="TableContents"/>
              <w:bidi w:val="0"/>
              <w:spacing w:before="0" w:after="0"/>
              <w:jc w:val="both"/>
              <w:rPr>
                <w:sz w:val="20"/>
              </w:rPr>
            </w:pPr>
            <w:r>
              <w:rPr>
                <w:sz w:val="20"/>
              </w:rPr>
              <w:t>4</w:t>
            </w:r>
          </w:p>
        </w:tc>
      </w:tr>
      <w:tr>
        <w:trPr/>
        <w:tc>
          <w:tcPr>
            <w:tcW w:w="931" w:type="dxa"/>
            <w:tcBorders>
              <w:top w:val="single" w:sz="12" w:space="0" w:color="000000"/>
              <w:left w:val="single" w:sz="12" w:space="0" w:color="000000"/>
            </w:tcBorders>
            <w:tcMar>
              <w:right w:w="0" w:type="dxa"/>
            </w:tcMar>
            <w:vAlign w:val="center"/>
          </w:tcPr>
          <w:p>
            <w:pPr>
              <w:pStyle w:val="TableContents"/>
              <w:bidi w:val="0"/>
              <w:spacing w:before="0" w:after="0"/>
              <w:jc w:val="both"/>
              <w:rPr>
                <w:sz w:val="20"/>
              </w:rPr>
            </w:pPr>
            <w:r>
              <w:rPr>
                <w:sz w:val="20"/>
              </w:rPr>
              <w:t>Item 1.</w:t>
            </w:r>
          </w:p>
        </w:tc>
        <w:tc>
          <w:tcPr>
            <w:tcW w:w="7336" w:type="dxa"/>
            <w:tcBorders>
              <w:top w:val="single" w:sz="12" w:space="0" w:color="000000"/>
              <w:left w:val="single" w:sz="12" w:space="0" w:color="000000"/>
            </w:tcBorders>
            <w:tcMar>
              <w:right w:w="0" w:type="dxa"/>
            </w:tcMar>
            <w:vAlign w:val="center"/>
          </w:tcPr>
          <w:p>
            <w:pPr>
              <w:pStyle w:val="TableContents"/>
              <w:bidi w:val="0"/>
              <w:spacing w:before="0" w:after="0"/>
              <w:jc w:val="both"/>
              <w:rPr/>
            </w:pPr>
            <w:hyperlink w:anchor="Statements">
              <w:r>
                <w:rPr>
                  <w:rStyle w:val="InternetLink"/>
                  <w:sz w:val="20"/>
                </w:rPr>
                <w:t>Financial Statements (Unaudited)</w:t>
              </w:r>
            </w:hyperlink>
          </w:p>
        </w:tc>
        <w:tc>
          <w:tcPr>
            <w:tcW w:w="316" w:type="dxa"/>
            <w:tcBorders>
              <w:top w:val="single" w:sz="12" w:space="0" w:color="000000"/>
              <w:left w:val="single" w:sz="12" w:space="0" w:color="000000"/>
              <w:right w:val="single" w:sz="12" w:space="0" w:color="000000"/>
            </w:tcBorders>
            <w:vAlign w:val="center"/>
          </w:tcPr>
          <w:p>
            <w:pPr>
              <w:pStyle w:val="TableContents"/>
              <w:bidi w:val="0"/>
              <w:spacing w:before="0" w:after="0"/>
              <w:jc w:val="both"/>
              <w:rPr>
                <w:sz w:val="20"/>
              </w:rPr>
            </w:pPr>
            <w:r>
              <w:rPr>
                <w:sz w:val="20"/>
              </w:rPr>
              <w:t>4</w:t>
            </w:r>
          </w:p>
        </w:tc>
      </w:tr>
      <w:tr>
        <w:trPr/>
        <w:tc>
          <w:tcPr>
            <w:tcW w:w="931" w:type="dxa"/>
            <w:tcBorders>
              <w:top w:val="single" w:sz="12" w:space="0" w:color="000000"/>
              <w:left w:val="single" w:sz="12" w:space="0" w:color="000000"/>
            </w:tcBorders>
            <w:shd w:fill="CCEEFF" w:val="clear"/>
            <w:tcMar>
              <w:right w:w="0" w:type="dxa"/>
            </w:tcMar>
            <w:vAlign w:val="center"/>
          </w:tcPr>
          <w:p>
            <w:pPr>
              <w:pStyle w:val="TableContents"/>
              <w:bidi w:val="0"/>
              <w:spacing w:before="0" w:after="283"/>
              <w:jc w:val="left"/>
              <w:rPr/>
            </w:pPr>
            <w:r>
              <w:rPr/>
              <w:t> </w:t>
            </w:r>
          </w:p>
        </w:tc>
        <w:tc>
          <w:tcPr>
            <w:tcW w:w="7336" w:type="dxa"/>
            <w:tcBorders>
              <w:top w:val="single" w:sz="12" w:space="0" w:color="000000"/>
              <w:left w:val="single" w:sz="12" w:space="0" w:color="000000"/>
            </w:tcBorders>
            <w:shd w:fill="CCEEFF" w:val="clear"/>
            <w:tcMar>
              <w:right w:w="0" w:type="dxa"/>
            </w:tcMar>
            <w:vAlign w:val="center"/>
          </w:tcPr>
          <w:p>
            <w:pPr>
              <w:pStyle w:val="TableContents"/>
              <w:bidi w:val="0"/>
              <w:spacing w:before="0" w:after="0"/>
              <w:ind w:left="180" w:right="0" w:hanging="0"/>
              <w:jc w:val="left"/>
              <w:rPr/>
            </w:pPr>
            <w:hyperlink w:anchor="SHEETS">
              <w:r>
                <w:rPr>
                  <w:rStyle w:val="InternetLink"/>
                  <w:sz w:val="20"/>
                </w:rPr>
                <w:t>Consolidated Interim Balance Sheets</w:t>
              </w:r>
            </w:hyperlink>
          </w:p>
        </w:tc>
        <w:tc>
          <w:tcPr>
            <w:tcW w:w="316" w:type="dxa"/>
            <w:tcBorders>
              <w:top w:val="single" w:sz="12" w:space="0" w:color="000000"/>
              <w:left w:val="single" w:sz="12" w:space="0" w:color="000000"/>
              <w:right w:val="single" w:sz="12" w:space="0" w:color="000000"/>
            </w:tcBorders>
            <w:shd w:fill="CCEEFF" w:val="clear"/>
            <w:vAlign w:val="center"/>
          </w:tcPr>
          <w:p>
            <w:pPr>
              <w:pStyle w:val="TableContents"/>
              <w:bidi w:val="0"/>
              <w:spacing w:before="0" w:after="0"/>
              <w:jc w:val="both"/>
              <w:rPr>
                <w:sz w:val="20"/>
              </w:rPr>
            </w:pPr>
            <w:r>
              <w:rPr>
                <w:sz w:val="20"/>
              </w:rPr>
              <w:t>4</w:t>
            </w:r>
          </w:p>
        </w:tc>
      </w:tr>
      <w:tr>
        <w:trPr/>
        <w:tc>
          <w:tcPr>
            <w:tcW w:w="931" w:type="dxa"/>
            <w:tcBorders>
              <w:top w:val="single" w:sz="12" w:space="0" w:color="000000"/>
              <w:left w:val="single" w:sz="12" w:space="0" w:color="000000"/>
            </w:tcBorders>
            <w:tcMar>
              <w:right w:w="0" w:type="dxa"/>
            </w:tcMar>
            <w:vAlign w:val="center"/>
          </w:tcPr>
          <w:p>
            <w:pPr>
              <w:pStyle w:val="TableContents"/>
              <w:bidi w:val="0"/>
              <w:spacing w:before="0" w:after="283"/>
              <w:jc w:val="left"/>
              <w:rPr/>
            </w:pPr>
            <w:r>
              <w:rPr/>
              <w:t> </w:t>
            </w:r>
          </w:p>
        </w:tc>
        <w:tc>
          <w:tcPr>
            <w:tcW w:w="7336" w:type="dxa"/>
            <w:tcBorders>
              <w:top w:val="single" w:sz="12" w:space="0" w:color="000000"/>
              <w:left w:val="single" w:sz="12" w:space="0" w:color="000000"/>
            </w:tcBorders>
            <w:tcMar>
              <w:right w:w="0" w:type="dxa"/>
            </w:tcMar>
            <w:vAlign w:val="center"/>
          </w:tcPr>
          <w:p>
            <w:pPr>
              <w:pStyle w:val="TableContents"/>
              <w:bidi w:val="0"/>
              <w:spacing w:before="0" w:after="0"/>
              <w:ind w:left="180" w:right="0" w:hanging="0"/>
              <w:jc w:val="left"/>
              <w:rPr/>
            </w:pPr>
            <w:hyperlink w:anchor="LOSS">
              <w:r>
                <w:rPr>
                  <w:rStyle w:val="InternetLink"/>
                  <w:sz w:val="20"/>
                </w:rPr>
                <w:t>Consolidated Interim Statements of Loss</w:t>
              </w:r>
            </w:hyperlink>
          </w:p>
        </w:tc>
        <w:tc>
          <w:tcPr>
            <w:tcW w:w="316" w:type="dxa"/>
            <w:tcBorders>
              <w:top w:val="single" w:sz="12" w:space="0" w:color="000000"/>
              <w:left w:val="single" w:sz="12" w:space="0" w:color="000000"/>
              <w:right w:val="single" w:sz="12" w:space="0" w:color="000000"/>
            </w:tcBorders>
            <w:vAlign w:val="center"/>
          </w:tcPr>
          <w:p>
            <w:pPr>
              <w:pStyle w:val="TableContents"/>
              <w:bidi w:val="0"/>
              <w:spacing w:before="0" w:after="0"/>
              <w:jc w:val="both"/>
              <w:rPr>
                <w:sz w:val="20"/>
              </w:rPr>
            </w:pPr>
            <w:r>
              <w:rPr>
                <w:sz w:val="20"/>
              </w:rPr>
              <w:t>5</w:t>
            </w:r>
          </w:p>
        </w:tc>
      </w:tr>
      <w:tr>
        <w:trPr/>
        <w:tc>
          <w:tcPr>
            <w:tcW w:w="931" w:type="dxa"/>
            <w:tcBorders>
              <w:top w:val="single" w:sz="12" w:space="0" w:color="000000"/>
              <w:left w:val="single" w:sz="12" w:space="0" w:color="000000"/>
            </w:tcBorders>
            <w:shd w:fill="CCEEFF" w:val="clear"/>
            <w:tcMar>
              <w:right w:w="0" w:type="dxa"/>
            </w:tcMar>
            <w:vAlign w:val="center"/>
          </w:tcPr>
          <w:p>
            <w:pPr>
              <w:pStyle w:val="TableContents"/>
              <w:bidi w:val="0"/>
              <w:spacing w:before="0" w:after="283"/>
              <w:jc w:val="left"/>
              <w:rPr/>
            </w:pPr>
            <w:r>
              <w:rPr/>
              <w:t> </w:t>
            </w:r>
          </w:p>
        </w:tc>
        <w:tc>
          <w:tcPr>
            <w:tcW w:w="7336" w:type="dxa"/>
            <w:tcBorders>
              <w:top w:val="single" w:sz="12" w:space="0" w:color="000000"/>
              <w:left w:val="single" w:sz="12" w:space="0" w:color="000000"/>
            </w:tcBorders>
            <w:shd w:fill="CCEEFF" w:val="clear"/>
            <w:tcMar>
              <w:right w:w="0" w:type="dxa"/>
            </w:tcMar>
            <w:vAlign w:val="center"/>
          </w:tcPr>
          <w:p>
            <w:pPr>
              <w:pStyle w:val="TableContents"/>
              <w:bidi w:val="0"/>
              <w:spacing w:before="0" w:after="0"/>
              <w:ind w:left="180" w:right="0" w:hanging="0"/>
              <w:jc w:val="left"/>
              <w:rPr/>
            </w:pPr>
            <w:hyperlink w:anchor="COMPREHENSIVE">
              <w:r>
                <w:rPr>
                  <w:rStyle w:val="InternetLink"/>
                  <w:sz w:val="20"/>
                </w:rPr>
                <w:t>Consolidated Interim Statements of Comprehensive Loss</w:t>
              </w:r>
            </w:hyperlink>
          </w:p>
        </w:tc>
        <w:tc>
          <w:tcPr>
            <w:tcW w:w="316" w:type="dxa"/>
            <w:tcBorders>
              <w:top w:val="single" w:sz="12" w:space="0" w:color="000000"/>
              <w:left w:val="single" w:sz="12" w:space="0" w:color="000000"/>
              <w:right w:val="single" w:sz="12" w:space="0" w:color="000000"/>
            </w:tcBorders>
            <w:shd w:fill="CCEEFF" w:val="clear"/>
            <w:vAlign w:val="center"/>
          </w:tcPr>
          <w:p>
            <w:pPr>
              <w:pStyle w:val="TableContents"/>
              <w:bidi w:val="0"/>
              <w:spacing w:before="0" w:after="283"/>
              <w:jc w:val="left"/>
              <w:rPr/>
            </w:pPr>
            <w:r>
              <w:rPr/>
              <w:t>6</w:t>
            </w:r>
          </w:p>
        </w:tc>
      </w:tr>
      <w:tr>
        <w:trPr/>
        <w:tc>
          <w:tcPr>
            <w:tcW w:w="931" w:type="dxa"/>
            <w:tcBorders>
              <w:top w:val="single" w:sz="12" w:space="0" w:color="000000"/>
              <w:left w:val="single" w:sz="12" w:space="0" w:color="000000"/>
            </w:tcBorders>
            <w:tcMar>
              <w:right w:w="0" w:type="dxa"/>
            </w:tcMar>
            <w:vAlign w:val="center"/>
          </w:tcPr>
          <w:p>
            <w:pPr>
              <w:pStyle w:val="TableContents"/>
              <w:bidi w:val="0"/>
              <w:spacing w:before="0" w:after="283"/>
              <w:jc w:val="left"/>
              <w:rPr/>
            </w:pPr>
            <w:r>
              <w:rPr/>
              <w:t> </w:t>
            </w:r>
          </w:p>
        </w:tc>
        <w:tc>
          <w:tcPr>
            <w:tcW w:w="7336" w:type="dxa"/>
            <w:tcBorders>
              <w:top w:val="single" w:sz="12" w:space="0" w:color="000000"/>
              <w:left w:val="single" w:sz="12" w:space="0" w:color="000000"/>
            </w:tcBorders>
            <w:tcMar>
              <w:right w:w="0" w:type="dxa"/>
            </w:tcMar>
            <w:vAlign w:val="center"/>
          </w:tcPr>
          <w:p>
            <w:pPr>
              <w:pStyle w:val="TableContents"/>
              <w:bidi w:val="0"/>
              <w:spacing w:before="0" w:after="0"/>
              <w:ind w:left="180" w:right="0" w:hanging="0"/>
              <w:jc w:val="left"/>
              <w:rPr/>
            </w:pPr>
            <w:hyperlink w:anchor="EQUITY">
              <w:r>
                <w:rPr>
                  <w:rStyle w:val="InternetLink"/>
                  <w:sz w:val="20"/>
                </w:rPr>
                <w:t>Consolidated Interim Statements of Shareholders’ Equity</w:t>
              </w:r>
            </w:hyperlink>
          </w:p>
        </w:tc>
        <w:tc>
          <w:tcPr>
            <w:tcW w:w="316" w:type="dxa"/>
            <w:tcBorders>
              <w:top w:val="single" w:sz="12" w:space="0" w:color="000000"/>
              <w:left w:val="single" w:sz="12" w:space="0" w:color="000000"/>
              <w:right w:val="single" w:sz="12" w:space="0" w:color="000000"/>
            </w:tcBorders>
            <w:vAlign w:val="center"/>
          </w:tcPr>
          <w:p>
            <w:pPr>
              <w:pStyle w:val="TableContents"/>
              <w:bidi w:val="0"/>
              <w:spacing w:before="0" w:after="283"/>
              <w:jc w:val="left"/>
              <w:rPr/>
            </w:pPr>
            <w:r>
              <w:rPr/>
              <w:t>7</w:t>
            </w:r>
          </w:p>
        </w:tc>
      </w:tr>
      <w:tr>
        <w:trPr/>
        <w:tc>
          <w:tcPr>
            <w:tcW w:w="931" w:type="dxa"/>
            <w:tcBorders>
              <w:top w:val="single" w:sz="12" w:space="0" w:color="000000"/>
              <w:left w:val="single" w:sz="12" w:space="0" w:color="000000"/>
            </w:tcBorders>
            <w:shd w:fill="CCEEFF" w:val="clear"/>
            <w:tcMar>
              <w:right w:w="0" w:type="dxa"/>
            </w:tcMar>
            <w:vAlign w:val="center"/>
          </w:tcPr>
          <w:p>
            <w:pPr>
              <w:pStyle w:val="TableContents"/>
              <w:bidi w:val="0"/>
              <w:spacing w:before="0" w:after="283"/>
              <w:jc w:val="left"/>
              <w:rPr/>
            </w:pPr>
            <w:r>
              <w:rPr/>
              <w:t> </w:t>
            </w:r>
          </w:p>
        </w:tc>
        <w:tc>
          <w:tcPr>
            <w:tcW w:w="7336" w:type="dxa"/>
            <w:tcBorders>
              <w:top w:val="single" w:sz="12" w:space="0" w:color="000000"/>
              <w:left w:val="single" w:sz="12" w:space="0" w:color="000000"/>
            </w:tcBorders>
            <w:shd w:fill="CCEEFF" w:val="clear"/>
            <w:tcMar>
              <w:right w:w="0" w:type="dxa"/>
            </w:tcMar>
            <w:vAlign w:val="center"/>
          </w:tcPr>
          <w:p>
            <w:pPr>
              <w:pStyle w:val="TableContents"/>
              <w:bidi w:val="0"/>
              <w:spacing w:before="0" w:after="0"/>
              <w:ind w:left="180" w:right="0" w:hanging="0"/>
              <w:jc w:val="left"/>
              <w:rPr/>
            </w:pPr>
            <w:hyperlink w:anchor="FLOWS">
              <w:r>
                <w:rPr>
                  <w:rStyle w:val="InternetLink"/>
                  <w:sz w:val="20"/>
                </w:rPr>
                <w:t>Consolidated Interim Statements of Cash Flows</w:t>
              </w:r>
            </w:hyperlink>
          </w:p>
        </w:tc>
        <w:tc>
          <w:tcPr>
            <w:tcW w:w="316" w:type="dxa"/>
            <w:tcBorders>
              <w:top w:val="single" w:sz="12" w:space="0" w:color="000000"/>
              <w:left w:val="single" w:sz="12" w:space="0" w:color="000000"/>
              <w:right w:val="single" w:sz="12" w:space="0" w:color="000000"/>
            </w:tcBorders>
            <w:shd w:fill="CCEEFF" w:val="clear"/>
            <w:vAlign w:val="center"/>
          </w:tcPr>
          <w:p>
            <w:pPr>
              <w:pStyle w:val="TableContents"/>
              <w:bidi w:val="0"/>
              <w:spacing w:before="0" w:after="283"/>
              <w:jc w:val="left"/>
              <w:rPr/>
            </w:pPr>
            <w:r>
              <w:rPr/>
              <w:t>9</w:t>
            </w:r>
          </w:p>
        </w:tc>
      </w:tr>
      <w:tr>
        <w:trPr/>
        <w:tc>
          <w:tcPr>
            <w:tcW w:w="931" w:type="dxa"/>
            <w:tcBorders>
              <w:top w:val="single" w:sz="12" w:space="0" w:color="000000"/>
              <w:left w:val="single" w:sz="12" w:space="0" w:color="000000"/>
            </w:tcBorders>
            <w:tcMar>
              <w:right w:w="0" w:type="dxa"/>
            </w:tcMar>
            <w:vAlign w:val="center"/>
          </w:tcPr>
          <w:p>
            <w:pPr>
              <w:pStyle w:val="TableContents"/>
              <w:bidi w:val="0"/>
              <w:spacing w:before="0" w:after="283"/>
              <w:jc w:val="left"/>
              <w:rPr/>
            </w:pPr>
            <w:r>
              <w:rPr/>
              <w:t> </w:t>
            </w:r>
          </w:p>
        </w:tc>
        <w:tc>
          <w:tcPr>
            <w:tcW w:w="7336" w:type="dxa"/>
            <w:tcBorders>
              <w:top w:val="single" w:sz="12" w:space="0" w:color="000000"/>
              <w:left w:val="single" w:sz="12" w:space="0" w:color="000000"/>
            </w:tcBorders>
            <w:tcMar>
              <w:right w:w="0" w:type="dxa"/>
            </w:tcMar>
            <w:vAlign w:val="center"/>
          </w:tcPr>
          <w:p>
            <w:pPr>
              <w:pStyle w:val="TableContents"/>
              <w:bidi w:val="0"/>
              <w:spacing w:before="0" w:after="0"/>
              <w:ind w:left="180" w:right="0" w:hanging="0"/>
              <w:jc w:val="left"/>
              <w:rPr/>
            </w:pPr>
            <w:hyperlink w:anchor="NOTES">
              <w:r>
                <w:rPr>
                  <w:rStyle w:val="InternetLink"/>
                  <w:sz w:val="20"/>
                </w:rPr>
                <w:t>Notes to Consolidated Interim Financial Statements</w:t>
              </w:r>
            </w:hyperlink>
          </w:p>
        </w:tc>
        <w:tc>
          <w:tcPr>
            <w:tcW w:w="316" w:type="dxa"/>
            <w:tcBorders>
              <w:top w:val="single" w:sz="12" w:space="0" w:color="000000"/>
              <w:left w:val="single" w:sz="12" w:space="0" w:color="000000"/>
              <w:right w:val="single" w:sz="12" w:space="0" w:color="000000"/>
            </w:tcBorders>
            <w:vAlign w:val="center"/>
          </w:tcPr>
          <w:p>
            <w:pPr>
              <w:pStyle w:val="TableContents"/>
              <w:bidi w:val="0"/>
              <w:spacing w:before="0" w:after="283"/>
              <w:jc w:val="left"/>
              <w:rPr/>
            </w:pPr>
            <w:r>
              <w:rPr/>
              <w:t>11</w:t>
            </w:r>
          </w:p>
        </w:tc>
      </w:tr>
      <w:tr>
        <w:trPr/>
        <w:tc>
          <w:tcPr>
            <w:tcW w:w="931" w:type="dxa"/>
            <w:tcBorders>
              <w:top w:val="single" w:sz="12" w:space="0" w:color="000000"/>
              <w:left w:val="single" w:sz="12" w:space="0" w:color="000000"/>
            </w:tcBorders>
            <w:shd w:fill="CCEEFF" w:val="clear"/>
            <w:tcMar>
              <w:right w:w="0" w:type="dxa"/>
            </w:tcMar>
            <w:vAlign w:val="center"/>
          </w:tcPr>
          <w:p>
            <w:pPr>
              <w:pStyle w:val="TableContents"/>
              <w:bidi w:val="0"/>
              <w:spacing w:before="0" w:after="0"/>
              <w:jc w:val="both"/>
              <w:rPr>
                <w:sz w:val="20"/>
              </w:rPr>
            </w:pPr>
            <w:r>
              <w:rPr>
                <w:sz w:val="20"/>
              </w:rPr>
              <w:t>Item 2.</w:t>
            </w:r>
          </w:p>
        </w:tc>
        <w:tc>
          <w:tcPr>
            <w:tcW w:w="7336" w:type="dxa"/>
            <w:tcBorders>
              <w:top w:val="single" w:sz="12" w:space="0" w:color="000000"/>
              <w:left w:val="single" w:sz="12" w:space="0" w:color="000000"/>
            </w:tcBorders>
            <w:shd w:fill="CCEEFF" w:val="clear"/>
            <w:tcMar>
              <w:right w:w="0" w:type="dxa"/>
            </w:tcMar>
            <w:vAlign w:val="center"/>
          </w:tcPr>
          <w:p>
            <w:pPr>
              <w:pStyle w:val="TableContents"/>
              <w:bidi w:val="0"/>
              <w:spacing w:before="0" w:after="0"/>
              <w:jc w:val="both"/>
              <w:rPr/>
            </w:pPr>
            <w:hyperlink w:anchor="Management">
              <w:r>
                <w:rPr>
                  <w:rStyle w:val="InternetLink"/>
                  <w:sz w:val="20"/>
                </w:rPr>
                <w:t>Management’s Discussion and Analysis of Financial Condition and Results of Operations</w:t>
              </w:r>
            </w:hyperlink>
          </w:p>
        </w:tc>
        <w:tc>
          <w:tcPr>
            <w:tcW w:w="316" w:type="dxa"/>
            <w:tcBorders>
              <w:top w:val="single" w:sz="12" w:space="0" w:color="000000"/>
              <w:left w:val="single" w:sz="12" w:space="0" w:color="000000"/>
              <w:right w:val="single" w:sz="12" w:space="0" w:color="000000"/>
            </w:tcBorders>
            <w:shd w:fill="CCEEFF" w:val="clear"/>
            <w:vAlign w:val="center"/>
          </w:tcPr>
          <w:p>
            <w:pPr>
              <w:pStyle w:val="TableContents"/>
              <w:bidi w:val="0"/>
              <w:spacing w:before="0" w:after="283"/>
              <w:jc w:val="left"/>
              <w:rPr/>
            </w:pPr>
            <w:r>
              <w:rPr/>
              <w:t>28</w:t>
            </w:r>
          </w:p>
        </w:tc>
      </w:tr>
      <w:tr>
        <w:trPr/>
        <w:tc>
          <w:tcPr>
            <w:tcW w:w="931" w:type="dxa"/>
            <w:tcBorders>
              <w:top w:val="single" w:sz="12" w:space="0" w:color="000000"/>
              <w:left w:val="single" w:sz="12" w:space="0" w:color="000000"/>
            </w:tcBorders>
            <w:tcMar>
              <w:right w:w="0" w:type="dxa"/>
            </w:tcMar>
            <w:vAlign w:val="center"/>
          </w:tcPr>
          <w:p>
            <w:pPr>
              <w:pStyle w:val="TableContents"/>
              <w:bidi w:val="0"/>
              <w:spacing w:before="0" w:after="0"/>
              <w:jc w:val="both"/>
              <w:rPr>
                <w:sz w:val="20"/>
              </w:rPr>
            </w:pPr>
            <w:r>
              <w:rPr>
                <w:sz w:val="20"/>
              </w:rPr>
              <w:t>Item 3.</w:t>
            </w:r>
          </w:p>
        </w:tc>
        <w:tc>
          <w:tcPr>
            <w:tcW w:w="7336" w:type="dxa"/>
            <w:tcBorders>
              <w:top w:val="single" w:sz="12" w:space="0" w:color="000000"/>
              <w:left w:val="single" w:sz="12" w:space="0" w:color="000000"/>
            </w:tcBorders>
            <w:tcMar>
              <w:right w:w="0" w:type="dxa"/>
            </w:tcMar>
            <w:vAlign w:val="center"/>
          </w:tcPr>
          <w:p>
            <w:pPr>
              <w:pStyle w:val="TableContents"/>
              <w:bidi w:val="0"/>
              <w:spacing w:before="0" w:after="0"/>
              <w:jc w:val="both"/>
              <w:rPr/>
            </w:pPr>
            <w:hyperlink w:anchor="Quantitative">
              <w:r>
                <w:rPr>
                  <w:rStyle w:val="InternetLink"/>
                  <w:sz w:val="20"/>
                </w:rPr>
                <w:t>Quantitative and Qualitative Disclosures About Market Risk</w:t>
              </w:r>
            </w:hyperlink>
          </w:p>
        </w:tc>
        <w:tc>
          <w:tcPr>
            <w:tcW w:w="316" w:type="dxa"/>
            <w:tcBorders>
              <w:top w:val="single" w:sz="12" w:space="0" w:color="000000"/>
              <w:left w:val="single" w:sz="12" w:space="0" w:color="000000"/>
              <w:right w:val="single" w:sz="12" w:space="0" w:color="000000"/>
            </w:tcBorders>
            <w:vAlign w:val="center"/>
          </w:tcPr>
          <w:p>
            <w:pPr>
              <w:pStyle w:val="TableContents"/>
              <w:bidi w:val="0"/>
              <w:spacing w:before="0" w:after="283"/>
              <w:jc w:val="left"/>
              <w:rPr/>
            </w:pPr>
            <w:r>
              <w:rPr/>
              <w:t>49</w:t>
            </w:r>
          </w:p>
        </w:tc>
      </w:tr>
      <w:tr>
        <w:trPr/>
        <w:tc>
          <w:tcPr>
            <w:tcW w:w="931" w:type="dxa"/>
            <w:tcBorders>
              <w:top w:val="single" w:sz="12" w:space="0" w:color="000000"/>
              <w:left w:val="single" w:sz="12" w:space="0" w:color="000000"/>
            </w:tcBorders>
            <w:shd w:fill="CCEEFF" w:val="clear"/>
            <w:tcMar>
              <w:right w:w="0" w:type="dxa"/>
            </w:tcMar>
            <w:vAlign w:val="center"/>
          </w:tcPr>
          <w:p>
            <w:pPr>
              <w:pStyle w:val="TableContents"/>
              <w:bidi w:val="0"/>
              <w:spacing w:before="0" w:after="0"/>
              <w:jc w:val="both"/>
              <w:rPr>
                <w:sz w:val="20"/>
              </w:rPr>
            </w:pPr>
            <w:r>
              <w:rPr>
                <w:sz w:val="20"/>
              </w:rPr>
              <w:t>Item 4.</w:t>
            </w:r>
          </w:p>
        </w:tc>
        <w:tc>
          <w:tcPr>
            <w:tcW w:w="7336" w:type="dxa"/>
            <w:tcBorders>
              <w:top w:val="single" w:sz="12" w:space="0" w:color="000000"/>
              <w:left w:val="single" w:sz="12" w:space="0" w:color="000000"/>
            </w:tcBorders>
            <w:shd w:fill="CCEEFF" w:val="clear"/>
            <w:tcMar>
              <w:right w:w="0" w:type="dxa"/>
            </w:tcMar>
            <w:vAlign w:val="center"/>
          </w:tcPr>
          <w:p>
            <w:pPr>
              <w:pStyle w:val="TableContents"/>
              <w:bidi w:val="0"/>
              <w:spacing w:before="0" w:after="0"/>
              <w:jc w:val="both"/>
              <w:rPr/>
            </w:pPr>
            <w:hyperlink w:anchor="Controls">
              <w:r>
                <w:rPr>
                  <w:rStyle w:val="InternetLink"/>
                  <w:sz w:val="20"/>
                </w:rPr>
                <w:t>Controls and Procedures</w:t>
              </w:r>
            </w:hyperlink>
          </w:p>
        </w:tc>
        <w:tc>
          <w:tcPr>
            <w:tcW w:w="316" w:type="dxa"/>
            <w:tcBorders>
              <w:top w:val="single" w:sz="12" w:space="0" w:color="000000"/>
              <w:left w:val="single" w:sz="12" w:space="0" w:color="000000"/>
              <w:right w:val="single" w:sz="12" w:space="0" w:color="000000"/>
            </w:tcBorders>
            <w:shd w:fill="CCEEFF" w:val="clear"/>
            <w:vAlign w:val="center"/>
          </w:tcPr>
          <w:p>
            <w:pPr>
              <w:pStyle w:val="TableContents"/>
              <w:bidi w:val="0"/>
              <w:spacing w:before="0" w:after="283"/>
              <w:jc w:val="left"/>
              <w:rPr/>
            </w:pPr>
            <w:r>
              <w:rPr/>
              <w:t>50</w:t>
            </w:r>
          </w:p>
        </w:tc>
      </w:tr>
      <w:tr>
        <w:trPr/>
        <w:tc>
          <w:tcPr>
            <w:tcW w:w="931" w:type="dxa"/>
            <w:tcBorders>
              <w:top w:val="single" w:sz="12" w:space="0" w:color="000000"/>
              <w:left w:val="single" w:sz="12" w:space="0" w:color="000000"/>
            </w:tcBorders>
            <w:tcMar>
              <w:right w:w="0" w:type="dxa"/>
            </w:tcMar>
            <w:vAlign w:val="center"/>
          </w:tcPr>
          <w:p>
            <w:pPr>
              <w:pStyle w:val="TableContents"/>
              <w:bidi w:val="0"/>
              <w:spacing w:before="0" w:after="0"/>
              <w:jc w:val="both"/>
              <w:rPr>
                <w:b/>
                <w:smallCaps/>
                <w:sz w:val="20"/>
              </w:rPr>
            </w:pPr>
            <w:r>
              <w:rPr>
                <w:b/>
                <w:smallCaps/>
                <w:sz w:val="20"/>
              </w:rPr>
              <w:t>PART II.</w:t>
            </w:r>
          </w:p>
        </w:tc>
        <w:tc>
          <w:tcPr>
            <w:tcW w:w="7336" w:type="dxa"/>
            <w:tcBorders>
              <w:top w:val="single" w:sz="12" w:space="0" w:color="000000"/>
              <w:left w:val="single" w:sz="12" w:space="0" w:color="000000"/>
            </w:tcBorders>
            <w:tcMar>
              <w:right w:w="0" w:type="dxa"/>
            </w:tcMar>
            <w:vAlign w:val="center"/>
          </w:tcPr>
          <w:p>
            <w:pPr>
              <w:pStyle w:val="TableContents"/>
              <w:bidi w:val="0"/>
              <w:spacing w:before="0" w:after="0"/>
              <w:jc w:val="both"/>
              <w:rPr/>
            </w:pPr>
            <w:hyperlink w:anchor="PARTIIOTHERINFORMATION">
              <w:r>
                <w:rPr>
                  <w:rStyle w:val="InternetLink"/>
                  <w:b/>
                  <w:smallCaps/>
                  <w:sz w:val="20"/>
                </w:rPr>
                <w:t>OTHER INFORMATION</w:t>
              </w:r>
            </w:hyperlink>
          </w:p>
        </w:tc>
        <w:tc>
          <w:tcPr>
            <w:tcW w:w="316" w:type="dxa"/>
            <w:tcBorders>
              <w:top w:val="single" w:sz="12" w:space="0" w:color="000000"/>
              <w:left w:val="single" w:sz="12" w:space="0" w:color="000000"/>
              <w:right w:val="single" w:sz="12" w:space="0" w:color="000000"/>
            </w:tcBorders>
            <w:vAlign w:val="center"/>
          </w:tcPr>
          <w:p>
            <w:pPr>
              <w:pStyle w:val="TableContents"/>
              <w:bidi w:val="0"/>
              <w:spacing w:before="0" w:after="283"/>
              <w:jc w:val="left"/>
              <w:rPr/>
            </w:pPr>
            <w:r>
              <w:rPr/>
              <w:t>51</w:t>
            </w:r>
          </w:p>
        </w:tc>
      </w:tr>
      <w:tr>
        <w:trPr/>
        <w:tc>
          <w:tcPr>
            <w:tcW w:w="931" w:type="dxa"/>
            <w:tcBorders>
              <w:top w:val="single" w:sz="12" w:space="0" w:color="000000"/>
              <w:left w:val="single" w:sz="12" w:space="0" w:color="000000"/>
            </w:tcBorders>
            <w:shd w:fill="CCEEFF" w:val="clear"/>
            <w:tcMar>
              <w:right w:w="0" w:type="dxa"/>
            </w:tcMar>
            <w:vAlign w:val="center"/>
          </w:tcPr>
          <w:p>
            <w:pPr>
              <w:pStyle w:val="TableContents"/>
              <w:bidi w:val="0"/>
              <w:spacing w:before="0" w:after="0"/>
              <w:jc w:val="both"/>
              <w:rPr>
                <w:sz w:val="20"/>
              </w:rPr>
            </w:pPr>
            <w:r>
              <w:rPr>
                <w:sz w:val="20"/>
              </w:rPr>
              <w:t>Item 1.</w:t>
            </w:r>
          </w:p>
        </w:tc>
        <w:tc>
          <w:tcPr>
            <w:tcW w:w="7336" w:type="dxa"/>
            <w:tcBorders>
              <w:top w:val="single" w:sz="12" w:space="0" w:color="000000"/>
              <w:left w:val="single" w:sz="12" w:space="0" w:color="000000"/>
            </w:tcBorders>
            <w:shd w:fill="CCEEFF" w:val="clear"/>
            <w:tcMar>
              <w:right w:w="0" w:type="dxa"/>
            </w:tcMar>
            <w:vAlign w:val="center"/>
          </w:tcPr>
          <w:p>
            <w:pPr>
              <w:pStyle w:val="TableContents"/>
              <w:bidi w:val="0"/>
              <w:spacing w:before="0" w:after="0"/>
              <w:jc w:val="both"/>
              <w:rPr/>
            </w:pPr>
            <w:hyperlink w:anchor="Legal">
              <w:r>
                <w:rPr>
                  <w:rStyle w:val="InternetLink"/>
                  <w:sz w:val="20"/>
                </w:rPr>
                <w:t>Legal Proceedings</w:t>
              </w:r>
            </w:hyperlink>
          </w:p>
        </w:tc>
        <w:tc>
          <w:tcPr>
            <w:tcW w:w="316" w:type="dxa"/>
            <w:tcBorders>
              <w:top w:val="single" w:sz="12" w:space="0" w:color="000000"/>
              <w:left w:val="single" w:sz="12" w:space="0" w:color="000000"/>
              <w:right w:val="single" w:sz="12" w:space="0" w:color="000000"/>
            </w:tcBorders>
            <w:shd w:fill="CCEEFF" w:val="clear"/>
            <w:vAlign w:val="center"/>
          </w:tcPr>
          <w:p>
            <w:pPr>
              <w:pStyle w:val="TableContents"/>
              <w:bidi w:val="0"/>
              <w:spacing w:before="0" w:after="283"/>
              <w:jc w:val="left"/>
              <w:rPr/>
            </w:pPr>
            <w:r>
              <w:rPr/>
              <w:t>51</w:t>
            </w:r>
          </w:p>
        </w:tc>
      </w:tr>
      <w:tr>
        <w:trPr/>
        <w:tc>
          <w:tcPr>
            <w:tcW w:w="931" w:type="dxa"/>
            <w:tcBorders>
              <w:top w:val="single" w:sz="12" w:space="0" w:color="000000"/>
              <w:left w:val="single" w:sz="12" w:space="0" w:color="000000"/>
            </w:tcBorders>
            <w:tcMar>
              <w:right w:w="0" w:type="dxa"/>
            </w:tcMar>
            <w:vAlign w:val="center"/>
          </w:tcPr>
          <w:p>
            <w:pPr>
              <w:pStyle w:val="TableContents"/>
              <w:bidi w:val="0"/>
              <w:spacing w:before="0" w:after="0"/>
              <w:jc w:val="both"/>
              <w:rPr>
                <w:sz w:val="20"/>
              </w:rPr>
            </w:pPr>
            <w:r>
              <w:rPr>
                <w:sz w:val="20"/>
              </w:rPr>
              <w:t>Item 1A.</w:t>
            </w:r>
          </w:p>
        </w:tc>
        <w:tc>
          <w:tcPr>
            <w:tcW w:w="7336" w:type="dxa"/>
            <w:tcBorders>
              <w:top w:val="single" w:sz="12" w:space="0" w:color="000000"/>
              <w:left w:val="single" w:sz="12" w:space="0" w:color="000000"/>
            </w:tcBorders>
            <w:tcMar>
              <w:right w:w="0" w:type="dxa"/>
            </w:tcMar>
            <w:vAlign w:val="center"/>
          </w:tcPr>
          <w:p>
            <w:pPr>
              <w:pStyle w:val="TableContents"/>
              <w:bidi w:val="0"/>
              <w:spacing w:before="0" w:after="0"/>
              <w:jc w:val="both"/>
              <w:rPr/>
            </w:pPr>
            <w:hyperlink w:anchor="Risk">
              <w:r>
                <w:rPr>
                  <w:rStyle w:val="InternetLink"/>
                  <w:sz w:val="20"/>
                </w:rPr>
                <w:t>Risk Factors</w:t>
              </w:r>
            </w:hyperlink>
          </w:p>
        </w:tc>
        <w:tc>
          <w:tcPr>
            <w:tcW w:w="316" w:type="dxa"/>
            <w:tcBorders>
              <w:top w:val="single" w:sz="12" w:space="0" w:color="000000"/>
              <w:left w:val="single" w:sz="12" w:space="0" w:color="000000"/>
              <w:right w:val="single" w:sz="12" w:space="0" w:color="000000"/>
            </w:tcBorders>
            <w:vAlign w:val="center"/>
          </w:tcPr>
          <w:p>
            <w:pPr>
              <w:pStyle w:val="TableContents"/>
              <w:bidi w:val="0"/>
              <w:spacing w:before="0" w:after="0"/>
              <w:jc w:val="both"/>
              <w:rPr>
                <w:sz w:val="20"/>
              </w:rPr>
            </w:pPr>
            <w:r>
              <w:rPr>
                <w:sz w:val="20"/>
              </w:rPr>
              <w:t>51</w:t>
            </w:r>
          </w:p>
        </w:tc>
      </w:tr>
      <w:tr>
        <w:trPr/>
        <w:tc>
          <w:tcPr>
            <w:tcW w:w="931" w:type="dxa"/>
            <w:tcBorders>
              <w:top w:val="single" w:sz="12" w:space="0" w:color="000000"/>
              <w:left w:val="single" w:sz="12" w:space="0" w:color="000000"/>
            </w:tcBorders>
            <w:shd w:fill="CCEEFF" w:val="clear"/>
            <w:tcMar>
              <w:right w:w="0" w:type="dxa"/>
            </w:tcMar>
            <w:vAlign w:val="center"/>
          </w:tcPr>
          <w:p>
            <w:pPr>
              <w:pStyle w:val="TableContents"/>
              <w:bidi w:val="0"/>
              <w:spacing w:before="0" w:after="0"/>
              <w:jc w:val="both"/>
              <w:rPr>
                <w:sz w:val="20"/>
              </w:rPr>
            </w:pPr>
            <w:r>
              <w:rPr>
                <w:sz w:val="20"/>
              </w:rPr>
              <w:t>Item 2.</w:t>
            </w:r>
          </w:p>
        </w:tc>
        <w:tc>
          <w:tcPr>
            <w:tcW w:w="7336" w:type="dxa"/>
            <w:tcBorders>
              <w:top w:val="single" w:sz="12" w:space="0" w:color="000000"/>
              <w:left w:val="single" w:sz="12" w:space="0" w:color="000000"/>
            </w:tcBorders>
            <w:shd w:fill="CCEEFF" w:val="clear"/>
            <w:tcMar>
              <w:right w:w="0" w:type="dxa"/>
            </w:tcMar>
            <w:vAlign w:val="center"/>
          </w:tcPr>
          <w:p>
            <w:pPr>
              <w:pStyle w:val="TableContents"/>
              <w:bidi w:val="0"/>
              <w:spacing w:before="0" w:after="0"/>
              <w:jc w:val="both"/>
              <w:rPr/>
            </w:pPr>
            <w:hyperlink w:anchor="Unregistered">
              <w:r>
                <w:rPr>
                  <w:rStyle w:val="InternetLink"/>
                  <w:sz w:val="20"/>
                </w:rPr>
                <w:t>Unregistered Sales of Equity Securities and Use of Proceeds</w:t>
              </w:r>
            </w:hyperlink>
          </w:p>
        </w:tc>
        <w:tc>
          <w:tcPr>
            <w:tcW w:w="316" w:type="dxa"/>
            <w:tcBorders>
              <w:top w:val="single" w:sz="12" w:space="0" w:color="000000"/>
              <w:left w:val="single" w:sz="12" w:space="0" w:color="000000"/>
              <w:right w:val="single" w:sz="12" w:space="0" w:color="000000"/>
            </w:tcBorders>
            <w:shd w:fill="CCEEFF" w:val="clear"/>
            <w:vAlign w:val="center"/>
          </w:tcPr>
          <w:p>
            <w:pPr>
              <w:pStyle w:val="TableContents"/>
              <w:bidi w:val="0"/>
              <w:spacing w:before="0" w:after="283"/>
              <w:jc w:val="left"/>
              <w:rPr/>
            </w:pPr>
            <w:r>
              <w:rPr/>
              <w:t>52</w:t>
            </w:r>
          </w:p>
        </w:tc>
      </w:tr>
      <w:tr>
        <w:trPr/>
        <w:tc>
          <w:tcPr>
            <w:tcW w:w="931" w:type="dxa"/>
            <w:tcBorders>
              <w:top w:val="single" w:sz="12" w:space="0" w:color="000000"/>
              <w:left w:val="single" w:sz="12" w:space="0" w:color="000000"/>
            </w:tcBorders>
            <w:tcMar>
              <w:right w:w="0" w:type="dxa"/>
            </w:tcMar>
            <w:vAlign w:val="center"/>
          </w:tcPr>
          <w:p>
            <w:pPr>
              <w:pStyle w:val="TableContents"/>
              <w:bidi w:val="0"/>
              <w:spacing w:before="0" w:after="0"/>
              <w:jc w:val="both"/>
              <w:rPr>
                <w:sz w:val="20"/>
              </w:rPr>
            </w:pPr>
            <w:r>
              <w:rPr>
                <w:sz w:val="20"/>
              </w:rPr>
              <w:t>Item 3.</w:t>
            </w:r>
          </w:p>
        </w:tc>
        <w:tc>
          <w:tcPr>
            <w:tcW w:w="7336" w:type="dxa"/>
            <w:tcBorders>
              <w:top w:val="single" w:sz="12" w:space="0" w:color="000000"/>
              <w:left w:val="single" w:sz="12" w:space="0" w:color="000000"/>
            </w:tcBorders>
            <w:tcMar>
              <w:right w:w="0" w:type="dxa"/>
            </w:tcMar>
            <w:vAlign w:val="center"/>
          </w:tcPr>
          <w:p>
            <w:pPr>
              <w:pStyle w:val="TableContents"/>
              <w:bidi w:val="0"/>
              <w:spacing w:before="0" w:after="0"/>
              <w:jc w:val="both"/>
              <w:rPr/>
            </w:pPr>
            <w:hyperlink w:anchor="Defaults">
              <w:r>
                <w:rPr>
                  <w:rStyle w:val="InternetLink"/>
                  <w:sz w:val="20"/>
                </w:rPr>
                <w:t>Defaults upon Senior Securities</w:t>
              </w:r>
            </w:hyperlink>
          </w:p>
        </w:tc>
        <w:tc>
          <w:tcPr>
            <w:tcW w:w="316" w:type="dxa"/>
            <w:tcBorders>
              <w:top w:val="single" w:sz="12" w:space="0" w:color="000000"/>
              <w:left w:val="single" w:sz="12" w:space="0" w:color="000000"/>
              <w:right w:val="single" w:sz="12" w:space="0" w:color="000000"/>
            </w:tcBorders>
            <w:vAlign w:val="center"/>
          </w:tcPr>
          <w:p>
            <w:pPr>
              <w:pStyle w:val="TableContents"/>
              <w:bidi w:val="0"/>
              <w:spacing w:before="0" w:after="283"/>
              <w:jc w:val="left"/>
              <w:rPr/>
            </w:pPr>
            <w:r>
              <w:rPr/>
              <w:t>52</w:t>
            </w:r>
          </w:p>
        </w:tc>
      </w:tr>
      <w:tr>
        <w:trPr/>
        <w:tc>
          <w:tcPr>
            <w:tcW w:w="931" w:type="dxa"/>
            <w:tcBorders>
              <w:top w:val="single" w:sz="12" w:space="0" w:color="000000"/>
              <w:left w:val="single" w:sz="12" w:space="0" w:color="000000"/>
            </w:tcBorders>
            <w:shd w:fill="CCEEFF" w:val="clear"/>
            <w:tcMar>
              <w:right w:w="0" w:type="dxa"/>
            </w:tcMar>
            <w:vAlign w:val="center"/>
          </w:tcPr>
          <w:p>
            <w:pPr>
              <w:pStyle w:val="TableContents"/>
              <w:bidi w:val="0"/>
              <w:spacing w:before="0" w:after="0"/>
              <w:jc w:val="both"/>
              <w:rPr>
                <w:sz w:val="20"/>
              </w:rPr>
            </w:pPr>
            <w:r>
              <w:rPr>
                <w:sz w:val="20"/>
              </w:rPr>
              <w:t>Item 4.</w:t>
            </w:r>
          </w:p>
        </w:tc>
        <w:tc>
          <w:tcPr>
            <w:tcW w:w="7336" w:type="dxa"/>
            <w:tcBorders>
              <w:top w:val="single" w:sz="12" w:space="0" w:color="000000"/>
              <w:left w:val="single" w:sz="12" w:space="0" w:color="000000"/>
            </w:tcBorders>
            <w:shd w:fill="CCEEFF" w:val="clear"/>
            <w:tcMar>
              <w:right w:w="0" w:type="dxa"/>
            </w:tcMar>
            <w:vAlign w:val="center"/>
          </w:tcPr>
          <w:p>
            <w:pPr>
              <w:pStyle w:val="TableContents"/>
              <w:bidi w:val="0"/>
              <w:spacing w:before="0" w:after="0"/>
              <w:jc w:val="both"/>
              <w:rPr/>
            </w:pPr>
            <w:hyperlink w:anchor="Mine">
              <w:r>
                <w:rPr>
                  <w:rStyle w:val="InternetLink"/>
                  <w:sz w:val="20"/>
                </w:rPr>
                <w:t>Mine Safety Disclosures</w:t>
              </w:r>
            </w:hyperlink>
          </w:p>
        </w:tc>
        <w:tc>
          <w:tcPr>
            <w:tcW w:w="316" w:type="dxa"/>
            <w:tcBorders>
              <w:top w:val="single" w:sz="12" w:space="0" w:color="000000"/>
              <w:left w:val="single" w:sz="12" w:space="0" w:color="000000"/>
              <w:right w:val="single" w:sz="12" w:space="0" w:color="000000"/>
            </w:tcBorders>
            <w:shd w:fill="CCEEFF" w:val="clear"/>
            <w:vAlign w:val="center"/>
          </w:tcPr>
          <w:p>
            <w:pPr>
              <w:pStyle w:val="TableContents"/>
              <w:bidi w:val="0"/>
              <w:spacing w:before="0" w:after="283"/>
              <w:jc w:val="left"/>
              <w:rPr/>
            </w:pPr>
            <w:r>
              <w:rPr/>
              <w:t>52</w:t>
            </w:r>
          </w:p>
        </w:tc>
      </w:tr>
      <w:tr>
        <w:trPr/>
        <w:tc>
          <w:tcPr>
            <w:tcW w:w="931" w:type="dxa"/>
            <w:tcBorders>
              <w:top w:val="single" w:sz="12" w:space="0" w:color="000000"/>
              <w:left w:val="single" w:sz="12" w:space="0" w:color="000000"/>
            </w:tcBorders>
            <w:tcMar>
              <w:right w:w="0" w:type="dxa"/>
            </w:tcMar>
            <w:vAlign w:val="center"/>
          </w:tcPr>
          <w:p>
            <w:pPr>
              <w:pStyle w:val="TableContents"/>
              <w:bidi w:val="0"/>
              <w:spacing w:before="0" w:after="0"/>
              <w:jc w:val="both"/>
              <w:rPr>
                <w:sz w:val="20"/>
              </w:rPr>
            </w:pPr>
            <w:r>
              <w:rPr>
                <w:sz w:val="20"/>
              </w:rPr>
              <w:t>Item 5.</w:t>
            </w:r>
          </w:p>
        </w:tc>
        <w:tc>
          <w:tcPr>
            <w:tcW w:w="7336" w:type="dxa"/>
            <w:tcBorders>
              <w:top w:val="single" w:sz="12" w:space="0" w:color="000000"/>
              <w:left w:val="single" w:sz="12" w:space="0" w:color="000000"/>
            </w:tcBorders>
            <w:tcMar>
              <w:right w:w="0" w:type="dxa"/>
            </w:tcMar>
            <w:vAlign w:val="center"/>
          </w:tcPr>
          <w:p>
            <w:pPr>
              <w:pStyle w:val="TableContents"/>
              <w:bidi w:val="0"/>
              <w:spacing w:before="0" w:after="0"/>
              <w:jc w:val="both"/>
              <w:rPr/>
            </w:pPr>
            <w:hyperlink w:anchor="Other">
              <w:r>
                <w:rPr>
                  <w:rStyle w:val="InternetLink"/>
                  <w:sz w:val="20"/>
                </w:rPr>
                <w:t>Other Information</w:t>
              </w:r>
            </w:hyperlink>
          </w:p>
        </w:tc>
        <w:tc>
          <w:tcPr>
            <w:tcW w:w="316" w:type="dxa"/>
            <w:tcBorders>
              <w:top w:val="single" w:sz="12" w:space="0" w:color="000000"/>
              <w:left w:val="single" w:sz="12" w:space="0" w:color="000000"/>
              <w:right w:val="single" w:sz="12" w:space="0" w:color="000000"/>
            </w:tcBorders>
            <w:vAlign w:val="center"/>
          </w:tcPr>
          <w:p>
            <w:pPr>
              <w:pStyle w:val="TableContents"/>
              <w:bidi w:val="0"/>
              <w:spacing w:before="0" w:after="283"/>
              <w:jc w:val="left"/>
              <w:rPr/>
            </w:pPr>
            <w:r>
              <w:rPr/>
              <w:t>52</w:t>
            </w:r>
          </w:p>
        </w:tc>
      </w:tr>
      <w:tr>
        <w:trPr/>
        <w:tc>
          <w:tcPr>
            <w:tcW w:w="931" w:type="dxa"/>
            <w:tcBorders>
              <w:top w:val="single" w:sz="12" w:space="0" w:color="000000"/>
              <w:left w:val="single" w:sz="12" w:space="0" w:color="000000"/>
            </w:tcBorders>
            <w:shd w:fill="CCEEFF" w:val="clear"/>
            <w:tcMar>
              <w:right w:w="0" w:type="dxa"/>
            </w:tcMar>
            <w:vAlign w:val="center"/>
          </w:tcPr>
          <w:p>
            <w:pPr>
              <w:pStyle w:val="TableContents"/>
              <w:bidi w:val="0"/>
              <w:spacing w:before="0" w:after="0"/>
              <w:jc w:val="both"/>
              <w:rPr>
                <w:sz w:val="20"/>
              </w:rPr>
            </w:pPr>
            <w:r>
              <w:rPr>
                <w:sz w:val="20"/>
              </w:rPr>
              <w:t>Item 6.</w:t>
            </w:r>
          </w:p>
        </w:tc>
        <w:tc>
          <w:tcPr>
            <w:tcW w:w="7336" w:type="dxa"/>
            <w:tcBorders>
              <w:top w:val="single" w:sz="12" w:space="0" w:color="000000"/>
              <w:left w:val="single" w:sz="12" w:space="0" w:color="000000"/>
            </w:tcBorders>
            <w:shd w:fill="CCEEFF" w:val="clear"/>
            <w:tcMar>
              <w:right w:w="0" w:type="dxa"/>
            </w:tcMar>
            <w:vAlign w:val="center"/>
          </w:tcPr>
          <w:p>
            <w:pPr>
              <w:pStyle w:val="TableContents"/>
              <w:bidi w:val="0"/>
              <w:spacing w:before="0" w:after="0"/>
              <w:jc w:val="both"/>
              <w:rPr/>
            </w:pPr>
            <w:hyperlink w:anchor="Exhibits">
              <w:r>
                <w:rPr>
                  <w:rStyle w:val="InternetLink"/>
                  <w:sz w:val="20"/>
                </w:rPr>
                <w:t>Exhibits</w:t>
              </w:r>
            </w:hyperlink>
          </w:p>
        </w:tc>
        <w:tc>
          <w:tcPr>
            <w:tcW w:w="316" w:type="dxa"/>
            <w:tcBorders>
              <w:top w:val="single" w:sz="12" w:space="0" w:color="000000"/>
              <w:left w:val="single" w:sz="12" w:space="0" w:color="000000"/>
              <w:right w:val="single" w:sz="12" w:space="0" w:color="000000"/>
            </w:tcBorders>
            <w:shd w:fill="CCEEFF" w:val="clear"/>
            <w:vAlign w:val="center"/>
          </w:tcPr>
          <w:p>
            <w:pPr>
              <w:pStyle w:val="TableContents"/>
              <w:bidi w:val="0"/>
              <w:spacing w:before="0" w:after="283"/>
              <w:jc w:val="left"/>
              <w:rPr/>
            </w:pPr>
            <w:r>
              <w:rPr/>
              <w:t>53</w:t>
            </w:r>
          </w:p>
        </w:tc>
      </w:tr>
      <w:tr>
        <w:trPr/>
        <w:tc>
          <w:tcPr>
            <w:tcW w:w="931" w:type="dxa"/>
            <w:tcBorders>
              <w:top w:val="single" w:sz="12" w:space="0" w:color="000000"/>
              <w:left w:val="single" w:sz="12" w:space="0" w:color="000000"/>
              <w:bottom w:val="single" w:sz="12" w:space="0" w:color="000000"/>
            </w:tcBorders>
            <w:tcMar>
              <w:bottom w:w="28" w:type="dxa"/>
              <w:right w:w="0" w:type="dxa"/>
            </w:tcMar>
            <w:vAlign w:val="center"/>
          </w:tcPr>
          <w:p>
            <w:pPr>
              <w:pStyle w:val="TableContents"/>
              <w:bidi w:val="0"/>
              <w:spacing w:before="0" w:after="0"/>
              <w:jc w:val="both"/>
              <w:rPr/>
            </w:pPr>
            <w:hyperlink w:anchor="SIGNATURE">
              <w:r>
                <w:rPr>
                  <w:rStyle w:val="InternetLink"/>
                  <w:sz w:val="20"/>
                </w:rPr>
                <w:t>Signatures</w:t>
              </w:r>
            </w:hyperlink>
          </w:p>
        </w:tc>
        <w:tc>
          <w:tcPr>
            <w:tcW w:w="7336" w:type="dxa"/>
            <w:tcBorders>
              <w:top w:val="single" w:sz="12" w:space="0" w:color="000000"/>
              <w:left w:val="single" w:sz="12" w:space="0" w:color="000000"/>
              <w:bottom w:val="single" w:sz="12" w:space="0" w:color="000000"/>
            </w:tcBorders>
            <w:tcMar>
              <w:bottom w:w="28" w:type="dxa"/>
              <w:right w:w="0" w:type="dxa"/>
            </w:tcMar>
            <w:vAlign w:val="center"/>
          </w:tcPr>
          <w:p>
            <w:pPr>
              <w:pStyle w:val="TableContents"/>
              <w:bidi w:val="0"/>
              <w:spacing w:before="0" w:after="283"/>
              <w:jc w:val="left"/>
              <w:rPr/>
            </w:pPr>
            <w:r>
              <w:rPr/>
              <w:t> </w:t>
            </w:r>
          </w:p>
        </w:tc>
        <w:tc>
          <w:tcPr>
            <w:tcW w:w="316" w:type="dxa"/>
            <w:tcBorders>
              <w:top w:val="single" w:sz="12" w:space="0" w:color="000000"/>
              <w:left w:val="single" w:sz="12" w:space="0" w:color="000000"/>
              <w:bottom w:val="single" w:sz="12" w:space="0" w:color="000000"/>
              <w:right w:val="single" w:sz="12" w:space="0" w:color="000000"/>
            </w:tcBorders>
            <w:tcMar>
              <w:bottom w:w="28" w:type="dxa"/>
            </w:tcMar>
            <w:vAlign w:val="center"/>
          </w:tcPr>
          <w:p>
            <w:pPr>
              <w:pStyle w:val="TableContents"/>
              <w:bidi w:val="0"/>
              <w:spacing w:before="0" w:after="283"/>
              <w:jc w:val="left"/>
              <w:rPr/>
            </w:pPr>
            <w:r>
              <w:rPr/>
              <w:t>53</w:t>
            </w:r>
          </w:p>
        </w:tc>
      </w:tr>
    </w:tbl>
    <w:p>
      <w:pPr>
        <w:pStyle w:val="TextBody"/>
        <w:bidi w:val="0"/>
        <w:spacing w:before="0" w:after="0"/>
        <w:ind w:left="180" w:right="0" w:hanging="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2</w:t>
      </w:r>
    </w:p>
    <w:p>
      <w:pPr>
        <w:pStyle w:val="HorizontalLine"/>
        <w:bidi w:val="0"/>
        <w:spacing w:before="200" w:after="200"/>
        <w:jc w:val="left"/>
        <w:rPr/>
      </w:pPr>
      <w:r>
        <w:rPr/>
      </w:r>
    </w:p>
    <w:p>
      <w:pPr>
        <w:pStyle w:val="TextBody"/>
        <w:bidi w:val="0"/>
        <w:spacing w:before="200" w:after="200"/>
        <w:jc w:val="left"/>
        <w:rPr/>
      </w:pPr>
      <w:hyperlink w:anchor="Contents">
        <w:r>
          <w:rPr>
            <w:rStyle w:val="InternetLink"/>
            <w:rFonts w:ascii="Times New Roman" w:hAnsi="Times New Roman"/>
            <w:i/>
            <w:color w:val="000000"/>
            <w:sz w:val="16"/>
            <w:shd w:fill="FFFFFF" w:val="clear"/>
          </w:rPr>
          <w:t>Table of Contents</w:t>
        </w:r>
      </w:hyperlink>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NOTE REGARDING FORWARD-LOOKING STATEMENTS</w:t>
      </w:r>
    </w:p>
    <w:p>
      <w:pPr>
        <w:pStyle w:val="TextBody"/>
        <w:bidi w:val="0"/>
        <w:spacing w:before="0" w:after="0"/>
        <w:jc w:val="left"/>
        <w:rPr>
          <w:sz w:val="20"/>
        </w:rPr>
      </w:pPr>
      <w:r>
        <w:rPr>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This Quarterly Report on Form 10-Q contains forward-looking statements. All statements contained in this Quarterly Report on Form 10-Q other than statements of historical fact, including statements regarding our future results of operations and financial position, our business strategy and plans, and our objectives for future operations, are forward-looking statements. The words “believe,” “may,” “will,” “estimate,” “continue,” “anticipate,” “intend,” “expect,” and similar expressions are intended to identify forward-looking statements. We have based these forward-looking statements largely on our current expectations and projections about future events and trends that we believe may affect our financial condition, results of operations, business strategy, short-term and long-term business operations and objectives, and financial needs. These forward-looking statements are subject to a number of risks, uncertainties and assumptions, including those described in Part I, Item 1A, “Risk Factors” in our Annual Report on Form 10-K. Moreover, we operate in a very competitive and rapidly changing environment.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future events and trends discussed in this Quarterly Report on Form 10-Q may not occur and actual results could differ materially and adversely from those anticipated or implied in the forward-looking statements. We undertake no obligation to revise or publicly release the results of any revision to these forward-looking statements, except as required by law. Given these risks and uncertainties, readers are cautioned not to place undue reliance on such forward-looking statements.</w:t>
      </w:r>
    </w:p>
    <w:p>
      <w:pPr>
        <w:pStyle w:val="TextBody"/>
        <w:bidi w:val="0"/>
        <w:spacing w:before="0" w:after="0"/>
        <w:jc w:val="left"/>
        <w:rPr>
          <w:sz w:val="20"/>
        </w:rPr>
      </w:pPr>
      <w:r>
        <w:rPr>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Unless otherwise stated or unless the context otherwise requires, the terms “Company,” “the registrant,” “our company,” “the company,” “we,” “us,” “our,” “ours,” and “Taboola” refer to Taboola.com Ltd., a company organized under the laws of the State of Israel, and its consolidated subsidiaries.</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3</w:t>
      </w:r>
    </w:p>
    <w:p>
      <w:pPr>
        <w:pStyle w:val="HorizontalLine"/>
        <w:bidi w:val="0"/>
        <w:spacing w:before="200" w:after="200"/>
        <w:jc w:val="left"/>
        <w:rPr/>
      </w:pPr>
      <w:r>
        <w:rPr/>
      </w:r>
    </w:p>
    <w:p>
      <w:pPr>
        <w:pStyle w:val="TextBody"/>
        <w:bidi w:val="0"/>
        <w:spacing w:before="200" w:after="200"/>
        <w:jc w:val="left"/>
        <w:rPr/>
      </w:pPr>
      <w:hyperlink w:anchor="Contents">
        <w:r>
          <w:rPr>
            <w:rStyle w:val="InternetLink"/>
            <w:rFonts w:ascii="Times New Roman" w:hAnsi="Times New Roman"/>
            <w:i/>
            <w:color w:val="000000"/>
            <w:sz w:val="16"/>
            <w:shd w:fill="FFFFFF" w:val="clear"/>
          </w:rPr>
          <w:t>Table of Contents</w:t>
        </w:r>
      </w:hyperlink>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 xml:space="preserve">PART I – </w:t>
      </w:r>
      <w:bookmarkStart w:id="1" w:name="FINANCIAL"/>
      <w:bookmarkEnd w:id="1"/>
      <w:r>
        <w:rPr>
          <w:rFonts w:ascii="Times New Roman" w:hAnsi="Times New Roman"/>
          <w:b/>
          <w:color w:val="000000"/>
          <w:sz w:val="20"/>
          <w:shd w:fill="FFFFFF" w:val="clear"/>
        </w:rPr>
        <w:t>FINANCIAL INFORMATION</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2" w:name="Statements"/>
      <w:bookmarkStart w:id="3" w:name="Statements"/>
      <w:bookmarkEnd w:id="3"/>
    </w:p>
    <w:tbl>
      <w:tblPr>
        <w:tblW w:w="2425" w:type="dxa"/>
        <w:jc w:val="left"/>
        <w:tblInd w:w="0" w:type="dxa"/>
        <w:tblLayout w:type="fixed"/>
        <w:tblCellMar>
          <w:top w:w="0" w:type="dxa"/>
          <w:left w:w="0" w:type="dxa"/>
          <w:bottom w:w="0" w:type="dxa"/>
          <w:right w:w="0" w:type="dxa"/>
        </w:tblCellMar>
      </w:tblPr>
      <w:tblGrid>
        <w:gridCol w:w="620"/>
        <w:gridCol w:w="1805"/>
      </w:tblGrid>
      <w:tr>
        <w:trPr/>
        <w:tc>
          <w:tcPr>
            <w:tcW w:w="62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Item 1.</w:t>
            </w:r>
          </w:p>
        </w:tc>
        <w:tc>
          <w:tcPr>
            <w:tcW w:w="180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Financial Statements</w:t>
            </w:r>
          </w:p>
        </w:tc>
      </w:tr>
    </w:tbl>
    <w:p>
      <w:pPr>
        <w:pStyle w:val="TextBody"/>
        <w:bidi w:val="0"/>
        <w:spacing w:before="0" w:after="0"/>
        <w:jc w:val="left"/>
        <w:rPr/>
      </w:pPr>
      <w:r>
        <w:rPr/>
      </w:r>
    </w:p>
    <w:p>
      <w:pPr>
        <w:pStyle w:val="TextBody"/>
        <w:bidi w:val="0"/>
        <w:spacing w:before="0" w:after="0"/>
        <w:jc w:val="right"/>
        <w:rPr>
          <w:rFonts w:ascii="Times New Roman" w:hAnsi="Times New Roman"/>
          <w:b/>
          <w:color w:val="000000"/>
          <w:sz w:val="18"/>
          <w:shd w:fill="FFFFFF" w:val="clear"/>
        </w:rPr>
      </w:pPr>
      <w:r>
        <w:rPr>
          <w:rFonts w:ascii="Times New Roman" w:hAnsi="Times New Roman"/>
          <w:b/>
          <w:color w:val="000000"/>
          <w:sz w:val="18"/>
          <w:shd w:fill="FFFFFF" w:val="clear"/>
        </w:rPr>
        <w:t>TABOOLA.COM LTD.</w:t>
      </w:r>
    </w:p>
    <w:p>
      <w:pPr>
        <w:pStyle w:val="TextBody"/>
        <w:bidi w:val="0"/>
        <w:spacing w:before="0" w:after="0"/>
        <w:jc w:val="right"/>
        <w:rPr>
          <w:rFonts w:ascii="Times New Roman" w:hAnsi="Times New Roman"/>
          <w:b/>
          <w:sz w:val="20"/>
        </w:rPr>
      </w:pPr>
      <w:r>
        <w:rPr>
          <w:rFonts w:ascii="Times New Roman" w:hAnsi="Times New Roman"/>
          <w:b/>
          <w:sz w:val="20"/>
        </w:rPr>
      </w:r>
    </w:p>
    <w:p>
      <w:pPr>
        <w:pStyle w:val="TextBody"/>
        <w:bidi w:val="0"/>
        <w:spacing w:before="0" w:after="0"/>
        <w:jc w:val="both"/>
        <w:rPr>
          <w:rFonts w:ascii="Times New Roman" w:hAnsi="Times New Roman"/>
          <w:b/>
          <w:color w:val="000000"/>
          <w:sz w:val="20"/>
          <w:shd w:fill="FFFFFF" w:val="clear"/>
        </w:rPr>
      </w:pPr>
      <w:bookmarkStart w:id="4" w:name="SHEETS"/>
      <w:bookmarkEnd w:id="4"/>
      <w:r>
        <w:rPr>
          <w:rFonts w:ascii="Times New Roman" w:hAnsi="Times New Roman"/>
          <w:b/>
          <w:color w:val="000000"/>
          <w:sz w:val="20"/>
          <w:shd w:fill="FFFFFF" w:val="clear"/>
        </w:rPr>
        <w:t>CONSOLIDATED INTERIM BALANCE SHEETS</w:t>
      </w:r>
    </w:p>
    <w:p>
      <w:pPr>
        <w:pStyle w:val="HorizontalLine"/>
        <w:bidi w:val="0"/>
        <w:jc w:val="both"/>
        <w:rPr/>
      </w:pPr>
      <w:r>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U.S. dollars in thousands, except share and per share data</w:t>
      </w:r>
    </w:p>
    <w:p>
      <w:pPr>
        <w:pStyle w:val="TextBody"/>
        <w:bidi w:val="0"/>
        <w:spacing w:before="0" w:after="0"/>
        <w:jc w:val="both"/>
        <w:rPr/>
      </w:pPr>
      <w:r>
        <w:rPr/>
      </w:r>
    </w:p>
    <w:tbl>
      <w:tblPr>
        <w:tblW w:w="10205" w:type="dxa"/>
        <w:jc w:val="left"/>
        <w:tblInd w:w="0" w:type="dxa"/>
        <w:tblLayout w:type="fixed"/>
        <w:tblCellMar>
          <w:top w:w="0" w:type="dxa"/>
          <w:left w:w="0" w:type="dxa"/>
          <w:bottom w:w="0" w:type="dxa"/>
          <w:right w:w="0" w:type="dxa"/>
        </w:tblCellMar>
      </w:tblPr>
      <w:tblGrid>
        <w:gridCol w:w="7736"/>
        <w:gridCol w:w="60"/>
        <w:gridCol w:w="145"/>
        <w:gridCol w:w="983"/>
        <w:gridCol w:w="60"/>
        <w:gridCol w:w="60"/>
        <w:gridCol w:w="141"/>
        <w:gridCol w:w="958"/>
        <w:gridCol w:w="62"/>
      </w:tblGrid>
      <w:tr>
        <w:trPr/>
        <w:tc>
          <w:tcPr>
            <w:tcW w:w="77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8" w:type="dxa"/>
            <w:gridSpan w:val="2"/>
            <w:tcBorders/>
            <w:vAlign w:val="bottom"/>
          </w:tcPr>
          <w:p>
            <w:pPr>
              <w:pStyle w:val="TableContents"/>
              <w:bidi w:val="0"/>
              <w:spacing w:before="0" w:after="0"/>
              <w:jc w:val="center"/>
              <w:rPr>
                <w:b/>
                <w:sz w:val="20"/>
              </w:rPr>
            </w:pPr>
            <w:r>
              <w:rPr>
                <w:b/>
                <w:sz w:val="20"/>
              </w:rPr>
              <w:t>September 30,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99" w:type="dxa"/>
            <w:gridSpan w:val="2"/>
            <w:tcBorders/>
            <w:vAlign w:val="bottom"/>
          </w:tcPr>
          <w:p>
            <w:pPr>
              <w:pStyle w:val="TableContents"/>
              <w:bidi w:val="0"/>
              <w:spacing w:before="0" w:after="0"/>
              <w:jc w:val="center"/>
              <w:rPr>
                <w:b/>
                <w:sz w:val="20"/>
              </w:rPr>
            </w:pPr>
            <w:r>
              <w:rPr>
                <w:b/>
                <w:sz w:val="20"/>
              </w:rPr>
              <w:t>December 31,</w:t>
            </w:r>
          </w:p>
        </w:tc>
        <w:tc>
          <w:tcPr>
            <w:tcW w:w="62" w:type="dxa"/>
            <w:tcBorders/>
            <w:vAlign w:val="bottom"/>
          </w:tcPr>
          <w:p>
            <w:pPr>
              <w:pStyle w:val="TableContents"/>
              <w:bidi w:val="0"/>
              <w:spacing w:before="0" w:after="283"/>
              <w:jc w:val="left"/>
              <w:rPr/>
            </w:pPr>
            <w:r>
              <w:rPr/>
              <w:t> </w:t>
            </w:r>
          </w:p>
        </w:tc>
      </w:tr>
      <w:tr>
        <w:trPr/>
        <w:tc>
          <w:tcPr>
            <w:tcW w:w="77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8" w:type="dxa"/>
            <w:gridSpan w:val="2"/>
            <w:tcBorders>
              <w:bottom w:val="single" w:sz="12" w:space="0" w:color="000000"/>
            </w:tcBorders>
            <w:tcMar>
              <w:bottom w:w="28" w:type="dxa"/>
            </w:tcMar>
            <w:vAlign w:val="bottom"/>
          </w:tcPr>
          <w:p>
            <w:pPr>
              <w:pStyle w:val="TableContents"/>
              <w:bidi w:val="0"/>
              <w:spacing w:before="0" w:after="0"/>
              <w:jc w:val="center"/>
              <w:rPr>
                <w:b/>
                <w:sz w:val="20"/>
              </w:rPr>
            </w:pPr>
            <w:r>
              <w:rPr>
                <w:b/>
                <w:sz w:val="20"/>
              </w:rPr>
              <w:t>2023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99" w:type="dxa"/>
            <w:gridSpan w:val="2"/>
            <w:tcBorders>
              <w:bottom w:val="single" w:sz="12" w:space="0" w:color="000000"/>
            </w:tcBorders>
            <w:tcMar>
              <w:bottom w:w="28" w:type="dxa"/>
            </w:tcMar>
            <w:vAlign w:val="bottom"/>
          </w:tcPr>
          <w:p>
            <w:pPr>
              <w:pStyle w:val="TableContents"/>
              <w:bidi w:val="0"/>
              <w:spacing w:before="0" w:after="0"/>
              <w:jc w:val="center"/>
              <w:rPr>
                <w:b/>
                <w:sz w:val="20"/>
              </w:rPr>
            </w:pPr>
            <w:r>
              <w:rPr>
                <w:b/>
                <w:sz w:val="20"/>
              </w:rPr>
              <w:t>2022</w:t>
            </w:r>
          </w:p>
        </w:tc>
        <w:tc>
          <w:tcPr>
            <w:tcW w:w="62" w:type="dxa"/>
            <w:tcBorders/>
            <w:vAlign w:val="bottom"/>
          </w:tcPr>
          <w:p>
            <w:pPr>
              <w:pStyle w:val="TableContents"/>
              <w:bidi w:val="0"/>
              <w:spacing w:before="0" w:after="283"/>
              <w:jc w:val="left"/>
              <w:rPr/>
            </w:pPr>
            <w:r>
              <w:rPr/>
              <w:t> </w:t>
            </w:r>
          </w:p>
        </w:tc>
      </w:tr>
      <w:tr>
        <w:trPr/>
        <w:tc>
          <w:tcPr>
            <w:tcW w:w="77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8" w:type="dxa"/>
            <w:gridSpan w:val="2"/>
            <w:tcBorders>
              <w:bottom w:val="single" w:sz="12" w:space="0" w:color="000000"/>
            </w:tcBorders>
            <w:tcMar>
              <w:bottom w:w="28" w:type="dxa"/>
            </w:tcMar>
            <w:vAlign w:val="bottom"/>
          </w:tcPr>
          <w:p>
            <w:pPr>
              <w:pStyle w:val="TableContents"/>
              <w:bidi w:val="0"/>
              <w:spacing w:before="0" w:after="0"/>
              <w:jc w:val="center"/>
              <w:rPr>
                <w:b/>
                <w:sz w:val="20"/>
              </w:rPr>
            </w:pPr>
            <w:r>
              <w:rPr>
                <w:b/>
                <w:sz w:val="20"/>
              </w:rPr>
              <w:t>Unaudited</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99" w:type="dxa"/>
            <w:gridSpan w:val="2"/>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r>
      <w:tr>
        <w:trPr/>
        <w:tc>
          <w:tcPr>
            <w:tcW w:w="7736" w:type="dxa"/>
            <w:tcBorders/>
            <w:vAlign w:val="bottom"/>
          </w:tcPr>
          <w:p>
            <w:pPr>
              <w:pStyle w:val="TableContents"/>
              <w:bidi w:val="0"/>
              <w:spacing w:before="0" w:after="0"/>
              <w:jc w:val="left"/>
              <w:rPr>
                <w:b/>
                <w:sz w:val="20"/>
              </w:rPr>
            </w:pPr>
            <w:r>
              <w:rPr>
                <w:b/>
                <w:sz w:val="20"/>
              </w:rPr>
              <w:t>ASSETS</w:t>
            </w:r>
          </w:p>
        </w:tc>
        <w:tc>
          <w:tcPr>
            <w:tcW w:w="60" w:type="dxa"/>
            <w:tcBorders/>
            <w:vAlign w:val="bottom"/>
          </w:tcPr>
          <w:p>
            <w:pPr>
              <w:pStyle w:val="TableContents"/>
              <w:bidi w:val="0"/>
              <w:spacing w:before="0" w:after="283"/>
              <w:jc w:val="left"/>
              <w:rPr/>
            </w:pPr>
            <w:r>
              <w:rPr/>
              <w:t> </w:t>
            </w:r>
          </w:p>
        </w:tc>
        <w:tc>
          <w:tcPr>
            <w:tcW w:w="1128"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99" w:type="dxa"/>
            <w:gridSpan w:val="2"/>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r>
      <w:tr>
        <w:trPr/>
        <w:tc>
          <w:tcPr>
            <w:tcW w:w="7736" w:type="dxa"/>
            <w:tcBorders/>
            <w:vAlign w:val="bottom"/>
          </w:tcPr>
          <w:p>
            <w:pPr>
              <w:pStyle w:val="TableContents"/>
              <w:bidi w:val="0"/>
              <w:spacing w:before="0" w:after="0"/>
              <w:jc w:val="left"/>
              <w:rPr>
                <w:b/>
                <w:sz w:val="20"/>
              </w:rPr>
            </w:pPr>
            <w:r>
              <w:rPr>
                <w:b/>
                <w:sz w:val="20"/>
              </w:rPr>
              <w:t>CURRENT ASSETS</w:t>
            </w:r>
          </w:p>
        </w:tc>
        <w:tc>
          <w:tcPr>
            <w:tcW w:w="60" w:type="dxa"/>
            <w:tcBorders/>
            <w:vAlign w:val="bottom"/>
          </w:tcPr>
          <w:p>
            <w:pPr>
              <w:pStyle w:val="TableContents"/>
              <w:bidi w:val="0"/>
              <w:spacing w:before="0" w:after="283"/>
              <w:jc w:val="left"/>
              <w:rPr/>
            </w:pPr>
            <w:r>
              <w:rPr/>
              <w:t> </w:t>
            </w:r>
          </w:p>
        </w:tc>
        <w:tc>
          <w:tcPr>
            <w:tcW w:w="1128"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99" w:type="dxa"/>
            <w:gridSpan w:val="2"/>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r>
      <w:tr>
        <w:trPr/>
        <w:tc>
          <w:tcPr>
            <w:tcW w:w="7736" w:type="dxa"/>
            <w:tcBorders/>
            <w:shd w:fill="CCEEFF" w:val="clear"/>
            <w:vAlign w:val="bottom"/>
          </w:tcPr>
          <w:p>
            <w:pPr>
              <w:pStyle w:val="TableContents"/>
              <w:bidi w:val="0"/>
              <w:spacing w:before="0" w:after="0"/>
              <w:ind w:left="180" w:right="0" w:hanging="0"/>
              <w:jc w:val="left"/>
              <w:rPr>
                <w:sz w:val="20"/>
              </w:rPr>
            </w:pPr>
            <w:r>
              <w:rPr>
                <w:sz w:val="20"/>
              </w:rPr>
              <w:t>Cash and cash equivalents</w:t>
            </w:r>
          </w:p>
        </w:tc>
        <w:tc>
          <w:tcPr>
            <w:tcW w:w="60" w:type="dxa"/>
            <w:tcBorders/>
            <w:shd w:fill="CCEEFF" w:val="clear"/>
            <w:vAlign w:val="bottom"/>
          </w:tcPr>
          <w:p>
            <w:pPr>
              <w:pStyle w:val="TableContents"/>
              <w:bidi w:val="0"/>
              <w:spacing w:before="0" w:after="283"/>
              <w:jc w:val="right"/>
              <w:rPr/>
            </w:pPr>
            <w:r>
              <w:rPr/>
              <w:t> </w:t>
            </w:r>
          </w:p>
        </w:tc>
        <w:tc>
          <w:tcPr>
            <w:tcW w:w="145" w:type="dxa"/>
            <w:tcBorders/>
            <w:shd w:fill="CCEEFF" w:val="clear"/>
            <w:vAlign w:val="bottom"/>
          </w:tcPr>
          <w:p>
            <w:pPr>
              <w:pStyle w:val="TableContents"/>
              <w:bidi w:val="0"/>
              <w:spacing w:before="0" w:after="0"/>
              <w:jc w:val="left"/>
              <w:rPr>
                <w:sz w:val="20"/>
              </w:rPr>
            </w:pPr>
            <w:r>
              <w:rPr>
                <w:sz w:val="20"/>
              </w:rPr>
              <w:t>$</w:t>
            </w:r>
          </w:p>
        </w:tc>
        <w:tc>
          <w:tcPr>
            <w:tcW w:w="983" w:type="dxa"/>
            <w:tcBorders/>
            <w:shd w:fill="CCEEFF" w:val="clear"/>
            <w:vAlign w:val="bottom"/>
          </w:tcPr>
          <w:p>
            <w:pPr>
              <w:pStyle w:val="TableContents"/>
              <w:bidi w:val="0"/>
              <w:spacing w:before="0" w:after="0"/>
              <w:jc w:val="right"/>
              <w:rPr>
                <w:sz w:val="20"/>
              </w:rPr>
            </w:pPr>
            <w:r>
              <w:rPr>
                <w:sz w:val="20"/>
              </w:rPr>
              <w:t>238,259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1" w:type="dxa"/>
            <w:tcBorders/>
            <w:shd w:fill="CCEEFF" w:val="clear"/>
            <w:vAlign w:val="bottom"/>
          </w:tcPr>
          <w:p>
            <w:pPr>
              <w:pStyle w:val="TableContents"/>
              <w:bidi w:val="0"/>
              <w:spacing w:before="0" w:after="0"/>
              <w:jc w:val="left"/>
              <w:rPr>
                <w:sz w:val="20"/>
              </w:rPr>
            </w:pPr>
            <w:r>
              <w:rPr>
                <w:sz w:val="20"/>
              </w:rPr>
              <w:t>$</w:t>
            </w:r>
          </w:p>
        </w:tc>
        <w:tc>
          <w:tcPr>
            <w:tcW w:w="958" w:type="dxa"/>
            <w:tcBorders/>
            <w:shd w:fill="CCEEFF" w:val="clear"/>
            <w:vAlign w:val="bottom"/>
          </w:tcPr>
          <w:p>
            <w:pPr>
              <w:pStyle w:val="TableContents"/>
              <w:bidi w:val="0"/>
              <w:spacing w:before="0" w:after="0"/>
              <w:jc w:val="right"/>
              <w:rPr>
                <w:sz w:val="20"/>
              </w:rPr>
            </w:pPr>
            <w:r>
              <w:rPr>
                <w:sz w:val="20"/>
              </w:rPr>
              <w:t>165,893</w:t>
            </w:r>
          </w:p>
        </w:tc>
        <w:tc>
          <w:tcPr>
            <w:tcW w:w="62" w:type="dxa"/>
            <w:tcBorders/>
            <w:shd w:fill="CCEEFF" w:val="clear"/>
            <w:vAlign w:val="bottom"/>
          </w:tcPr>
          <w:p>
            <w:pPr>
              <w:pStyle w:val="TableContents"/>
              <w:bidi w:val="0"/>
              <w:spacing w:before="0" w:after="283"/>
              <w:jc w:val="left"/>
              <w:rPr/>
            </w:pPr>
            <w:r>
              <w:rPr/>
              <w:t> </w:t>
            </w:r>
          </w:p>
        </w:tc>
      </w:tr>
      <w:tr>
        <w:trPr/>
        <w:tc>
          <w:tcPr>
            <w:tcW w:w="7736" w:type="dxa"/>
            <w:tcBorders/>
            <w:vAlign w:val="bottom"/>
          </w:tcPr>
          <w:p>
            <w:pPr>
              <w:pStyle w:val="TableContents"/>
              <w:bidi w:val="0"/>
              <w:spacing w:before="0" w:after="0"/>
              <w:ind w:left="180" w:right="0" w:hanging="0"/>
              <w:jc w:val="left"/>
              <w:rPr>
                <w:sz w:val="20"/>
              </w:rPr>
            </w:pPr>
            <w:r>
              <w:rPr>
                <w:sz w:val="20"/>
              </w:rPr>
              <w:t>Short-term investments</w:t>
            </w:r>
          </w:p>
        </w:tc>
        <w:tc>
          <w:tcPr>
            <w:tcW w:w="60" w:type="dxa"/>
            <w:tcBorders/>
            <w:vAlign w:val="bottom"/>
          </w:tcPr>
          <w:p>
            <w:pPr>
              <w:pStyle w:val="TableContents"/>
              <w:bidi w:val="0"/>
              <w:spacing w:before="0" w:after="283"/>
              <w:jc w:val="right"/>
              <w:rPr/>
            </w:pPr>
            <w:r>
              <w:rPr/>
              <w:t> </w:t>
            </w:r>
          </w:p>
        </w:tc>
        <w:tc>
          <w:tcPr>
            <w:tcW w:w="145" w:type="dxa"/>
            <w:tcBorders/>
            <w:vAlign w:val="bottom"/>
          </w:tcPr>
          <w:p>
            <w:pPr>
              <w:pStyle w:val="TableContents"/>
              <w:bidi w:val="0"/>
              <w:spacing w:before="0" w:after="283"/>
              <w:jc w:val="left"/>
              <w:rPr/>
            </w:pPr>
            <w:r>
              <w:rPr/>
              <w:t> </w:t>
            </w:r>
          </w:p>
        </w:tc>
        <w:tc>
          <w:tcPr>
            <w:tcW w:w="983" w:type="dxa"/>
            <w:tcBorders/>
            <w:vAlign w:val="bottom"/>
          </w:tcPr>
          <w:p>
            <w:pPr>
              <w:pStyle w:val="TableContents"/>
              <w:bidi w:val="0"/>
              <w:spacing w:before="0" w:after="0"/>
              <w:jc w:val="right"/>
              <w:rPr>
                <w:sz w:val="20"/>
              </w:rPr>
            </w:pPr>
            <w:r>
              <w:rPr>
                <w:sz w:val="20"/>
              </w:rPr>
              <w:t>12,467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1" w:type="dxa"/>
            <w:tcBorders/>
            <w:vAlign w:val="bottom"/>
          </w:tcPr>
          <w:p>
            <w:pPr>
              <w:pStyle w:val="TableContents"/>
              <w:bidi w:val="0"/>
              <w:spacing w:before="0" w:after="283"/>
              <w:jc w:val="left"/>
              <w:rPr/>
            </w:pPr>
            <w:r>
              <w:rPr/>
              <w:t> </w:t>
            </w:r>
          </w:p>
        </w:tc>
        <w:tc>
          <w:tcPr>
            <w:tcW w:w="958" w:type="dxa"/>
            <w:tcBorders/>
            <w:vAlign w:val="bottom"/>
          </w:tcPr>
          <w:p>
            <w:pPr>
              <w:pStyle w:val="TableContents"/>
              <w:bidi w:val="0"/>
              <w:spacing w:before="0" w:after="0"/>
              <w:jc w:val="right"/>
              <w:rPr>
                <w:sz w:val="20"/>
              </w:rPr>
            </w:pPr>
            <w:r>
              <w:rPr>
                <w:sz w:val="20"/>
              </w:rPr>
              <w:t>96,914</w:t>
            </w:r>
          </w:p>
        </w:tc>
        <w:tc>
          <w:tcPr>
            <w:tcW w:w="62" w:type="dxa"/>
            <w:tcBorders/>
            <w:vAlign w:val="bottom"/>
          </w:tcPr>
          <w:p>
            <w:pPr>
              <w:pStyle w:val="TableContents"/>
              <w:bidi w:val="0"/>
              <w:spacing w:before="0" w:after="283"/>
              <w:jc w:val="left"/>
              <w:rPr/>
            </w:pPr>
            <w:r>
              <w:rPr/>
              <w:t> </w:t>
            </w:r>
          </w:p>
        </w:tc>
      </w:tr>
      <w:tr>
        <w:trPr/>
        <w:tc>
          <w:tcPr>
            <w:tcW w:w="7736" w:type="dxa"/>
            <w:tcBorders/>
            <w:shd w:fill="CCEEFF" w:val="clear"/>
            <w:vAlign w:val="bottom"/>
          </w:tcPr>
          <w:p>
            <w:pPr>
              <w:pStyle w:val="TableContents"/>
              <w:bidi w:val="0"/>
              <w:spacing w:before="0" w:after="0"/>
              <w:ind w:left="180" w:right="0" w:hanging="0"/>
              <w:jc w:val="left"/>
              <w:rPr>
                <w:sz w:val="20"/>
              </w:rPr>
            </w:pPr>
            <w:r>
              <w:rPr>
                <w:sz w:val="20"/>
              </w:rPr>
              <w:t>Restricted deposits</w:t>
            </w:r>
          </w:p>
        </w:tc>
        <w:tc>
          <w:tcPr>
            <w:tcW w:w="60" w:type="dxa"/>
            <w:tcBorders/>
            <w:shd w:fill="CCEEFF" w:val="clear"/>
            <w:vAlign w:val="bottom"/>
          </w:tcPr>
          <w:p>
            <w:pPr>
              <w:pStyle w:val="TableContents"/>
              <w:bidi w:val="0"/>
              <w:spacing w:before="0" w:after="283"/>
              <w:jc w:val="right"/>
              <w:rPr/>
            </w:pPr>
            <w:r>
              <w:rPr/>
              <w:t> </w:t>
            </w:r>
          </w:p>
        </w:tc>
        <w:tc>
          <w:tcPr>
            <w:tcW w:w="145" w:type="dxa"/>
            <w:tcBorders/>
            <w:shd w:fill="CCEEFF" w:val="clear"/>
            <w:vAlign w:val="bottom"/>
          </w:tcPr>
          <w:p>
            <w:pPr>
              <w:pStyle w:val="TableContents"/>
              <w:bidi w:val="0"/>
              <w:spacing w:before="0" w:after="283"/>
              <w:jc w:val="left"/>
              <w:rPr/>
            </w:pPr>
            <w:r>
              <w:rPr/>
              <w:t> </w:t>
            </w:r>
          </w:p>
        </w:tc>
        <w:tc>
          <w:tcPr>
            <w:tcW w:w="983" w:type="dxa"/>
            <w:tcBorders/>
            <w:shd w:fill="CCEEFF" w:val="clear"/>
            <w:vAlign w:val="bottom"/>
          </w:tcPr>
          <w:p>
            <w:pPr>
              <w:pStyle w:val="TableContents"/>
              <w:bidi w:val="0"/>
              <w:spacing w:before="0" w:after="0"/>
              <w:jc w:val="right"/>
              <w:rPr>
                <w:sz w:val="20"/>
              </w:rPr>
            </w:pPr>
            <w:r>
              <w:rPr>
                <w:sz w:val="20"/>
              </w:rPr>
              <w:t>1,487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1" w:type="dxa"/>
            <w:tcBorders/>
            <w:shd w:fill="CCEEFF" w:val="clear"/>
            <w:vAlign w:val="bottom"/>
          </w:tcPr>
          <w:p>
            <w:pPr>
              <w:pStyle w:val="TableContents"/>
              <w:bidi w:val="0"/>
              <w:spacing w:before="0" w:after="283"/>
              <w:jc w:val="left"/>
              <w:rPr/>
            </w:pPr>
            <w:r>
              <w:rPr/>
              <w:t> </w:t>
            </w:r>
          </w:p>
        </w:tc>
        <w:tc>
          <w:tcPr>
            <w:tcW w:w="958" w:type="dxa"/>
            <w:tcBorders/>
            <w:shd w:fill="CCEEFF" w:val="clear"/>
            <w:vAlign w:val="bottom"/>
          </w:tcPr>
          <w:p>
            <w:pPr>
              <w:pStyle w:val="TableContents"/>
              <w:bidi w:val="0"/>
              <w:spacing w:before="0" w:after="0"/>
              <w:jc w:val="right"/>
              <w:rPr>
                <w:sz w:val="20"/>
              </w:rPr>
            </w:pPr>
            <w:r>
              <w:rPr>
                <w:sz w:val="20"/>
              </w:rPr>
              <w:t>750</w:t>
            </w:r>
          </w:p>
        </w:tc>
        <w:tc>
          <w:tcPr>
            <w:tcW w:w="62" w:type="dxa"/>
            <w:tcBorders/>
            <w:shd w:fill="CCEEFF" w:val="clear"/>
            <w:vAlign w:val="bottom"/>
          </w:tcPr>
          <w:p>
            <w:pPr>
              <w:pStyle w:val="TableContents"/>
              <w:bidi w:val="0"/>
              <w:spacing w:before="0" w:after="283"/>
              <w:jc w:val="left"/>
              <w:rPr/>
            </w:pPr>
            <w:r>
              <w:rPr/>
              <w:t> </w:t>
            </w:r>
          </w:p>
        </w:tc>
      </w:tr>
      <w:tr>
        <w:trPr/>
        <w:tc>
          <w:tcPr>
            <w:tcW w:w="7736" w:type="dxa"/>
            <w:tcBorders/>
            <w:vAlign w:val="bottom"/>
          </w:tcPr>
          <w:p>
            <w:pPr>
              <w:pStyle w:val="TableContents"/>
              <w:bidi w:val="0"/>
              <w:spacing w:before="0" w:after="0"/>
              <w:ind w:left="360" w:right="0" w:hanging="0"/>
              <w:jc w:val="left"/>
              <w:rPr>
                <w:sz w:val="20"/>
              </w:rPr>
            </w:pPr>
            <w:r>
              <w:rPr>
                <w:sz w:val="20"/>
              </w:rPr>
              <w:t xml:space="preserve">Trade receivables (net of allowance for credit losses of $10,794 and $6,748 as of </w:t>
            </w:r>
            <w:r>
              <w:rPr>
                <w:rFonts w:ascii="Times New Roman" w:hAnsi="Times New Roman"/>
                <w:b w:val="false"/>
                <w:i w:val="false"/>
                <w:caps w:val="false"/>
                <w:smallCaps w:val="false"/>
                <w:color w:val="000000"/>
                <w:spacing w:val="0"/>
                <w:sz w:val="20"/>
                <w:shd w:fill="FFFFFF" w:val="clear"/>
              </w:rPr>
              <w:t>September</w:t>
            </w:r>
            <w:r>
              <w:rPr>
                <w:sz w:val="20"/>
              </w:rPr>
              <w:t xml:space="preserve"> 30, 2023 and December 31, 2022, respectively) </w:t>
            </w:r>
          </w:p>
        </w:tc>
        <w:tc>
          <w:tcPr>
            <w:tcW w:w="60" w:type="dxa"/>
            <w:tcBorders/>
            <w:vAlign w:val="bottom"/>
          </w:tcPr>
          <w:p>
            <w:pPr>
              <w:pStyle w:val="TableContents"/>
              <w:bidi w:val="0"/>
              <w:spacing w:before="0" w:after="283"/>
              <w:jc w:val="right"/>
              <w:rPr/>
            </w:pPr>
            <w:r>
              <w:rPr/>
              <w:t> </w:t>
            </w:r>
          </w:p>
        </w:tc>
        <w:tc>
          <w:tcPr>
            <w:tcW w:w="145" w:type="dxa"/>
            <w:tcBorders/>
            <w:vAlign w:val="bottom"/>
          </w:tcPr>
          <w:p>
            <w:pPr>
              <w:pStyle w:val="TableContents"/>
              <w:bidi w:val="0"/>
              <w:spacing w:before="0" w:after="283"/>
              <w:jc w:val="left"/>
              <w:rPr/>
            </w:pPr>
            <w:r>
              <w:rPr/>
              <w:t> </w:t>
            </w:r>
          </w:p>
        </w:tc>
        <w:tc>
          <w:tcPr>
            <w:tcW w:w="983" w:type="dxa"/>
            <w:tcBorders/>
            <w:vAlign w:val="bottom"/>
          </w:tcPr>
          <w:p>
            <w:pPr>
              <w:pStyle w:val="TableContents"/>
              <w:bidi w:val="0"/>
              <w:spacing w:before="0" w:after="0"/>
              <w:jc w:val="right"/>
              <w:rPr>
                <w:sz w:val="20"/>
              </w:rPr>
            </w:pPr>
            <w:r>
              <w:rPr>
                <w:sz w:val="20"/>
              </w:rPr>
              <w:t>232,118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1" w:type="dxa"/>
            <w:tcBorders/>
            <w:vAlign w:val="bottom"/>
          </w:tcPr>
          <w:p>
            <w:pPr>
              <w:pStyle w:val="TableContents"/>
              <w:bidi w:val="0"/>
              <w:spacing w:before="0" w:after="283"/>
              <w:jc w:val="left"/>
              <w:rPr/>
            </w:pPr>
            <w:r>
              <w:rPr/>
              <w:t> </w:t>
            </w:r>
          </w:p>
        </w:tc>
        <w:tc>
          <w:tcPr>
            <w:tcW w:w="958" w:type="dxa"/>
            <w:tcBorders/>
            <w:vAlign w:val="bottom"/>
          </w:tcPr>
          <w:p>
            <w:pPr>
              <w:pStyle w:val="TableContents"/>
              <w:bidi w:val="0"/>
              <w:spacing w:before="0" w:after="0"/>
              <w:jc w:val="right"/>
              <w:rPr>
                <w:sz w:val="20"/>
              </w:rPr>
            </w:pPr>
            <w:r>
              <w:rPr>
                <w:sz w:val="20"/>
              </w:rPr>
              <w:t>256,708</w:t>
            </w:r>
          </w:p>
        </w:tc>
        <w:tc>
          <w:tcPr>
            <w:tcW w:w="62" w:type="dxa"/>
            <w:tcBorders/>
            <w:vAlign w:val="bottom"/>
          </w:tcPr>
          <w:p>
            <w:pPr>
              <w:pStyle w:val="TableContents"/>
              <w:bidi w:val="0"/>
              <w:spacing w:before="0" w:after="283"/>
              <w:jc w:val="left"/>
              <w:rPr/>
            </w:pPr>
            <w:r>
              <w:rPr/>
              <w:t> </w:t>
            </w:r>
          </w:p>
        </w:tc>
      </w:tr>
      <w:tr>
        <w:trPr/>
        <w:tc>
          <w:tcPr>
            <w:tcW w:w="7736" w:type="dxa"/>
            <w:tcBorders/>
            <w:shd w:fill="CCEEFF" w:val="clear"/>
            <w:vAlign w:val="bottom"/>
          </w:tcPr>
          <w:p>
            <w:pPr>
              <w:pStyle w:val="TableContents"/>
              <w:bidi w:val="0"/>
              <w:spacing w:before="0" w:after="0"/>
              <w:ind w:left="180" w:right="0" w:hanging="0"/>
              <w:jc w:val="left"/>
              <w:rPr>
                <w:sz w:val="20"/>
              </w:rPr>
            </w:pPr>
            <w:r>
              <w:rPr>
                <w:sz w:val="20"/>
              </w:rPr>
              <w:t>Prepaid expenses and other current assets</w:t>
            </w:r>
          </w:p>
        </w:tc>
        <w:tc>
          <w:tcPr>
            <w:tcW w:w="60" w:type="dxa"/>
            <w:tcBorders/>
            <w:shd w:fill="CCEEFF" w:val="clear"/>
            <w:vAlign w:val="bottom"/>
          </w:tcPr>
          <w:p>
            <w:pPr>
              <w:pStyle w:val="TableContents"/>
              <w:bidi w:val="0"/>
              <w:spacing w:before="0" w:after="283"/>
              <w:jc w:val="right"/>
              <w:rPr/>
            </w:pPr>
            <w:r>
              <w:rPr/>
              <w:t> </w:t>
            </w:r>
          </w:p>
        </w:tc>
        <w:tc>
          <w:tcPr>
            <w:tcW w:w="14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83" w:type="dxa"/>
            <w:tcBorders>
              <w:bottom w:val="single" w:sz="12" w:space="0" w:color="000000"/>
            </w:tcBorders>
            <w:shd w:fill="CCEEFF" w:val="clear"/>
            <w:tcMar>
              <w:bottom w:w="28" w:type="dxa"/>
            </w:tcMar>
            <w:vAlign w:val="bottom"/>
          </w:tcPr>
          <w:p>
            <w:pPr>
              <w:pStyle w:val="TableContents"/>
              <w:bidi w:val="0"/>
              <w:spacing w:before="0" w:after="0"/>
              <w:jc w:val="right"/>
              <w:rPr>
                <w:sz w:val="20"/>
              </w:rPr>
            </w:pPr>
            <w:r>
              <w:rPr>
                <w:sz w:val="20"/>
              </w:rPr>
              <w:t>71,549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1"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58" w:type="dxa"/>
            <w:tcBorders>
              <w:bottom w:val="single" w:sz="12" w:space="0" w:color="000000"/>
            </w:tcBorders>
            <w:shd w:fill="CCEEFF" w:val="clear"/>
            <w:tcMar>
              <w:bottom w:w="28" w:type="dxa"/>
            </w:tcMar>
            <w:vAlign w:val="bottom"/>
          </w:tcPr>
          <w:p>
            <w:pPr>
              <w:pStyle w:val="TableContents"/>
              <w:bidi w:val="0"/>
              <w:spacing w:before="0" w:after="0"/>
              <w:jc w:val="right"/>
              <w:rPr>
                <w:sz w:val="20"/>
              </w:rPr>
            </w:pPr>
            <w:r>
              <w:rPr>
                <w:sz w:val="20"/>
              </w:rPr>
              <w:t>73,643</w:t>
            </w:r>
          </w:p>
        </w:tc>
        <w:tc>
          <w:tcPr>
            <w:tcW w:w="62" w:type="dxa"/>
            <w:tcBorders/>
            <w:shd w:fill="CCEEFF" w:val="clear"/>
            <w:vAlign w:val="bottom"/>
          </w:tcPr>
          <w:p>
            <w:pPr>
              <w:pStyle w:val="TableContents"/>
              <w:bidi w:val="0"/>
              <w:spacing w:before="0" w:after="283"/>
              <w:jc w:val="left"/>
              <w:rPr/>
            </w:pPr>
            <w:r>
              <w:rPr/>
              <w:t> </w:t>
            </w:r>
          </w:p>
        </w:tc>
      </w:tr>
      <w:tr>
        <w:trPr/>
        <w:tc>
          <w:tcPr>
            <w:tcW w:w="7736" w:type="dxa"/>
            <w:tcBorders/>
            <w:vAlign w:val="bottom"/>
          </w:tcPr>
          <w:p>
            <w:pPr>
              <w:pStyle w:val="TableContents"/>
              <w:bidi w:val="0"/>
              <w:spacing w:before="0" w:after="0"/>
              <w:jc w:val="left"/>
              <w:rPr>
                <w:b w:val="false"/>
                <w:sz w:val="20"/>
              </w:rPr>
            </w:pPr>
            <w:r>
              <w:rPr>
                <w:b w:val="false"/>
                <w:sz w:val="20"/>
              </w:rPr>
              <w:t>Total current assets</w:t>
            </w:r>
          </w:p>
        </w:tc>
        <w:tc>
          <w:tcPr>
            <w:tcW w:w="60" w:type="dxa"/>
            <w:tcBorders/>
            <w:vAlign w:val="bottom"/>
          </w:tcPr>
          <w:p>
            <w:pPr>
              <w:pStyle w:val="TableContents"/>
              <w:bidi w:val="0"/>
              <w:spacing w:before="0" w:after="283"/>
              <w:jc w:val="right"/>
              <w:rPr/>
            </w:pPr>
            <w:r>
              <w:rPr/>
              <w:t> </w:t>
            </w:r>
          </w:p>
        </w:tc>
        <w:tc>
          <w:tcPr>
            <w:tcW w:w="145" w:type="dxa"/>
            <w:tcBorders>
              <w:bottom w:val="single" w:sz="12" w:space="0" w:color="000000"/>
            </w:tcBorders>
            <w:tcMar>
              <w:bottom w:w="28" w:type="dxa"/>
            </w:tcMar>
            <w:vAlign w:val="bottom"/>
          </w:tcPr>
          <w:p>
            <w:pPr>
              <w:pStyle w:val="TableContents"/>
              <w:bidi w:val="0"/>
              <w:spacing w:before="0" w:after="283"/>
              <w:jc w:val="left"/>
              <w:rPr/>
            </w:pPr>
            <w:r>
              <w:rPr/>
              <w:t> </w:t>
            </w:r>
          </w:p>
        </w:tc>
        <w:tc>
          <w:tcPr>
            <w:tcW w:w="983" w:type="dxa"/>
            <w:tcBorders>
              <w:bottom w:val="single" w:sz="12" w:space="0" w:color="000000"/>
            </w:tcBorders>
            <w:tcMar>
              <w:bottom w:w="28" w:type="dxa"/>
            </w:tcMar>
            <w:vAlign w:val="bottom"/>
          </w:tcPr>
          <w:p>
            <w:pPr>
              <w:pStyle w:val="TableContents"/>
              <w:bidi w:val="0"/>
              <w:spacing w:before="0" w:after="0"/>
              <w:jc w:val="right"/>
              <w:rPr>
                <w:sz w:val="20"/>
              </w:rPr>
            </w:pPr>
            <w:r>
              <w:rPr>
                <w:sz w:val="20"/>
              </w:rPr>
              <w:t>555,880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1" w:type="dxa"/>
            <w:tcBorders>
              <w:bottom w:val="single" w:sz="12" w:space="0" w:color="000000"/>
            </w:tcBorders>
            <w:tcMar>
              <w:bottom w:w="28" w:type="dxa"/>
            </w:tcMar>
            <w:vAlign w:val="bottom"/>
          </w:tcPr>
          <w:p>
            <w:pPr>
              <w:pStyle w:val="TableContents"/>
              <w:bidi w:val="0"/>
              <w:spacing w:before="0" w:after="283"/>
              <w:jc w:val="left"/>
              <w:rPr/>
            </w:pPr>
            <w:r>
              <w:rPr/>
              <w:t> </w:t>
            </w:r>
          </w:p>
        </w:tc>
        <w:tc>
          <w:tcPr>
            <w:tcW w:w="958" w:type="dxa"/>
            <w:tcBorders>
              <w:bottom w:val="single" w:sz="12" w:space="0" w:color="000000"/>
            </w:tcBorders>
            <w:tcMar>
              <w:bottom w:w="28" w:type="dxa"/>
            </w:tcMar>
            <w:vAlign w:val="bottom"/>
          </w:tcPr>
          <w:p>
            <w:pPr>
              <w:pStyle w:val="TableContents"/>
              <w:bidi w:val="0"/>
              <w:spacing w:before="0" w:after="0"/>
              <w:jc w:val="right"/>
              <w:rPr>
                <w:sz w:val="20"/>
              </w:rPr>
            </w:pPr>
            <w:r>
              <w:rPr>
                <w:sz w:val="20"/>
              </w:rPr>
              <w:t>593,908</w:t>
            </w:r>
          </w:p>
        </w:tc>
        <w:tc>
          <w:tcPr>
            <w:tcW w:w="62" w:type="dxa"/>
            <w:tcBorders/>
            <w:vAlign w:val="bottom"/>
          </w:tcPr>
          <w:p>
            <w:pPr>
              <w:pStyle w:val="TableContents"/>
              <w:bidi w:val="0"/>
              <w:spacing w:before="0" w:after="283"/>
              <w:jc w:val="left"/>
              <w:rPr/>
            </w:pPr>
            <w:r>
              <w:rPr/>
              <w:t> </w:t>
            </w:r>
          </w:p>
        </w:tc>
      </w:tr>
      <w:tr>
        <w:trPr/>
        <w:tc>
          <w:tcPr>
            <w:tcW w:w="7736" w:type="dxa"/>
            <w:tcBorders/>
            <w:shd w:fill="CCEEFF" w:val="clear"/>
            <w:vAlign w:val="bottom"/>
          </w:tcPr>
          <w:p>
            <w:pPr>
              <w:pStyle w:val="TableContents"/>
              <w:bidi w:val="0"/>
              <w:spacing w:before="0" w:after="0"/>
              <w:jc w:val="left"/>
              <w:rPr>
                <w:b/>
                <w:sz w:val="20"/>
              </w:rPr>
            </w:pPr>
            <w:r>
              <w:rPr>
                <w:b/>
                <w:sz w:val="20"/>
              </w:rPr>
              <w:t>NON-CURRENT ASSETS</w:t>
            </w:r>
          </w:p>
        </w:tc>
        <w:tc>
          <w:tcPr>
            <w:tcW w:w="60" w:type="dxa"/>
            <w:tcBorders/>
            <w:shd w:fill="CCEEFF" w:val="clear"/>
            <w:vAlign w:val="bottom"/>
          </w:tcPr>
          <w:p>
            <w:pPr>
              <w:pStyle w:val="TableContents"/>
              <w:bidi w:val="0"/>
              <w:spacing w:before="0" w:after="283"/>
              <w:jc w:val="right"/>
              <w:rPr/>
            </w:pPr>
            <w:r>
              <w:rPr/>
              <w:t> </w:t>
            </w:r>
          </w:p>
        </w:tc>
        <w:tc>
          <w:tcPr>
            <w:tcW w:w="145" w:type="dxa"/>
            <w:tcBorders/>
            <w:shd w:fill="CCEEFF" w:val="clear"/>
            <w:vAlign w:val="bottom"/>
          </w:tcPr>
          <w:p>
            <w:pPr>
              <w:pStyle w:val="TableContents"/>
              <w:bidi w:val="0"/>
              <w:spacing w:before="0" w:after="283"/>
              <w:jc w:val="left"/>
              <w:rPr/>
            </w:pPr>
            <w:r>
              <w:rPr/>
              <w:t> </w:t>
            </w:r>
          </w:p>
        </w:tc>
        <w:tc>
          <w:tcPr>
            <w:tcW w:w="98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1" w:type="dxa"/>
            <w:tcBorders/>
            <w:shd w:fill="CCEEFF" w:val="clear"/>
            <w:vAlign w:val="bottom"/>
          </w:tcPr>
          <w:p>
            <w:pPr>
              <w:pStyle w:val="TableContents"/>
              <w:bidi w:val="0"/>
              <w:spacing w:before="0" w:after="283"/>
              <w:jc w:val="left"/>
              <w:rPr/>
            </w:pPr>
            <w:r>
              <w:rPr/>
              <w:t> </w:t>
            </w:r>
          </w:p>
        </w:tc>
        <w:tc>
          <w:tcPr>
            <w:tcW w:w="958" w:type="dxa"/>
            <w:tcBorders/>
            <w:shd w:fill="CCEEFF" w:val="clear"/>
            <w:vAlign w:val="bottom"/>
          </w:tcPr>
          <w:p>
            <w:pPr>
              <w:pStyle w:val="TableContents"/>
              <w:bidi w:val="0"/>
              <w:spacing w:before="0" w:after="283"/>
              <w:jc w:val="right"/>
              <w:rPr/>
            </w:pPr>
            <w:r>
              <w:rPr/>
              <w:t> </w:t>
            </w:r>
          </w:p>
        </w:tc>
        <w:tc>
          <w:tcPr>
            <w:tcW w:w="62" w:type="dxa"/>
            <w:tcBorders/>
            <w:shd w:fill="CCEEFF" w:val="clear"/>
            <w:vAlign w:val="bottom"/>
          </w:tcPr>
          <w:p>
            <w:pPr>
              <w:pStyle w:val="TableContents"/>
              <w:bidi w:val="0"/>
              <w:spacing w:before="0" w:after="283"/>
              <w:jc w:val="left"/>
              <w:rPr/>
            </w:pPr>
            <w:r>
              <w:rPr/>
              <w:t> </w:t>
            </w:r>
          </w:p>
        </w:tc>
      </w:tr>
      <w:tr>
        <w:trPr/>
        <w:tc>
          <w:tcPr>
            <w:tcW w:w="7736" w:type="dxa"/>
            <w:tcBorders/>
            <w:vAlign w:val="bottom"/>
          </w:tcPr>
          <w:p>
            <w:pPr>
              <w:pStyle w:val="TableContents"/>
              <w:bidi w:val="0"/>
              <w:spacing w:before="0" w:after="0"/>
              <w:ind w:left="180" w:right="0" w:hanging="0"/>
              <w:jc w:val="left"/>
              <w:rPr>
                <w:sz w:val="20"/>
              </w:rPr>
            </w:pPr>
            <w:r>
              <w:rPr>
                <w:sz w:val="20"/>
              </w:rPr>
              <w:t>Long-term prepaid expenses</w:t>
            </w:r>
          </w:p>
        </w:tc>
        <w:tc>
          <w:tcPr>
            <w:tcW w:w="60" w:type="dxa"/>
            <w:tcBorders/>
            <w:vAlign w:val="bottom"/>
          </w:tcPr>
          <w:p>
            <w:pPr>
              <w:pStyle w:val="TableContents"/>
              <w:bidi w:val="0"/>
              <w:spacing w:before="0" w:after="283"/>
              <w:jc w:val="right"/>
              <w:rPr/>
            </w:pPr>
            <w:r>
              <w:rPr/>
              <w:t> </w:t>
            </w:r>
          </w:p>
        </w:tc>
        <w:tc>
          <w:tcPr>
            <w:tcW w:w="145" w:type="dxa"/>
            <w:tcBorders/>
            <w:vAlign w:val="bottom"/>
          </w:tcPr>
          <w:p>
            <w:pPr>
              <w:pStyle w:val="TableContents"/>
              <w:bidi w:val="0"/>
              <w:spacing w:before="0" w:after="283"/>
              <w:jc w:val="left"/>
              <w:rPr/>
            </w:pPr>
            <w:r>
              <w:rPr/>
              <w:t> </w:t>
            </w:r>
          </w:p>
        </w:tc>
        <w:tc>
          <w:tcPr>
            <w:tcW w:w="983" w:type="dxa"/>
            <w:tcBorders/>
            <w:vAlign w:val="bottom"/>
          </w:tcPr>
          <w:p>
            <w:pPr>
              <w:pStyle w:val="TableContents"/>
              <w:bidi w:val="0"/>
              <w:spacing w:before="0" w:after="0"/>
              <w:jc w:val="right"/>
              <w:rPr>
                <w:sz w:val="20"/>
              </w:rPr>
            </w:pPr>
            <w:r>
              <w:rPr>
                <w:sz w:val="20"/>
              </w:rPr>
              <w:t>40,854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1" w:type="dxa"/>
            <w:tcBorders/>
            <w:vAlign w:val="bottom"/>
          </w:tcPr>
          <w:p>
            <w:pPr>
              <w:pStyle w:val="TableContents"/>
              <w:bidi w:val="0"/>
              <w:spacing w:before="0" w:after="283"/>
              <w:jc w:val="left"/>
              <w:rPr/>
            </w:pPr>
            <w:r>
              <w:rPr/>
              <w:t> </w:t>
            </w:r>
          </w:p>
        </w:tc>
        <w:tc>
          <w:tcPr>
            <w:tcW w:w="958" w:type="dxa"/>
            <w:tcBorders/>
            <w:vAlign w:val="bottom"/>
          </w:tcPr>
          <w:p>
            <w:pPr>
              <w:pStyle w:val="TableContents"/>
              <w:bidi w:val="0"/>
              <w:spacing w:before="0" w:after="0"/>
              <w:jc w:val="right"/>
              <w:rPr>
                <w:sz w:val="20"/>
              </w:rPr>
            </w:pPr>
            <w:r>
              <w:rPr>
                <w:sz w:val="20"/>
              </w:rPr>
              <w:t>42,945</w:t>
            </w:r>
          </w:p>
        </w:tc>
        <w:tc>
          <w:tcPr>
            <w:tcW w:w="62" w:type="dxa"/>
            <w:tcBorders/>
            <w:vAlign w:val="bottom"/>
          </w:tcPr>
          <w:p>
            <w:pPr>
              <w:pStyle w:val="TableContents"/>
              <w:bidi w:val="0"/>
              <w:spacing w:before="0" w:after="283"/>
              <w:jc w:val="left"/>
              <w:rPr/>
            </w:pPr>
            <w:r>
              <w:rPr/>
              <w:t> </w:t>
            </w:r>
          </w:p>
        </w:tc>
      </w:tr>
      <w:tr>
        <w:trPr/>
        <w:tc>
          <w:tcPr>
            <w:tcW w:w="7736" w:type="dxa"/>
            <w:tcBorders/>
            <w:shd w:fill="CCEEFF" w:val="clear"/>
            <w:vAlign w:val="bottom"/>
          </w:tcPr>
          <w:p>
            <w:pPr>
              <w:pStyle w:val="TableContents"/>
              <w:bidi w:val="0"/>
              <w:spacing w:before="0" w:after="0"/>
              <w:ind w:left="180" w:right="0" w:hanging="0"/>
              <w:jc w:val="left"/>
              <w:rPr>
                <w:sz w:val="20"/>
              </w:rPr>
            </w:pPr>
            <w:r>
              <w:rPr>
                <w:sz w:val="20"/>
              </w:rPr>
              <w:t>Commercial agreement asset</w:t>
            </w:r>
          </w:p>
        </w:tc>
        <w:tc>
          <w:tcPr>
            <w:tcW w:w="60" w:type="dxa"/>
            <w:tcBorders/>
            <w:shd w:fill="CCEEFF" w:val="clear"/>
            <w:vAlign w:val="bottom"/>
          </w:tcPr>
          <w:p>
            <w:pPr>
              <w:pStyle w:val="TableContents"/>
              <w:bidi w:val="0"/>
              <w:spacing w:before="0" w:after="283"/>
              <w:jc w:val="right"/>
              <w:rPr/>
            </w:pPr>
            <w:r>
              <w:rPr/>
              <w:t> </w:t>
            </w:r>
          </w:p>
        </w:tc>
        <w:tc>
          <w:tcPr>
            <w:tcW w:w="145" w:type="dxa"/>
            <w:tcBorders/>
            <w:shd w:fill="CCEEFF" w:val="clear"/>
            <w:vAlign w:val="bottom"/>
          </w:tcPr>
          <w:p>
            <w:pPr>
              <w:pStyle w:val="TableContents"/>
              <w:bidi w:val="0"/>
              <w:spacing w:before="0" w:after="283"/>
              <w:jc w:val="left"/>
              <w:rPr/>
            </w:pPr>
            <w:r>
              <w:rPr/>
              <w:t> </w:t>
            </w:r>
          </w:p>
        </w:tc>
        <w:tc>
          <w:tcPr>
            <w:tcW w:w="983" w:type="dxa"/>
            <w:tcBorders/>
            <w:shd w:fill="CCEEFF" w:val="clear"/>
            <w:vAlign w:val="bottom"/>
          </w:tcPr>
          <w:p>
            <w:pPr>
              <w:pStyle w:val="TableContents"/>
              <w:bidi w:val="0"/>
              <w:spacing w:before="0" w:after="0"/>
              <w:jc w:val="right"/>
              <w:rPr>
                <w:sz w:val="20"/>
              </w:rPr>
            </w:pPr>
            <w:r>
              <w:rPr>
                <w:sz w:val="20"/>
              </w:rPr>
              <w:t>289,451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1" w:type="dxa"/>
            <w:tcBorders/>
            <w:shd w:fill="CCEEFF" w:val="clear"/>
            <w:vAlign w:val="bottom"/>
          </w:tcPr>
          <w:p>
            <w:pPr>
              <w:pStyle w:val="TableContents"/>
              <w:bidi w:val="0"/>
              <w:spacing w:before="0" w:after="283"/>
              <w:jc w:val="left"/>
              <w:rPr/>
            </w:pPr>
            <w:r>
              <w:rPr/>
              <w:t> </w:t>
            </w:r>
          </w:p>
        </w:tc>
        <w:tc>
          <w:tcPr>
            <w:tcW w:w="958" w:type="dxa"/>
            <w:tcBorders/>
            <w:shd w:fill="CCEEFF" w:val="clear"/>
            <w:vAlign w:val="bottom"/>
          </w:tcPr>
          <w:p>
            <w:pPr>
              <w:pStyle w:val="TableContents"/>
              <w:bidi w:val="0"/>
              <w:spacing w:before="0" w:after="0"/>
              <w:jc w:val="right"/>
              <w:rPr/>
            </w:pPr>
            <w:r>
              <w:rPr/>
              <w:t>—</w:t>
            </w:r>
          </w:p>
        </w:tc>
        <w:tc>
          <w:tcPr>
            <w:tcW w:w="62" w:type="dxa"/>
            <w:tcBorders/>
            <w:shd w:fill="CCEEFF" w:val="clear"/>
            <w:vAlign w:val="bottom"/>
          </w:tcPr>
          <w:p>
            <w:pPr>
              <w:pStyle w:val="TableContents"/>
              <w:bidi w:val="0"/>
              <w:spacing w:before="0" w:after="283"/>
              <w:jc w:val="left"/>
              <w:rPr/>
            </w:pPr>
            <w:r>
              <w:rPr/>
              <w:t> </w:t>
            </w:r>
          </w:p>
        </w:tc>
      </w:tr>
      <w:tr>
        <w:trPr/>
        <w:tc>
          <w:tcPr>
            <w:tcW w:w="7736" w:type="dxa"/>
            <w:tcBorders/>
            <w:vAlign w:val="bottom"/>
          </w:tcPr>
          <w:p>
            <w:pPr>
              <w:pStyle w:val="TableContents"/>
              <w:bidi w:val="0"/>
              <w:spacing w:before="0" w:after="0"/>
              <w:ind w:left="180" w:right="0" w:hanging="0"/>
              <w:jc w:val="left"/>
              <w:rPr>
                <w:sz w:val="20"/>
              </w:rPr>
            </w:pPr>
            <w:r>
              <w:rPr>
                <w:sz w:val="20"/>
              </w:rPr>
              <w:t>Restricted deposits</w:t>
            </w:r>
          </w:p>
        </w:tc>
        <w:tc>
          <w:tcPr>
            <w:tcW w:w="60" w:type="dxa"/>
            <w:tcBorders/>
            <w:vAlign w:val="bottom"/>
          </w:tcPr>
          <w:p>
            <w:pPr>
              <w:pStyle w:val="TableContents"/>
              <w:bidi w:val="0"/>
              <w:spacing w:before="0" w:after="283"/>
              <w:jc w:val="right"/>
              <w:rPr/>
            </w:pPr>
            <w:r>
              <w:rPr/>
              <w:t> </w:t>
            </w:r>
          </w:p>
        </w:tc>
        <w:tc>
          <w:tcPr>
            <w:tcW w:w="145" w:type="dxa"/>
            <w:tcBorders/>
            <w:vAlign w:val="bottom"/>
          </w:tcPr>
          <w:p>
            <w:pPr>
              <w:pStyle w:val="TableContents"/>
              <w:bidi w:val="0"/>
              <w:spacing w:before="0" w:after="283"/>
              <w:jc w:val="left"/>
              <w:rPr/>
            </w:pPr>
            <w:r>
              <w:rPr/>
              <w:t> </w:t>
            </w:r>
          </w:p>
        </w:tc>
        <w:tc>
          <w:tcPr>
            <w:tcW w:w="983" w:type="dxa"/>
            <w:tcBorders/>
            <w:vAlign w:val="bottom"/>
          </w:tcPr>
          <w:p>
            <w:pPr>
              <w:pStyle w:val="TableContents"/>
              <w:bidi w:val="0"/>
              <w:spacing w:before="0" w:after="0"/>
              <w:jc w:val="right"/>
              <w:rPr>
                <w:sz w:val="20"/>
              </w:rPr>
            </w:pPr>
            <w:r>
              <w:rPr>
                <w:sz w:val="20"/>
              </w:rPr>
              <w:t>4,111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1" w:type="dxa"/>
            <w:tcBorders/>
            <w:vAlign w:val="bottom"/>
          </w:tcPr>
          <w:p>
            <w:pPr>
              <w:pStyle w:val="TableContents"/>
              <w:bidi w:val="0"/>
              <w:spacing w:before="0" w:after="283"/>
              <w:jc w:val="left"/>
              <w:rPr/>
            </w:pPr>
            <w:r>
              <w:rPr/>
              <w:t> </w:t>
            </w:r>
          </w:p>
        </w:tc>
        <w:tc>
          <w:tcPr>
            <w:tcW w:w="958" w:type="dxa"/>
            <w:tcBorders/>
            <w:vAlign w:val="bottom"/>
          </w:tcPr>
          <w:p>
            <w:pPr>
              <w:pStyle w:val="TableContents"/>
              <w:bidi w:val="0"/>
              <w:spacing w:before="0" w:after="0"/>
              <w:jc w:val="right"/>
              <w:rPr>
                <w:sz w:val="20"/>
              </w:rPr>
            </w:pPr>
            <w:r>
              <w:rPr>
                <w:sz w:val="20"/>
              </w:rPr>
              <w:t>4,059</w:t>
            </w:r>
          </w:p>
        </w:tc>
        <w:tc>
          <w:tcPr>
            <w:tcW w:w="62" w:type="dxa"/>
            <w:tcBorders/>
            <w:vAlign w:val="bottom"/>
          </w:tcPr>
          <w:p>
            <w:pPr>
              <w:pStyle w:val="TableContents"/>
              <w:bidi w:val="0"/>
              <w:spacing w:before="0" w:after="283"/>
              <w:jc w:val="left"/>
              <w:rPr/>
            </w:pPr>
            <w:r>
              <w:rPr/>
              <w:t> </w:t>
            </w:r>
          </w:p>
        </w:tc>
      </w:tr>
      <w:tr>
        <w:trPr/>
        <w:tc>
          <w:tcPr>
            <w:tcW w:w="7736" w:type="dxa"/>
            <w:tcBorders/>
            <w:shd w:fill="CCEEFF" w:val="clear"/>
            <w:vAlign w:val="bottom"/>
          </w:tcPr>
          <w:p>
            <w:pPr>
              <w:pStyle w:val="TableContents"/>
              <w:bidi w:val="0"/>
              <w:spacing w:before="0" w:after="0"/>
              <w:ind w:left="180" w:right="0" w:hanging="0"/>
              <w:jc w:val="left"/>
              <w:rPr>
                <w:sz w:val="20"/>
              </w:rPr>
            </w:pPr>
            <w:r>
              <w:rPr>
                <w:sz w:val="20"/>
              </w:rPr>
              <w:t>Deferred tax assets, net</w:t>
            </w:r>
          </w:p>
        </w:tc>
        <w:tc>
          <w:tcPr>
            <w:tcW w:w="60" w:type="dxa"/>
            <w:tcBorders/>
            <w:shd w:fill="CCEEFF" w:val="clear"/>
            <w:vAlign w:val="bottom"/>
          </w:tcPr>
          <w:p>
            <w:pPr>
              <w:pStyle w:val="TableContents"/>
              <w:bidi w:val="0"/>
              <w:spacing w:before="0" w:after="283"/>
              <w:jc w:val="right"/>
              <w:rPr/>
            </w:pPr>
            <w:r>
              <w:rPr/>
              <w:t> </w:t>
            </w:r>
          </w:p>
        </w:tc>
        <w:tc>
          <w:tcPr>
            <w:tcW w:w="145" w:type="dxa"/>
            <w:tcBorders/>
            <w:shd w:fill="CCEEFF" w:val="clear"/>
            <w:vAlign w:val="bottom"/>
          </w:tcPr>
          <w:p>
            <w:pPr>
              <w:pStyle w:val="TableContents"/>
              <w:bidi w:val="0"/>
              <w:spacing w:before="0" w:after="283"/>
              <w:jc w:val="left"/>
              <w:rPr/>
            </w:pPr>
            <w:r>
              <w:rPr/>
              <w:t> </w:t>
            </w:r>
          </w:p>
        </w:tc>
        <w:tc>
          <w:tcPr>
            <w:tcW w:w="983" w:type="dxa"/>
            <w:tcBorders/>
            <w:shd w:fill="CCEEFF" w:val="clear"/>
            <w:vAlign w:val="bottom"/>
          </w:tcPr>
          <w:p>
            <w:pPr>
              <w:pStyle w:val="TableContents"/>
              <w:bidi w:val="0"/>
              <w:spacing w:before="0" w:after="0"/>
              <w:jc w:val="right"/>
              <w:rPr>
                <w:sz w:val="20"/>
              </w:rPr>
            </w:pPr>
            <w:r>
              <w:rPr>
                <w:sz w:val="20"/>
              </w:rPr>
              <w:t>3,467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1" w:type="dxa"/>
            <w:tcBorders/>
            <w:shd w:fill="CCEEFF" w:val="clear"/>
            <w:vAlign w:val="bottom"/>
          </w:tcPr>
          <w:p>
            <w:pPr>
              <w:pStyle w:val="TableContents"/>
              <w:bidi w:val="0"/>
              <w:spacing w:before="0" w:after="283"/>
              <w:jc w:val="left"/>
              <w:rPr/>
            </w:pPr>
            <w:r>
              <w:rPr/>
              <w:t> </w:t>
            </w:r>
          </w:p>
        </w:tc>
        <w:tc>
          <w:tcPr>
            <w:tcW w:w="958" w:type="dxa"/>
            <w:tcBorders/>
            <w:shd w:fill="CCEEFF" w:val="clear"/>
            <w:vAlign w:val="bottom"/>
          </w:tcPr>
          <w:p>
            <w:pPr>
              <w:pStyle w:val="TableContents"/>
              <w:bidi w:val="0"/>
              <w:spacing w:before="0" w:after="0"/>
              <w:jc w:val="right"/>
              <w:rPr>
                <w:sz w:val="20"/>
              </w:rPr>
            </w:pPr>
            <w:r>
              <w:rPr>
                <w:sz w:val="20"/>
              </w:rPr>
              <w:t>3,821</w:t>
            </w:r>
          </w:p>
        </w:tc>
        <w:tc>
          <w:tcPr>
            <w:tcW w:w="62" w:type="dxa"/>
            <w:tcBorders/>
            <w:shd w:fill="CCEEFF" w:val="clear"/>
            <w:vAlign w:val="bottom"/>
          </w:tcPr>
          <w:p>
            <w:pPr>
              <w:pStyle w:val="TableContents"/>
              <w:bidi w:val="0"/>
              <w:spacing w:before="0" w:after="283"/>
              <w:jc w:val="left"/>
              <w:rPr/>
            </w:pPr>
            <w:r>
              <w:rPr/>
              <w:t> </w:t>
            </w:r>
          </w:p>
        </w:tc>
      </w:tr>
      <w:tr>
        <w:trPr/>
        <w:tc>
          <w:tcPr>
            <w:tcW w:w="7736" w:type="dxa"/>
            <w:tcBorders/>
            <w:vAlign w:val="bottom"/>
          </w:tcPr>
          <w:p>
            <w:pPr>
              <w:pStyle w:val="TableContents"/>
              <w:bidi w:val="0"/>
              <w:spacing w:before="0" w:after="0"/>
              <w:ind w:left="180" w:right="0" w:hanging="0"/>
              <w:jc w:val="left"/>
              <w:rPr>
                <w:sz w:val="20"/>
              </w:rPr>
            </w:pPr>
            <w:r>
              <w:rPr>
                <w:sz w:val="20"/>
              </w:rPr>
              <w:t>Operating lease right of use assets</w:t>
            </w:r>
          </w:p>
        </w:tc>
        <w:tc>
          <w:tcPr>
            <w:tcW w:w="60" w:type="dxa"/>
            <w:tcBorders/>
            <w:vAlign w:val="bottom"/>
          </w:tcPr>
          <w:p>
            <w:pPr>
              <w:pStyle w:val="TableContents"/>
              <w:bidi w:val="0"/>
              <w:spacing w:before="0" w:after="283"/>
              <w:jc w:val="right"/>
              <w:rPr/>
            </w:pPr>
            <w:r>
              <w:rPr/>
              <w:t> </w:t>
            </w:r>
          </w:p>
        </w:tc>
        <w:tc>
          <w:tcPr>
            <w:tcW w:w="145" w:type="dxa"/>
            <w:tcBorders/>
            <w:vAlign w:val="bottom"/>
          </w:tcPr>
          <w:p>
            <w:pPr>
              <w:pStyle w:val="TableContents"/>
              <w:bidi w:val="0"/>
              <w:spacing w:before="0" w:after="283"/>
              <w:jc w:val="left"/>
              <w:rPr/>
            </w:pPr>
            <w:r>
              <w:rPr/>
              <w:t> </w:t>
            </w:r>
          </w:p>
        </w:tc>
        <w:tc>
          <w:tcPr>
            <w:tcW w:w="983" w:type="dxa"/>
            <w:tcBorders/>
            <w:vAlign w:val="bottom"/>
          </w:tcPr>
          <w:p>
            <w:pPr>
              <w:pStyle w:val="TableContents"/>
              <w:bidi w:val="0"/>
              <w:spacing w:before="0" w:after="0"/>
              <w:jc w:val="right"/>
              <w:rPr>
                <w:sz w:val="20"/>
              </w:rPr>
            </w:pPr>
            <w:r>
              <w:rPr>
                <w:sz w:val="20"/>
              </w:rPr>
              <w:t>65,003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1" w:type="dxa"/>
            <w:tcBorders/>
            <w:vAlign w:val="bottom"/>
          </w:tcPr>
          <w:p>
            <w:pPr>
              <w:pStyle w:val="TableContents"/>
              <w:bidi w:val="0"/>
              <w:spacing w:before="0" w:after="283"/>
              <w:jc w:val="left"/>
              <w:rPr/>
            </w:pPr>
            <w:r>
              <w:rPr/>
              <w:t> </w:t>
            </w:r>
          </w:p>
        </w:tc>
        <w:tc>
          <w:tcPr>
            <w:tcW w:w="958" w:type="dxa"/>
            <w:tcBorders/>
            <w:vAlign w:val="bottom"/>
          </w:tcPr>
          <w:p>
            <w:pPr>
              <w:pStyle w:val="TableContents"/>
              <w:bidi w:val="0"/>
              <w:spacing w:before="0" w:after="0"/>
              <w:jc w:val="right"/>
              <w:rPr>
                <w:sz w:val="20"/>
              </w:rPr>
            </w:pPr>
            <w:r>
              <w:rPr>
                <w:sz w:val="20"/>
              </w:rPr>
              <w:t>66,846</w:t>
            </w:r>
          </w:p>
        </w:tc>
        <w:tc>
          <w:tcPr>
            <w:tcW w:w="62" w:type="dxa"/>
            <w:tcBorders/>
            <w:vAlign w:val="bottom"/>
          </w:tcPr>
          <w:p>
            <w:pPr>
              <w:pStyle w:val="TableContents"/>
              <w:bidi w:val="0"/>
              <w:spacing w:before="0" w:after="283"/>
              <w:jc w:val="left"/>
              <w:rPr/>
            </w:pPr>
            <w:r>
              <w:rPr/>
              <w:t> </w:t>
            </w:r>
          </w:p>
        </w:tc>
      </w:tr>
      <w:tr>
        <w:trPr/>
        <w:tc>
          <w:tcPr>
            <w:tcW w:w="7736" w:type="dxa"/>
            <w:tcBorders/>
            <w:shd w:fill="CCEEFF" w:val="clear"/>
            <w:vAlign w:val="bottom"/>
          </w:tcPr>
          <w:p>
            <w:pPr>
              <w:pStyle w:val="TableContents"/>
              <w:bidi w:val="0"/>
              <w:spacing w:before="0" w:after="0"/>
              <w:ind w:left="180" w:right="0" w:hanging="0"/>
              <w:jc w:val="left"/>
              <w:rPr>
                <w:sz w:val="20"/>
              </w:rPr>
            </w:pPr>
            <w:r>
              <w:rPr>
                <w:sz w:val="20"/>
              </w:rPr>
              <w:t>Property and equipment, net</w:t>
            </w:r>
          </w:p>
        </w:tc>
        <w:tc>
          <w:tcPr>
            <w:tcW w:w="60" w:type="dxa"/>
            <w:tcBorders/>
            <w:shd w:fill="CCEEFF" w:val="clear"/>
            <w:vAlign w:val="bottom"/>
          </w:tcPr>
          <w:p>
            <w:pPr>
              <w:pStyle w:val="TableContents"/>
              <w:bidi w:val="0"/>
              <w:spacing w:before="0" w:after="283"/>
              <w:jc w:val="right"/>
              <w:rPr/>
            </w:pPr>
            <w:r>
              <w:rPr/>
              <w:t> </w:t>
            </w:r>
          </w:p>
        </w:tc>
        <w:tc>
          <w:tcPr>
            <w:tcW w:w="145" w:type="dxa"/>
            <w:tcBorders/>
            <w:shd w:fill="CCEEFF" w:val="clear"/>
            <w:vAlign w:val="bottom"/>
          </w:tcPr>
          <w:p>
            <w:pPr>
              <w:pStyle w:val="TableContents"/>
              <w:bidi w:val="0"/>
              <w:spacing w:before="0" w:after="283"/>
              <w:jc w:val="left"/>
              <w:rPr/>
            </w:pPr>
            <w:r>
              <w:rPr/>
              <w:t> </w:t>
            </w:r>
          </w:p>
        </w:tc>
        <w:tc>
          <w:tcPr>
            <w:tcW w:w="983" w:type="dxa"/>
            <w:tcBorders/>
            <w:shd w:fill="CCEEFF" w:val="clear"/>
            <w:vAlign w:val="bottom"/>
          </w:tcPr>
          <w:p>
            <w:pPr>
              <w:pStyle w:val="TableContents"/>
              <w:bidi w:val="0"/>
              <w:spacing w:before="0" w:after="0"/>
              <w:jc w:val="right"/>
              <w:rPr>
                <w:sz w:val="20"/>
              </w:rPr>
            </w:pPr>
            <w:r>
              <w:rPr>
                <w:sz w:val="20"/>
              </w:rPr>
              <w:t>75,792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1" w:type="dxa"/>
            <w:tcBorders/>
            <w:shd w:fill="CCEEFF" w:val="clear"/>
            <w:vAlign w:val="bottom"/>
          </w:tcPr>
          <w:p>
            <w:pPr>
              <w:pStyle w:val="TableContents"/>
              <w:bidi w:val="0"/>
              <w:spacing w:before="0" w:after="283"/>
              <w:jc w:val="left"/>
              <w:rPr/>
            </w:pPr>
            <w:r>
              <w:rPr/>
              <w:t> </w:t>
            </w:r>
          </w:p>
        </w:tc>
        <w:tc>
          <w:tcPr>
            <w:tcW w:w="958" w:type="dxa"/>
            <w:tcBorders/>
            <w:shd w:fill="CCEEFF" w:val="clear"/>
            <w:vAlign w:val="bottom"/>
          </w:tcPr>
          <w:p>
            <w:pPr>
              <w:pStyle w:val="TableContents"/>
              <w:bidi w:val="0"/>
              <w:spacing w:before="0" w:after="0"/>
              <w:jc w:val="right"/>
              <w:rPr>
                <w:sz w:val="20"/>
              </w:rPr>
            </w:pPr>
            <w:r>
              <w:rPr>
                <w:sz w:val="20"/>
              </w:rPr>
              <w:t>73,019</w:t>
            </w:r>
          </w:p>
        </w:tc>
        <w:tc>
          <w:tcPr>
            <w:tcW w:w="62" w:type="dxa"/>
            <w:tcBorders/>
            <w:shd w:fill="CCEEFF" w:val="clear"/>
            <w:vAlign w:val="bottom"/>
          </w:tcPr>
          <w:p>
            <w:pPr>
              <w:pStyle w:val="TableContents"/>
              <w:bidi w:val="0"/>
              <w:spacing w:before="0" w:after="283"/>
              <w:jc w:val="left"/>
              <w:rPr/>
            </w:pPr>
            <w:r>
              <w:rPr/>
              <w:t> </w:t>
            </w:r>
          </w:p>
        </w:tc>
      </w:tr>
      <w:tr>
        <w:trPr/>
        <w:tc>
          <w:tcPr>
            <w:tcW w:w="7736" w:type="dxa"/>
            <w:tcBorders/>
            <w:vAlign w:val="bottom"/>
          </w:tcPr>
          <w:p>
            <w:pPr>
              <w:pStyle w:val="TableContents"/>
              <w:bidi w:val="0"/>
              <w:spacing w:before="0" w:after="0"/>
              <w:ind w:left="180" w:right="0" w:hanging="0"/>
              <w:jc w:val="left"/>
              <w:rPr>
                <w:sz w:val="20"/>
              </w:rPr>
            </w:pPr>
            <w:r>
              <w:rPr>
                <w:sz w:val="20"/>
              </w:rPr>
              <w:t>Intangible assets, net</w:t>
            </w:r>
          </w:p>
        </w:tc>
        <w:tc>
          <w:tcPr>
            <w:tcW w:w="60" w:type="dxa"/>
            <w:tcBorders/>
            <w:vAlign w:val="bottom"/>
          </w:tcPr>
          <w:p>
            <w:pPr>
              <w:pStyle w:val="TableContents"/>
              <w:bidi w:val="0"/>
              <w:spacing w:before="0" w:after="283"/>
              <w:jc w:val="right"/>
              <w:rPr/>
            </w:pPr>
            <w:r>
              <w:rPr/>
              <w:t> </w:t>
            </w:r>
          </w:p>
        </w:tc>
        <w:tc>
          <w:tcPr>
            <w:tcW w:w="145" w:type="dxa"/>
            <w:tcBorders/>
            <w:vAlign w:val="bottom"/>
          </w:tcPr>
          <w:p>
            <w:pPr>
              <w:pStyle w:val="TableContents"/>
              <w:bidi w:val="0"/>
              <w:spacing w:before="0" w:after="283"/>
              <w:jc w:val="left"/>
              <w:rPr/>
            </w:pPr>
            <w:r>
              <w:rPr/>
              <w:t> </w:t>
            </w:r>
          </w:p>
        </w:tc>
        <w:tc>
          <w:tcPr>
            <w:tcW w:w="983" w:type="dxa"/>
            <w:tcBorders/>
            <w:vAlign w:val="bottom"/>
          </w:tcPr>
          <w:p>
            <w:pPr>
              <w:pStyle w:val="TableContents"/>
              <w:bidi w:val="0"/>
              <w:spacing w:before="0" w:after="0"/>
              <w:jc w:val="right"/>
              <w:rPr>
                <w:sz w:val="20"/>
              </w:rPr>
            </w:pPr>
            <w:r>
              <w:rPr>
                <w:sz w:val="20"/>
              </w:rPr>
              <w:t>141,235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1" w:type="dxa"/>
            <w:tcBorders/>
            <w:vAlign w:val="bottom"/>
          </w:tcPr>
          <w:p>
            <w:pPr>
              <w:pStyle w:val="TableContents"/>
              <w:bidi w:val="0"/>
              <w:spacing w:before="0" w:after="283"/>
              <w:jc w:val="left"/>
              <w:rPr/>
            </w:pPr>
            <w:r>
              <w:rPr/>
              <w:t> </w:t>
            </w:r>
          </w:p>
        </w:tc>
        <w:tc>
          <w:tcPr>
            <w:tcW w:w="958" w:type="dxa"/>
            <w:tcBorders/>
            <w:vAlign w:val="bottom"/>
          </w:tcPr>
          <w:p>
            <w:pPr>
              <w:pStyle w:val="TableContents"/>
              <w:bidi w:val="0"/>
              <w:spacing w:before="0" w:after="0"/>
              <w:jc w:val="right"/>
              <w:rPr>
                <w:sz w:val="20"/>
              </w:rPr>
            </w:pPr>
            <w:r>
              <w:rPr>
                <w:sz w:val="20"/>
              </w:rPr>
              <w:t>189,156</w:t>
            </w:r>
          </w:p>
        </w:tc>
        <w:tc>
          <w:tcPr>
            <w:tcW w:w="62" w:type="dxa"/>
            <w:tcBorders/>
            <w:vAlign w:val="bottom"/>
          </w:tcPr>
          <w:p>
            <w:pPr>
              <w:pStyle w:val="TableContents"/>
              <w:bidi w:val="0"/>
              <w:spacing w:before="0" w:after="283"/>
              <w:jc w:val="left"/>
              <w:rPr/>
            </w:pPr>
            <w:r>
              <w:rPr/>
              <w:t> </w:t>
            </w:r>
          </w:p>
        </w:tc>
      </w:tr>
      <w:tr>
        <w:trPr/>
        <w:tc>
          <w:tcPr>
            <w:tcW w:w="7736" w:type="dxa"/>
            <w:tcBorders/>
            <w:shd w:fill="CCEEFF" w:val="clear"/>
            <w:vAlign w:val="center"/>
          </w:tcPr>
          <w:p>
            <w:pPr>
              <w:pStyle w:val="TableContents"/>
              <w:bidi w:val="0"/>
              <w:spacing w:before="0" w:after="0"/>
              <w:ind w:left="180" w:right="0" w:hanging="0"/>
              <w:jc w:val="left"/>
              <w:rPr>
                <w:sz w:val="20"/>
              </w:rPr>
            </w:pPr>
            <w:r>
              <w:rPr>
                <w:sz w:val="20"/>
              </w:rPr>
              <w:t>Goodwill</w:t>
            </w:r>
          </w:p>
        </w:tc>
        <w:tc>
          <w:tcPr>
            <w:tcW w:w="60" w:type="dxa"/>
            <w:tcBorders/>
            <w:shd w:fill="CCEEFF" w:val="clear"/>
            <w:vAlign w:val="bottom"/>
          </w:tcPr>
          <w:p>
            <w:pPr>
              <w:pStyle w:val="TableContents"/>
              <w:bidi w:val="0"/>
              <w:spacing w:before="0" w:after="283"/>
              <w:jc w:val="right"/>
              <w:rPr/>
            </w:pPr>
            <w:r>
              <w:rPr/>
              <w:t> </w:t>
            </w:r>
          </w:p>
        </w:tc>
        <w:tc>
          <w:tcPr>
            <w:tcW w:w="14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83" w:type="dxa"/>
            <w:tcBorders>
              <w:bottom w:val="single" w:sz="12" w:space="0" w:color="000000"/>
            </w:tcBorders>
            <w:shd w:fill="CCEEFF" w:val="clear"/>
            <w:tcMar>
              <w:bottom w:w="28" w:type="dxa"/>
            </w:tcMar>
            <w:vAlign w:val="bottom"/>
          </w:tcPr>
          <w:p>
            <w:pPr>
              <w:pStyle w:val="TableContents"/>
              <w:bidi w:val="0"/>
              <w:spacing w:before="0" w:after="0"/>
              <w:jc w:val="right"/>
              <w:rPr>
                <w:sz w:val="20"/>
              </w:rPr>
            </w:pPr>
            <w:r>
              <w:rPr>
                <w:sz w:val="20"/>
              </w:rPr>
              <w:t>555,931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1"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58" w:type="dxa"/>
            <w:tcBorders>
              <w:bottom w:val="single" w:sz="12" w:space="0" w:color="000000"/>
            </w:tcBorders>
            <w:shd w:fill="CCEEFF" w:val="clear"/>
            <w:tcMar>
              <w:bottom w:w="28" w:type="dxa"/>
            </w:tcMar>
            <w:vAlign w:val="bottom"/>
          </w:tcPr>
          <w:p>
            <w:pPr>
              <w:pStyle w:val="TableContents"/>
              <w:bidi w:val="0"/>
              <w:spacing w:before="0" w:after="0"/>
              <w:jc w:val="right"/>
              <w:rPr>
                <w:sz w:val="20"/>
              </w:rPr>
            </w:pPr>
            <w:r>
              <w:rPr>
                <w:sz w:val="20"/>
              </w:rPr>
              <w:t>555,869</w:t>
            </w:r>
          </w:p>
        </w:tc>
        <w:tc>
          <w:tcPr>
            <w:tcW w:w="62" w:type="dxa"/>
            <w:tcBorders/>
            <w:shd w:fill="CCEEFF" w:val="clear"/>
            <w:vAlign w:val="bottom"/>
          </w:tcPr>
          <w:p>
            <w:pPr>
              <w:pStyle w:val="TableContents"/>
              <w:bidi w:val="0"/>
              <w:spacing w:before="0" w:after="283"/>
              <w:jc w:val="left"/>
              <w:rPr/>
            </w:pPr>
            <w:r>
              <w:rPr/>
              <w:t> </w:t>
            </w:r>
          </w:p>
        </w:tc>
      </w:tr>
      <w:tr>
        <w:trPr/>
        <w:tc>
          <w:tcPr>
            <w:tcW w:w="7736" w:type="dxa"/>
            <w:tcBorders/>
            <w:vAlign w:val="bottom"/>
          </w:tcPr>
          <w:p>
            <w:pPr>
              <w:pStyle w:val="TableContents"/>
              <w:bidi w:val="0"/>
              <w:spacing w:before="0" w:after="0"/>
              <w:jc w:val="left"/>
              <w:rPr>
                <w:b w:val="false"/>
                <w:sz w:val="20"/>
              </w:rPr>
            </w:pPr>
            <w:r>
              <w:rPr>
                <w:b w:val="false"/>
                <w:sz w:val="20"/>
              </w:rPr>
              <w:t>Total non-current assets</w:t>
            </w:r>
          </w:p>
        </w:tc>
        <w:tc>
          <w:tcPr>
            <w:tcW w:w="60" w:type="dxa"/>
            <w:tcBorders/>
            <w:vAlign w:val="bottom"/>
          </w:tcPr>
          <w:p>
            <w:pPr>
              <w:pStyle w:val="TableContents"/>
              <w:bidi w:val="0"/>
              <w:spacing w:before="0" w:after="283"/>
              <w:jc w:val="right"/>
              <w:rPr/>
            </w:pPr>
            <w:r>
              <w:rPr/>
              <w:t> </w:t>
            </w:r>
          </w:p>
        </w:tc>
        <w:tc>
          <w:tcPr>
            <w:tcW w:w="145" w:type="dxa"/>
            <w:tcBorders>
              <w:bottom w:val="single" w:sz="12" w:space="0" w:color="000000"/>
            </w:tcBorders>
            <w:tcMar>
              <w:bottom w:w="28" w:type="dxa"/>
            </w:tcMar>
            <w:vAlign w:val="bottom"/>
          </w:tcPr>
          <w:p>
            <w:pPr>
              <w:pStyle w:val="TableContents"/>
              <w:bidi w:val="0"/>
              <w:spacing w:before="0" w:after="283"/>
              <w:jc w:val="left"/>
              <w:rPr/>
            </w:pPr>
            <w:r>
              <w:rPr/>
              <w:t> </w:t>
            </w:r>
          </w:p>
        </w:tc>
        <w:tc>
          <w:tcPr>
            <w:tcW w:w="983" w:type="dxa"/>
            <w:tcBorders>
              <w:bottom w:val="single" w:sz="12" w:space="0" w:color="000000"/>
            </w:tcBorders>
            <w:tcMar>
              <w:bottom w:w="28" w:type="dxa"/>
            </w:tcMar>
            <w:vAlign w:val="bottom"/>
          </w:tcPr>
          <w:p>
            <w:pPr>
              <w:pStyle w:val="TableContents"/>
              <w:bidi w:val="0"/>
              <w:spacing w:before="0" w:after="0"/>
              <w:jc w:val="right"/>
              <w:rPr>
                <w:sz w:val="20"/>
              </w:rPr>
            </w:pPr>
            <w:r>
              <w:rPr>
                <w:sz w:val="20"/>
              </w:rPr>
              <w:t>1,175,844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1" w:type="dxa"/>
            <w:tcBorders>
              <w:bottom w:val="single" w:sz="12" w:space="0" w:color="000000"/>
            </w:tcBorders>
            <w:tcMar>
              <w:bottom w:w="28" w:type="dxa"/>
            </w:tcMar>
            <w:vAlign w:val="bottom"/>
          </w:tcPr>
          <w:p>
            <w:pPr>
              <w:pStyle w:val="TableContents"/>
              <w:bidi w:val="0"/>
              <w:spacing w:before="0" w:after="283"/>
              <w:jc w:val="left"/>
              <w:rPr/>
            </w:pPr>
            <w:r>
              <w:rPr/>
              <w:t> </w:t>
            </w:r>
          </w:p>
        </w:tc>
        <w:tc>
          <w:tcPr>
            <w:tcW w:w="958" w:type="dxa"/>
            <w:tcBorders>
              <w:bottom w:val="single" w:sz="12" w:space="0" w:color="000000"/>
            </w:tcBorders>
            <w:tcMar>
              <w:bottom w:w="28" w:type="dxa"/>
            </w:tcMar>
            <w:vAlign w:val="bottom"/>
          </w:tcPr>
          <w:p>
            <w:pPr>
              <w:pStyle w:val="TableContents"/>
              <w:bidi w:val="0"/>
              <w:spacing w:before="0" w:after="0"/>
              <w:jc w:val="right"/>
              <w:rPr>
                <w:sz w:val="20"/>
              </w:rPr>
            </w:pPr>
            <w:r>
              <w:rPr>
                <w:sz w:val="20"/>
              </w:rPr>
              <w:t>935,715</w:t>
            </w:r>
          </w:p>
        </w:tc>
        <w:tc>
          <w:tcPr>
            <w:tcW w:w="62" w:type="dxa"/>
            <w:tcBorders/>
            <w:vAlign w:val="bottom"/>
          </w:tcPr>
          <w:p>
            <w:pPr>
              <w:pStyle w:val="TableContents"/>
              <w:bidi w:val="0"/>
              <w:spacing w:before="0" w:after="283"/>
              <w:jc w:val="left"/>
              <w:rPr/>
            </w:pPr>
            <w:r>
              <w:rPr/>
              <w:t> </w:t>
            </w:r>
          </w:p>
        </w:tc>
      </w:tr>
      <w:tr>
        <w:trPr/>
        <w:tc>
          <w:tcPr>
            <w:tcW w:w="7736" w:type="dxa"/>
            <w:tcBorders/>
            <w:shd w:fill="CCEEFF" w:val="clear"/>
            <w:vAlign w:val="bottom"/>
          </w:tcPr>
          <w:p>
            <w:pPr>
              <w:pStyle w:val="TableContents"/>
              <w:bidi w:val="0"/>
              <w:spacing w:before="0" w:after="0"/>
              <w:jc w:val="left"/>
              <w:rPr>
                <w:b w:val="false"/>
                <w:sz w:val="20"/>
              </w:rPr>
            </w:pPr>
            <w:r>
              <w:rPr>
                <w:b w:val="false"/>
                <w:sz w:val="20"/>
              </w:rPr>
              <w:t>Total assets</w:t>
            </w:r>
          </w:p>
        </w:tc>
        <w:tc>
          <w:tcPr>
            <w:tcW w:w="60" w:type="dxa"/>
            <w:tcBorders/>
            <w:shd w:fill="CCEEFF" w:val="clear"/>
            <w:vAlign w:val="bottom"/>
          </w:tcPr>
          <w:p>
            <w:pPr>
              <w:pStyle w:val="TableContents"/>
              <w:bidi w:val="0"/>
              <w:spacing w:before="0" w:after="283"/>
              <w:jc w:val="right"/>
              <w:rPr/>
            </w:pPr>
            <w:r>
              <w:rPr/>
              <w:t> </w:t>
            </w:r>
          </w:p>
        </w:tc>
        <w:tc>
          <w:tcPr>
            <w:tcW w:w="145" w:type="dxa"/>
            <w:tcBorders>
              <w:bottom w:val="single" w:sz="12" w:space="0" w:color="000000"/>
            </w:tcBorders>
            <w:shd w:fill="CCEEFF" w:val="clear"/>
            <w:tcMar>
              <w:bottom w:w="28" w:type="dxa"/>
            </w:tcMar>
            <w:vAlign w:val="bottom"/>
          </w:tcPr>
          <w:p>
            <w:pPr>
              <w:pStyle w:val="TableContents"/>
              <w:bidi w:val="0"/>
              <w:spacing w:before="0" w:after="0"/>
              <w:jc w:val="left"/>
              <w:rPr>
                <w:b w:val="false"/>
                <w:sz w:val="20"/>
              </w:rPr>
            </w:pPr>
            <w:r>
              <w:rPr>
                <w:b w:val="false"/>
                <w:sz w:val="20"/>
              </w:rPr>
              <w:t>$</w:t>
            </w:r>
          </w:p>
        </w:tc>
        <w:tc>
          <w:tcPr>
            <w:tcW w:w="983" w:type="dxa"/>
            <w:tcBorders>
              <w:bottom w:val="single" w:sz="12" w:space="0" w:color="000000"/>
            </w:tcBorders>
            <w:shd w:fill="CCEEFF" w:val="clear"/>
            <w:tcMar>
              <w:bottom w:w="28" w:type="dxa"/>
            </w:tcMar>
            <w:vAlign w:val="bottom"/>
          </w:tcPr>
          <w:p>
            <w:pPr>
              <w:pStyle w:val="TableContents"/>
              <w:bidi w:val="0"/>
              <w:spacing w:before="0" w:after="0"/>
              <w:jc w:val="right"/>
              <w:rPr>
                <w:b w:val="false"/>
                <w:sz w:val="20"/>
              </w:rPr>
            </w:pPr>
            <w:r>
              <w:rPr>
                <w:b w:val="false"/>
                <w:sz w:val="20"/>
              </w:rPr>
              <w:t>1,731,724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1" w:type="dxa"/>
            <w:tcBorders>
              <w:bottom w:val="single" w:sz="12" w:space="0" w:color="000000"/>
            </w:tcBorders>
            <w:shd w:fill="CCEEFF" w:val="clear"/>
            <w:tcMar>
              <w:bottom w:w="28" w:type="dxa"/>
            </w:tcMar>
            <w:vAlign w:val="bottom"/>
          </w:tcPr>
          <w:p>
            <w:pPr>
              <w:pStyle w:val="TableContents"/>
              <w:bidi w:val="0"/>
              <w:spacing w:before="0" w:after="0"/>
              <w:jc w:val="left"/>
              <w:rPr>
                <w:b w:val="false"/>
                <w:sz w:val="20"/>
              </w:rPr>
            </w:pPr>
            <w:r>
              <w:rPr>
                <w:b w:val="false"/>
                <w:sz w:val="20"/>
              </w:rPr>
              <w:t>$</w:t>
            </w:r>
          </w:p>
        </w:tc>
        <w:tc>
          <w:tcPr>
            <w:tcW w:w="958" w:type="dxa"/>
            <w:tcBorders>
              <w:bottom w:val="single" w:sz="12" w:space="0" w:color="000000"/>
            </w:tcBorders>
            <w:shd w:fill="CCEEFF" w:val="clear"/>
            <w:tcMar>
              <w:bottom w:w="28" w:type="dxa"/>
            </w:tcMar>
            <w:vAlign w:val="bottom"/>
          </w:tcPr>
          <w:p>
            <w:pPr>
              <w:pStyle w:val="TableContents"/>
              <w:bidi w:val="0"/>
              <w:spacing w:before="0" w:after="0"/>
              <w:jc w:val="right"/>
              <w:rPr>
                <w:b w:val="false"/>
                <w:sz w:val="20"/>
              </w:rPr>
            </w:pPr>
            <w:r>
              <w:rPr>
                <w:b w:val="false"/>
                <w:sz w:val="20"/>
              </w:rPr>
              <w:t>1,529,623</w:t>
            </w:r>
          </w:p>
        </w:tc>
        <w:tc>
          <w:tcPr>
            <w:tcW w:w="62" w:type="dxa"/>
            <w:tcBorders/>
            <w:shd w:fill="CCEEFF" w:val="clear"/>
            <w:vAlign w:val="bottom"/>
          </w:tcPr>
          <w:p>
            <w:pPr>
              <w:pStyle w:val="TableContents"/>
              <w:bidi w:val="0"/>
              <w:spacing w:before="0" w:after="283"/>
              <w:jc w:val="left"/>
              <w:rPr/>
            </w:pPr>
            <w:r>
              <w:rPr/>
              <w:t> </w:t>
            </w:r>
          </w:p>
        </w:tc>
      </w:tr>
    </w:tbl>
    <w:tbl>
      <w:tblPr>
        <w:tblW w:w="10205" w:type="dxa"/>
        <w:jc w:val="left"/>
        <w:tblInd w:w="0" w:type="dxa"/>
        <w:tblLayout w:type="fixed"/>
        <w:tblCellMar>
          <w:top w:w="0" w:type="dxa"/>
          <w:left w:w="0" w:type="dxa"/>
          <w:bottom w:w="0" w:type="dxa"/>
          <w:right w:w="0" w:type="dxa"/>
        </w:tblCellMar>
      </w:tblPr>
      <w:tblGrid>
        <w:gridCol w:w="7985"/>
        <w:gridCol w:w="60"/>
        <w:gridCol w:w="125"/>
        <w:gridCol w:w="845"/>
        <w:gridCol w:w="80"/>
        <w:gridCol w:w="60"/>
        <w:gridCol w:w="125"/>
        <w:gridCol w:w="845"/>
        <w:gridCol w:w="80"/>
      </w:tblGrid>
      <w:tr>
        <w:trPr/>
        <w:tc>
          <w:tcPr>
            <w:tcW w:w="79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70" w:type="dxa"/>
            <w:gridSpan w:val="2"/>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70" w:type="dxa"/>
            <w:gridSpan w:val="2"/>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r>
      <w:tr>
        <w:trPr/>
        <w:tc>
          <w:tcPr>
            <w:tcW w:w="7985" w:type="dxa"/>
            <w:tcBorders/>
            <w:vAlign w:val="bottom"/>
          </w:tcPr>
          <w:p>
            <w:pPr>
              <w:pStyle w:val="TableContents"/>
              <w:bidi w:val="0"/>
              <w:spacing w:before="0" w:after="0"/>
              <w:jc w:val="left"/>
              <w:rPr>
                <w:b/>
                <w:sz w:val="20"/>
              </w:rPr>
            </w:pPr>
            <w:r>
              <w:rPr>
                <w:b/>
                <w:sz w:val="20"/>
              </w:rPr>
              <w:t>LIABILITIES AND SHAREHOLDERS’ EQUITY</w:t>
            </w:r>
          </w:p>
        </w:tc>
        <w:tc>
          <w:tcPr>
            <w:tcW w:w="60" w:type="dxa"/>
            <w:tcBorders/>
            <w:vAlign w:val="bottom"/>
          </w:tcPr>
          <w:p>
            <w:pPr>
              <w:pStyle w:val="TableContents"/>
              <w:bidi w:val="0"/>
              <w:spacing w:before="0" w:after="283"/>
              <w:jc w:val="left"/>
              <w:rPr/>
            </w:pPr>
            <w:r>
              <w:rPr/>
              <w:t> </w:t>
            </w:r>
          </w:p>
        </w:tc>
        <w:tc>
          <w:tcPr>
            <w:tcW w:w="970" w:type="dxa"/>
            <w:gridSpan w:val="2"/>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70" w:type="dxa"/>
            <w:gridSpan w:val="2"/>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r>
      <w:tr>
        <w:trPr/>
        <w:tc>
          <w:tcPr>
            <w:tcW w:w="7985" w:type="dxa"/>
            <w:tcBorders/>
            <w:vAlign w:val="bottom"/>
          </w:tcPr>
          <w:p>
            <w:pPr>
              <w:pStyle w:val="TableContents"/>
              <w:bidi w:val="0"/>
              <w:spacing w:before="0" w:after="0"/>
              <w:jc w:val="left"/>
              <w:rPr>
                <w:b/>
                <w:sz w:val="20"/>
              </w:rPr>
            </w:pPr>
            <w:r>
              <w:rPr>
                <w:b/>
                <w:sz w:val="20"/>
              </w:rPr>
              <w:t>CURRENT LIABILITIES</w:t>
            </w:r>
          </w:p>
        </w:tc>
        <w:tc>
          <w:tcPr>
            <w:tcW w:w="60" w:type="dxa"/>
            <w:tcBorders/>
            <w:vAlign w:val="bottom"/>
          </w:tcPr>
          <w:p>
            <w:pPr>
              <w:pStyle w:val="TableContents"/>
              <w:bidi w:val="0"/>
              <w:spacing w:before="0" w:after="283"/>
              <w:jc w:val="left"/>
              <w:rPr/>
            </w:pPr>
            <w:r>
              <w:rPr/>
              <w:t> </w:t>
            </w:r>
          </w:p>
        </w:tc>
        <w:tc>
          <w:tcPr>
            <w:tcW w:w="970" w:type="dxa"/>
            <w:gridSpan w:val="2"/>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70" w:type="dxa"/>
            <w:gridSpan w:val="2"/>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r>
      <w:tr>
        <w:trPr/>
        <w:tc>
          <w:tcPr>
            <w:tcW w:w="7985" w:type="dxa"/>
            <w:tcBorders/>
            <w:shd w:fill="CCEEFF" w:val="clear"/>
            <w:vAlign w:val="bottom"/>
          </w:tcPr>
          <w:p>
            <w:pPr>
              <w:pStyle w:val="TableContents"/>
              <w:bidi w:val="0"/>
              <w:spacing w:before="0" w:after="0"/>
              <w:ind w:left="180" w:right="0" w:hanging="0"/>
              <w:jc w:val="left"/>
              <w:rPr>
                <w:sz w:val="20"/>
              </w:rPr>
            </w:pPr>
            <w:r>
              <w:rPr>
                <w:sz w:val="20"/>
              </w:rPr>
              <w:t>Trade payables</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sz w:val="20"/>
              </w:rPr>
            </w:pPr>
            <w:r>
              <w:rPr>
                <w:sz w:val="20"/>
              </w:rPr>
              <w:t>$</w:t>
            </w:r>
          </w:p>
        </w:tc>
        <w:tc>
          <w:tcPr>
            <w:tcW w:w="845" w:type="dxa"/>
            <w:tcBorders/>
            <w:shd w:fill="CCEEFF" w:val="clear"/>
            <w:vAlign w:val="bottom"/>
          </w:tcPr>
          <w:p>
            <w:pPr>
              <w:pStyle w:val="TableContents"/>
              <w:bidi w:val="0"/>
              <w:spacing w:before="0" w:after="0"/>
              <w:jc w:val="right"/>
              <w:rPr>
                <w:sz w:val="20"/>
              </w:rPr>
            </w:pPr>
            <w:r>
              <w:rPr>
                <w:sz w:val="20"/>
              </w:rPr>
              <w:t>252,727</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sz w:val="20"/>
              </w:rPr>
            </w:pPr>
            <w:r>
              <w:rPr>
                <w:sz w:val="20"/>
              </w:rPr>
              <w:t>$</w:t>
            </w:r>
          </w:p>
        </w:tc>
        <w:tc>
          <w:tcPr>
            <w:tcW w:w="845" w:type="dxa"/>
            <w:tcBorders/>
            <w:shd w:fill="CCEEFF" w:val="clear"/>
            <w:vAlign w:val="bottom"/>
          </w:tcPr>
          <w:p>
            <w:pPr>
              <w:pStyle w:val="TableContents"/>
              <w:bidi w:val="0"/>
              <w:spacing w:before="0" w:after="0"/>
              <w:jc w:val="right"/>
              <w:rPr>
                <w:sz w:val="20"/>
              </w:rPr>
            </w:pPr>
            <w:r>
              <w:rPr>
                <w:sz w:val="20"/>
              </w:rPr>
              <w:t>247,504</w:t>
            </w:r>
          </w:p>
        </w:tc>
        <w:tc>
          <w:tcPr>
            <w:tcW w:w="80" w:type="dxa"/>
            <w:tcBorders/>
            <w:shd w:fill="CCEEFF" w:val="clear"/>
            <w:vAlign w:val="bottom"/>
          </w:tcPr>
          <w:p>
            <w:pPr>
              <w:pStyle w:val="TableContents"/>
              <w:bidi w:val="0"/>
              <w:spacing w:before="0" w:after="283"/>
              <w:jc w:val="left"/>
              <w:rPr/>
            </w:pPr>
            <w:r>
              <w:rPr/>
              <w:t> </w:t>
            </w:r>
          </w:p>
        </w:tc>
      </w:tr>
      <w:tr>
        <w:trPr/>
        <w:tc>
          <w:tcPr>
            <w:tcW w:w="7985" w:type="dxa"/>
            <w:tcBorders/>
            <w:vAlign w:val="bottom"/>
          </w:tcPr>
          <w:p>
            <w:pPr>
              <w:pStyle w:val="TableContents"/>
              <w:bidi w:val="0"/>
              <w:spacing w:before="0" w:after="0"/>
              <w:ind w:left="180" w:right="0" w:hanging="0"/>
              <w:jc w:val="left"/>
              <w:rPr>
                <w:sz w:val="20"/>
              </w:rPr>
            </w:pPr>
            <w:r>
              <w:rPr>
                <w:sz w:val="20"/>
              </w:rPr>
              <w:t>Short-term operating lease liabilities</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sz w:val="20"/>
              </w:rPr>
            </w:pPr>
            <w:r>
              <w:rPr>
                <w:sz w:val="20"/>
              </w:rPr>
              <w:t>19,015</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sz w:val="20"/>
              </w:rPr>
            </w:pPr>
            <w:r>
              <w:rPr>
                <w:sz w:val="20"/>
              </w:rPr>
              <w:t>14,753</w:t>
            </w:r>
          </w:p>
        </w:tc>
        <w:tc>
          <w:tcPr>
            <w:tcW w:w="80" w:type="dxa"/>
            <w:tcBorders/>
            <w:vAlign w:val="bottom"/>
          </w:tcPr>
          <w:p>
            <w:pPr>
              <w:pStyle w:val="TableContents"/>
              <w:bidi w:val="0"/>
              <w:spacing w:before="0" w:after="283"/>
              <w:jc w:val="left"/>
              <w:rPr/>
            </w:pPr>
            <w:r>
              <w:rPr/>
              <w:t> </w:t>
            </w:r>
          </w:p>
        </w:tc>
      </w:tr>
      <w:tr>
        <w:trPr/>
        <w:tc>
          <w:tcPr>
            <w:tcW w:w="7985" w:type="dxa"/>
            <w:tcBorders/>
            <w:shd w:fill="CCEEFF" w:val="clear"/>
            <w:vAlign w:val="bottom"/>
          </w:tcPr>
          <w:p>
            <w:pPr>
              <w:pStyle w:val="TableContents"/>
              <w:bidi w:val="0"/>
              <w:spacing w:before="0" w:after="0"/>
              <w:ind w:left="180" w:right="0" w:hanging="0"/>
              <w:jc w:val="left"/>
              <w:rPr>
                <w:sz w:val="20"/>
              </w:rPr>
            </w:pPr>
            <w:r>
              <w:rPr>
                <w:sz w:val="20"/>
              </w:rPr>
              <w:t>Accrued expenses and other current liabilities</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0"/>
              <w:jc w:val="right"/>
              <w:rPr>
                <w:sz w:val="20"/>
              </w:rPr>
            </w:pPr>
            <w:r>
              <w:rPr>
                <w:sz w:val="20"/>
              </w:rPr>
              <w:t>108,229</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0"/>
              <w:jc w:val="right"/>
              <w:rPr>
                <w:sz w:val="20"/>
              </w:rPr>
            </w:pPr>
            <w:r>
              <w:rPr>
                <w:sz w:val="20"/>
              </w:rPr>
              <w:t>102,965</w:t>
            </w:r>
          </w:p>
        </w:tc>
        <w:tc>
          <w:tcPr>
            <w:tcW w:w="80" w:type="dxa"/>
            <w:tcBorders/>
            <w:shd w:fill="CCEEFF" w:val="clear"/>
            <w:vAlign w:val="bottom"/>
          </w:tcPr>
          <w:p>
            <w:pPr>
              <w:pStyle w:val="TableContents"/>
              <w:bidi w:val="0"/>
              <w:spacing w:before="0" w:after="283"/>
              <w:jc w:val="left"/>
              <w:rPr/>
            </w:pPr>
            <w:r>
              <w:rPr/>
              <w:t> </w:t>
            </w:r>
          </w:p>
        </w:tc>
      </w:tr>
      <w:tr>
        <w:trPr/>
        <w:tc>
          <w:tcPr>
            <w:tcW w:w="7985" w:type="dxa"/>
            <w:tcBorders/>
            <w:vAlign w:val="bottom"/>
          </w:tcPr>
          <w:p>
            <w:pPr>
              <w:pStyle w:val="TableContents"/>
              <w:bidi w:val="0"/>
              <w:spacing w:before="0" w:after="0"/>
              <w:ind w:left="180" w:right="0" w:hanging="0"/>
              <w:jc w:val="left"/>
              <w:rPr>
                <w:sz w:val="20"/>
              </w:rPr>
            </w:pPr>
            <w:r>
              <w:rPr>
                <w:sz w:val="20"/>
              </w:rPr>
              <w:t>Current maturities of long-term loan</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tcMar>
              <w:bottom w:w="28" w:type="dxa"/>
            </w:tcMar>
            <w:vAlign w:val="bottom"/>
          </w:tcPr>
          <w:p>
            <w:pPr>
              <w:pStyle w:val="TableContents"/>
              <w:bidi w:val="0"/>
              <w:spacing w:before="0" w:after="0"/>
              <w:jc w:val="right"/>
              <w:rPr>
                <w:sz w:val="20"/>
              </w:rPr>
            </w:pPr>
            <w:r>
              <w:rPr>
                <w:sz w:val="20"/>
              </w:rPr>
              <w:t>53,000</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tcMar>
              <w:bottom w:w="28" w:type="dxa"/>
            </w:tcMar>
            <w:vAlign w:val="bottom"/>
          </w:tcPr>
          <w:p>
            <w:pPr>
              <w:pStyle w:val="TableContents"/>
              <w:bidi w:val="0"/>
              <w:spacing w:before="0" w:after="0"/>
              <w:jc w:val="right"/>
              <w:rPr>
                <w:sz w:val="20"/>
              </w:rPr>
            </w:pPr>
            <w:r>
              <w:rPr>
                <w:sz w:val="20"/>
              </w:rPr>
              <w:t>3,000</w:t>
            </w:r>
          </w:p>
        </w:tc>
        <w:tc>
          <w:tcPr>
            <w:tcW w:w="80" w:type="dxa"/>
            <w:tcBorders/>
            <w:vAlign w:val="bottom"/>
          </w:tcPr>
          <w:p>
            <w:pPr>
              <w:pStyle w:val="TableContents"/>
              <w:bidi w:val="0"/>
              <w:spacing w:before="0" w:after="283"/>
              <w:jc w:val="left"/>
              <w:rPr/>
            </w:pPr>
            <w:r>
              <w:rPr/>
              <w:t> </w:t>
            </w:r>
          </w:p>
        </w:tc>
      </w:tr>
      <w:tr>
        <w:trPr/>
        <w:tc>
          <w:tcPr>
            <w:tcW w:w="7985" w:type="dxa"/>
            <w:tcBorders/>
            <w:shd w:fill="CCEEFF" w:val="clear"/>
            <w:vAlign w:val="bottom"/>
          </w:tcPr>
          <w:p>
            <w:pPr>
              <w:pStyle w:val="TableContents"/>
              <w:bidi w:val="0"/>
              <w:spacing w:before="0" w:after="0"/>
              <w:jc w:val="left"/>
              <w:rPr>
                <w:b w:val="false"/>
                <w:sz w:val="20"/>
              </w:rPr>
            </w:pPr>
            <w:r>
              <w:rPr>
                <w:b w:val="false"/>
                <w:sz w:val="20"/>
              </w:rPr>
              <w:t>Total current liabilities</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shd w:fill="CCEEFF" w:val="clear"/>
            <w:tcMar>
              <w:bottom w:w="28" w:type="dxa"/>
            </w:tcMar>
            <w:vAlign w:val="bottom"/>
          </w:tcPr>
          <w:p>
            <w:pPr>
              <w:pStyle w:val="TableContents"/>
              <w:bidi w:val="0"/>
              <w:spacing w:before="0" w:after="0"/>
              <w:jc w:val="right"/>
              <w:rPr>
                <w:sz w:val="20"/>
              </w:rPr>
            </w:pPr>
            <w:r>
              <w:rPr>
                <w:sz w:val="20"/>
              </w:rPr>
              <w:t>432,971</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shd w:fill="CCEEFF" w:val="clear"/>
            <w:tcMar>
              <w:bottom w:w="28" w:type="dxa"/>
            </w:tcMar>
            <w:vAlign w:val="bottom"/>
          </w:tcPr>
          <w:p>
            <w:pPr>
              <w:pStyle w:val="TableContents"/>
              <w:bidi w:val="0"/>
              <w:spacing w:before="0" w:after="0"/>
              <w:jc w:val="right"/>
              <w:rPr>
                <w:sz w:val="20"/>
              </w:rPr>
            </w:pPr>
            <w:r>
              <w:rPr>
                <w:sz w:val="20"/>
              </w:rPr>
              <w:t>368,222</w:t>
            </w:r>
          </w:p>
        </w:tc>
        <w:tc>
          <w:tcPr>
            <w:tcW w:w="80" w:type="dxa"/>
            <w:tcBorders/>
            <w:shd w:fill="CCEEFF" w:val="clear"/>
            <w:vAlign w:val="bottom"/>
          </w:tcPr>
          <w:p>
            <w:pPr>
              <w:pStyle w:val="TableContents"/>
              <w:bidi w:val="0"/>
              <w:spacing w:before="0" w:after="283"/>
              <w:jc w:val="left"/>
              <w:rPr/>
            </w:pPr>
            <w:r>
              <w:rPr/>
              <w:t> </w:t>
            </w:r>
          </w:p>
        </w:tc>
      </w:tr>
      <w:tr>
        <w:trPr/>
        <w:tc>
          <w:tcPr>
            <w:tcW w:w="7985" w:type="dxa"/>
            <w:tcBorders/>
            <w:vAlign w:val="bottom"/>
          </w:tcPr>
          <w:p>
            <w:pPr>
              <w:pStyle w:val="TableContents"/>
              <w:bidi w:val="0"/>
              <w:spacing w:before="0" w:after="0"/>
              <w:jc w:val="left"/>
              <w:rPr>
                <w:b/>
                <w:sz w:val="20"/>
              </w:rPr>
            </w:pPr>
            <w:r>
              <w:rPr>
                <w:b/>
                <w:sz w:val="20"/>
              </w:rPr>
              <w:t>LONG-TERM LIABILITIES</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r>
      <w:tr>
        <w:trPr/>
        <w:tc>
          <w:tcPr>
            <w:tcW w:w="7985" w:type="dxa"/>
            <w:tcBorders/>
            <w:shd w:fill="CCEEFF" w:val="clear"/>
            <w:vAlign w:val="bottom"/>
          </w:tcPr>
          <w:p>
            <w:pPr>
              <w:pStyle w:val="TableContents"/>
              <w:bidi w:val="0"/>
              <w:spacing w:before="0" w:after="0"/>
              <w:ind w:left="180" w:right="0" w:hanging="0"/>
              <w:jc w:val="left"/>
              <w:rPr>
                <w:sz w:val="20"/>
              </w:rPr>
            </w:pPr>
            <w:r>
              <w:rPr>
                <w:sz w:val="20"/>
              </w:rPr>
              <w:t>Long-term loan, net of current maturities</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0"/>
              <w:jc w:val="right"/>
              <w:rPr>
                <w:sz w:val="20"/>
              </w:rPr>
            </w:pPr>
            <w:r>
              <w:rPr>
                <w:sz w:val="20"/>
              </w:rPr>
              <w:t>141,829</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0"/>
              <w:jc w:val="right"/>
              <w:rPr>
                <w:sz w:val="20"/>
              </w:rPr>
            </w:pPr>
            <w:r>
              <w:rPr>
                <w:sz w:val="20"/>
              </w:rPr>
              <w:t>223,049</w:t>
            </w:r>
          </w:p>
        </w:tc>
        <w:tc>
          <w:tcPr>
            <w:tcW w:w="80" w:type="dxa"/>
            <w:tcBorders/>
            <w:shd w:fill="CCEEFF" w:val="clear"/>
            <w:vAlign w:val="bottom"/>
          </w:tcPr>
          <w:p>
            <w:pPr>
              <w:pStyle w:val="TableContents"/>
              <w:bidi w:val="0"/>
              <w:spacing w:before="0" w:after="283"/>
              <w:jc w:val="left"/>
              <w:rPr/>
            </w:pPr>
            <w:r>
              <w:rPr/>
              <w:t> </w:t>
            </w:r>
          </w:p>
        </w:tc>
      </w:tr>
      <w:tr>
        <w:trPr/>
        <w:tc>
          <w:tcPr>
            <w:tcW w:w="7985" w:type="dxa"/>
            <w:tcBorders/>
            <w:vAlign w:val="bottom"/>
          </w:tcPr>
          <w:p>
            <w:pPr>
              <w:pStyle w:val="TableContents"/>
              <w:bidi w:val="0"/>
              <w:spacing w:before="0" w:after="0"/>
              <w:ind w:left="180" w:right="0" w:hanging="0"/>
              <w:jc w:val="left"/>
              <w:rPr>
                <w:sz w:val="20"/>
              </w:rPr>
            </w:pPr>
            <w:r>
              <w:rPr>
                <w:sz w:val="20"/>
              </w:rPr>
              <w:t>Long-term operating lease liabilities</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sz w:val="20"/>
              </w:rPr>
            </w:pPr>
            <w:r>
              <w:rPr>
                <w:sz w:val="20"/>
              </w:rPr>
              <w:t>52,232</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sz w:val="20"/>
              </w:rPr>
            </w:pPr>
            <w:r>
              <w:rPr>
                <w:sz w:val="20"/>
              </w:rPr>
              <w:t>57,928</w:t>
            </w:r>
          </w:p>
        </w:tc>
        <w:tc>
          <w:tcPr>
            <w:tcW w:w="80" w:type="dxa"/>
            <w:tcBorders/>
            <w:vAlign w:val="bottom"/>
          </w:tcPr>
          <w:p>
            <w:pPr>
              <w:pStyle w:val="TableContents"/>
              <w:bidi w:val="0"/>
              <w:spacing w:before="0" w:after="283"/>
              <w:jc w:val="left"/>
              <w:rPr/>
            </w:pPr>
            <w:r>
              <w:rPr/>
              <w:t> </w:t>
            </w:r>
          </w:p>
        </w:tc>
      </w:tr>
      <w:tr>
        <w:trPr/>
        <w:tc>
          <w:tcPr>
            <w:tcW w:w="7985" w:type="dxa"/>
            <w:tcBorders/>
            <w:shd w:fill="CCEEFF" w:val="clear"/>
            <w:vAlign w:val="bottom"/>
          </w:tcPr>
          <w:p>
            <w:pPr>
              <w:pStyle w:val="TableContents"/>
              <w:bidi w:val="0"/>
              <w:spacing w:before="0" w:after="0"/>
              <w:ind w:left="180" w:right="0" w:hanging="0"/>
              <w:jc w:val="left"/>
              <w:rPr>
                <w:sz w:val="20"/>
              </w:rPr>
            </w:pPr>
            <w:r>
              <w:rPr>
                <w:sz w:val="20"/>
              </w:rPr>
              <w:t>Warrants liability</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0"/>
              <w:jc w:val="right"/>
              <w:rPr>
                <w:sz w:val="20"/>
              </w:rPr>
            </w:pPr>
            <w:r>
              <w:rPr>
                <w:sz w:val="20"/>
              </w:rPr>
              <w:t>6,023</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0"/>
              <w:jc w:val="right"/>
              <w:rPr>
                <w:sz w:val="20"/>
              </w:rPr>
            </w:pPr>
            <w:r>
              <w:rPr>
                <w:sz w:val="20"/>
              </w:rPr>
              <w:t>6,756</w:t>
            </w:r>
          </w:p>
        </w:tc>
        <w:tc>
          <w:tcPr>
            <w:tcW w:w="80" w:type="dxa"/>
            <w:tcBorders/>
            <w:shd w:fill="CCEEFF" w:val="clear"/>
            <w:vAlign w:val="bottom"/>
          </w:tcPr>
          <w:p>
            <w:pPr>
              <w:pStyle w:val="TableContents"/>
              <w:bidi w:val="0"/>
              <w:spacing w:before="0" w:after="283"/>
              <w:jc w:val="left"/>
              <w:rPr/>
            </w:pPr>
            <w:r>
              <w:rPr/>
              <w:t> </w:t>
            </w:r>
          </w:p>
        </w:tc>
      </w:tr>
      <w:tr>
        <w:trPr/>
        <w:tc>
          <w:tcPr>
            <w:tcW w:w="7985" w:type="dxa"/>
            <w:tcBorders/>
            <w:vAlign w:val="bottom"/>
          </w:tcPr>
          <w:p>
            <w:pPr>
              <w:pStyle w:val="TableContents"/>
              <w:bidi w:val="0"/>
              <w:spacing w:before="0" w:after="0"/>
              <w:ind w:left="180" w:right="0" w:hanging="0"/>
              <w:jc w:val="left"/>
              <w:rPr>
                <w:sz w:val="20"/>
              </w:rPr>
            </w:pPr>
            <w:r>
              <w:rPr>
                <w:sz w:val="20"/>
              </w:rPr>
              <w:t>Deferred tax liabilities, net</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sz w:val="20"/>
              </w:rPr>
            </w:pPr>
            <w:r>
              <w:rPr>
                <w:sz w:val="20"/>
              </w:rPr>
              <w:t>25,560</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sz w:val="20"/>
              </w:rPr>
            </w:pPr>
            <w:r>
              <w:rPr>
                <w:sz w:val="20"/>
              </w:rPr>
              <w:t>34,133</w:t>
            </w:r>
          </w:p>
        </w:tc>
        <w:tc>
          <w:tcPr>
            <w:tcW w:w="80" w:type="dxa"/>
            <w:tcBorders/>
            <w:vAlign w:val="bottom"/>
          </w:tcPr>
          <w:p>
            <w:pPr>
              <w:pStyle w:val="TableContents"/>
              <w:bidi w:val="0"/>
              <w:spacing w:before="0" w:after="283"/>
              <w:jc w:val="left"/>
              <w:rPr/>
            </w:pPr>
            <w:r>
              <w:rPr/>
              <w:t> </w:t>
            </w:r>
          </w:p>
        </w:tc>
      </w:tr>
      <w:tr>
        <w:trPr/>
        <w:tc>
          <w:tcPr>
            <w:tcW w:w="7985" w:type="dxa"/>
            <w:tcBorders/>
            <w:shd w:fill="CCEEFF" w:val="clear"/>
            <w:vAlign w:val="bottom"/>
          </w:tcPr>
          <w:p>
            <w:pPr>
              <w:pStyle w:val="TableContents"/>
              <w:bidi w:val="0"/>
              <w:spacing w:before="0" w:after="0"/>
              <w:ind w:left="180" w:right="0" w:hanging="0"/>
              <w:jc w:val="left"/>
              <w:rPr>
                <w:sz w:val="20"/>
              </w:rPr>
            </w:pPr>
            <w:r>
              <w:rPr>
                <w:sz w:val="20"/>
              </w:rPr>
              <w:t>Other long-term liabilities</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shd w:fill="CCEEFF" w:val="clear"/>
            <w:tcMar>
              <w:bottom w:w="28" w:type="dxa"/>
            </w:tcMar>
            <w:vAlign w:val="bottom"/>
          </w:tcPr>
          <w:p>
            <w:pPr>
              <w:pStyle w:val="TableContents"/>
              <w:bidi w:val="0"/>
              <w:spacing w:before="0" w:after="0"/>
              <w:jc w:val="right"/>
              <w:rPr>
                <w:sz w:val="20"/>
              </w:rPr>
            </w:pPr>
            <w:r>
              <w:rPr>
                <w:sz w:val="20"/>
              </w:rPr>
              <w:t>6,000</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shd w:fill="CCEEFF" w:val="clear"/>
            <w:tcMar>
              <w:bottom w:w="28" w:type="dxa"/>
            </w:tcMar>
            <w:vAlign w:val="bottom"/>
          </w:tcPr>
          <w:p>
            <w:pPr>
              <w:pStyle w:val="TableContents"/>
              <w:bidi w:val="0"/>
              <w:spacing w:before="0" w:after="0"/>
              <w:jc w:val="right"/>
              <w:rPr>
                <w:sz w:val="20"/>
              </w:rPr>
            </w:pPr>
            <w:r>
              <w:rPr>
                <w:sz w:val="20"/>
              </w:rPr>
              <w:t>5,000</w:t>
            </w:r>
          </w:p>
        </w:tc>
        <w:tc>
          <w:tcPr>
            <w:tcW w:w="80" w:type="dxa"/>
            <w:tcBorders/>
            <w:shd w:fill="CCEEFF" w:val="clear"/>
            <w:vAlign w:val="bottom"/>
          </w:tcPr>
          <w:p>
            <w:pPr>
              <w:pStyle w:val="TableContents"/>
              <w:bidi w:val="0"/>
              <w:spacing w:before="0" w:after="283"/>
              <w:jc w:val="left"/>
              <w:rPr/>
            </w:pPr>
            <w:r>
              <w:rPr/>
              <w:t> </w:t>
            </w:r>
          </w:p>
        </w:tc>
      </w:tr>
      <w:tr>
        <w:trPr/>
        <w:tc>
          <w:tcPr>
            <w:tcW w:w="7985" w:type="dxa"/>
            <w:tcBorders/>
            <w:vAlign w:val="bottom"/>
          </w:tcPr>
          <w:p>
            <w:pPr>
              <w:pStyle w:val="TableContents"/>
              <w:bidi w:val="0"/>
              <w:spacing w:before="0" w:after="0"/>
              <w:jc w:val="left"/>
              <w:rPr>
                <w:b w:val="false"/>
                <w:sz w:val="20"/>
              </w:rPr>
            </w:pPr>
            <w:r>
              <w:rPr>
                <w:b w:val="false"/>
                <w:sz w:val="20"/>
              </w:rPr>
              <w:t>Total long-term liabilities</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tcMar>
              <w:bottom w:w="28" w:type="dxa"/>
            </w:tcMar>
            <w:vAlign w:val="bottom"/>
          </w:tcPr>
          <w:p>
            <w:pPr>
              <w:pStyle w:val="TableContents"/>
              <w:bidi w:val="0"/>
              <w:spacing w:before="0" w:after="0"/>
              <w:jc w:val="right"/>
              <w:rPr>
                <w:sz w:val="20"/>
              </w:rPr>
            </w:pPr>
            <w:r>
              <w:rPr>
                <w:sz w:val="20"/>
              </w:rPr>
              <w:t>231,644</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tcMar>
              <w:bottom w:w="28" w:type="dxa"/>
            </w:tcMar>
            <w:vAlign w:val="bottom"/>
          </w:tcPr>
          <w:p>
            <w:pPr>
              <w:pStyle w:val="TableContents"/>
              <w:bidi w:val="0"/>
              <w:spacing w:before="0" w:after="0"/>
              <w:jc w:val="right"/>
              <w:rPr>
                <w:sz w:val="20"/>
              </w:rPr>
            </w:pPr>
            <w:r>
              <w:rPr>
                <w:sz w:val="20"/>
              </w:rPr>
              <w:t>326,866</w:t>
            </w:r>
          </w:p>
        </w:tc>
        <w:tc>
          <w:tcPr>
            <w:tcW w:w="80" w:type="dxa"/>
            <w:tcBorders/>
            <w:vAlign w:val="bottom"/>
          </w:tcPr>
          <w:p>
            <w:pPr>
              <w:pStyle w:val="TableContents"/>
              <w:bidi w:val="0"/>
              <w:spacing w:before="0" w:after="283"/>
              <w:jc w:val="left"/>
              <w:rPr/>
            </w:pPr>
            <w:r>
              <w:rPr/>
              <w:t> </w:t>
            </w:r>
          </w:p>
        </w:tc>
      </w:tr>
      <w:tr>
        <w:trPr/>
        <w:tc>
          <w:tcPr>
            <w:tcW w:w="7985" w:type="dxa"/>
            <w:tcBorders/>
            <w:shd w:fill="CCEEFF" w:val="clear"/>
            <w:vAlign w:val="bottom"/>
          </w:tcPr>
          <w:p>
            <w:pPr>
              <w:pStyle w:val="TableContents"/>
              <w:bidi w:val="0"/>
              <w:spacing w:before="0" w:after="0"/>
              <w:jc w:val="left"/>
              <w:rPr>
                <w:b/>
                <w:sz w:val="20"/>
              </w:rPr>
            </w:pPr>
            <w:r>
              <w:rPr>
                <w:b/>
                <w:sz w:val="20"/>
              </w:rPr>
              <w:t>COMMITMENTS AND CONTINGENCIES (Note 12)</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283"/>
              <w:jc w:val="right"/>
              <w:rPr/>
            </w:pPr>
            <w:r>
              <w:rPr/>
              <w:t xml:space="preserve">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283"/>
              <w:jc w:val="left"/>
              <w:rPr>
                <w:sz w:val="4"/>
                <w:szCs w:val="4"/>
              </w:rPr>
            </w:pPr>
            <w:r>
              <w:rPr>
                <w:sz w:val="4"/>
                <w:szCs w:val="4"/>
              </w:rPr>
            </w:r>
          </w:p>
        </w:tc>
        <w:tc>
          <w:tcPr>
            <w:tcW w:w="80" w:type="dxa"/>
            <w:tcBorders/>
            <w:shd w:fill="CCEEFF" w:val="clear"/>
            <w:vAlign w:val="bottom"/>
          </w:tcPr>
          <w:p>
            <w:pPr>
              <w:pStyle w:val="TableContents"/>
              <w:bidi w:val="0"/>
              <w:spacing w:before="0" w:after="283"/>
              <w:jc w:val="left"/>
              <w:rPr/>
            </w:pPr>
            <w:r>
              <w:rPr/>
              <w:t> </w:t>
            </w:r>
          </w:p>
        </w:tc>
      </w:tr>
      <w:tr>
        <w:trPr/>
        <w:tc>
          <w:tcPr>
            <w:tcW w:w="7985" w:type="dxa"/>
            <w:tcBorders/>
            <w:vAlign w:val="bottom"/>
          </w:tcPr>
          <w:p>
            <w:pPr>
              <w:pStyle w:val="TableContents"/>
              <w:bidi w:val="0"/>
              <w:spacing w:before="0" w:after="0"/>
              <w:jc w:val="left"/>
              <w:rPr>
                <w:b/>
                <w:sz w:val="20"/>
              </w:rPr>
            </w:pPr>
            <w:r>
              <w:rPr>
                <w:b/>
                <w:sz w:val="20"/>
              </w:rPr>
              <w:t>SHAREHOLDERS’ EQUITY</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r>
      <w:tr>
        <w:trPr/>
        <w:tc>
          <w:tcPr>
            <w:tcW w:w="7985" w:type="dxa"/>
            <w:tcBorders/>
            <w:shd w:fill="CCEEFF" w:val="clear"/>
            <w:vAlign w:val="bottom"/>
          </w:tcPr>
          <w:p>
            <w:pPr>
              <w:pStyle w:val="TableContents"/>
              <w:bidi w:val="0"/>
              <w:spacing w:before="0" w:after="0"/>
              <w:ind w:left="360" w:right="0" w:hanging="0"/>
              <w:jc w:val="left"/>
              <w:rPr>
                <w:sz w:val="20"/>
              </w:rPr>
            </w:pPr>
            <w:r>
              <w:rPr>
                <w:sz w:val="20"/>
              </w:rPr>
              <w:t>Ordinary shares with no par value- Authorized: 700,000,000 as of September 30, 2023 and December 31, 2022; 300,692,928 and 254,133,863 shares issued and outstanding as of September 30, 2023 and December 31, 2022, respectively</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0"/>
              <w:jc w:val="right"/>
              <w:rPr/>
            </w:pPr>
            <w:r>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0"/>
              <w:jc w:val="right"/>
              <w:rPr/>
            </w:pPr>
            <w:r>
              <w:rPr/>
              <w:t>—</w:t>
            </w:r>
          </w:p>
        </w:tc>
        <w:tc>
          <w:tcPr>
            <w:tcW w:w="80" w:type="dxa"/>
            <w:tcBorders/>
            <w:shd w:fill="CCEEFF" w:val="clear"/>
            <w:vAlign w:val="bottom"/>
          </w:tcPr>
          <w:p>
            <w:pPr>
              <w:pStyle w:val="TableContents"/>
              <w:bidi w:val="0"/>
              <w:spacing w:before="0" w:after="283"/>
              <w:jc w:val="left"/>
              <w:rPr/>
            </w:pPr>
            <w:r>
              <w:rPr/>
              <w:t> </w:t>
            </w:r>
          </w:p>
        </w:tc>
      </w:tr>
      <w:tr>
        <w:trPr/>
        <w:tc>
          <w:tcPr>
            <w:tcW w:w="7985" w:type="dxa"/>
            <w:tcBorders/>
            <w:vAlign w:val="bottom"/>
          </w:tcPr>
          <w:p>
            <w:pPr>
              <w:pStyle w:val="TableContents"/>
              <w:bidi w:val="0"/>
              <w:spacing w:before="0" w:after="0"/>
              <w:ind w:left="360" w:right="0" w:hanging="0"/>
              <w:jc w:val="left"/>
              <w:rPr>
                <w:sz w:val="20"/>
              </w:rPr>
            </w:pPr>
            <w:r>
              <w:rPr>
                <w:sz w:val="20"/>
              </w:rPr>
              <w:t>Non-voting Ordinary shares with no par value- Authorized: 46,000,000 as of September 30, 2023 and December 31, 2022; 45,198,702 and 0 shares issued and outstanding as of September 30, 2023 and December 31, 2022, respectively</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pPr>
            <w:r>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pPr>
            <w:r>
              <w:rPr/>
              <w:t>—</w:t>
            </w:r>
          </w:p>
        </w:tc>
        <w:tc>
          <w:tcPr>
            <w:tcW w:w="80" w:type="dxa"/>
            <w:tcBorders/>
            <w:vAlign w:val="bottom"/>
          </w:tcPr>
          <w:p>
            <w:pPr>
              <w:pStyle w:val="TableContents"/>
              <w:bidi w:val="0"/>
              <w:spacing w:before="0" w:after="283"/>
              <w:jc w:val="left"/>
              <w:rPr/>
            </w:pPr>
            <w:r>
              <w:rPr/>
              <w:t> </w:t>
            </w:r>
          </w:p>
        </w:tc>
      </w:tr>
      <w:tr>
        <w:trPr/>
        <w:tc>
          <w:tcPr>
            <w:tcW w:w="7985" w:type="dxa"/>
            <w:tcBorders/>
            <w:shd w:fill="CCEEFF" w:val="clear"/>
            <w:vAlign w:val="bottom"/>
          </w:tcPr>
          <w:p>
            <w:pPr>
              <w:pStyle w:val="TableContents"/>
              <w:bidi w:val="0"/>
              <w:spacing w:before="0" w:after="0"/>
              <w:ind w:left="360" w:right="0" w:hanging="0"/>
              <w:jc w:val="left"/>
              <w:rPr>
                <w:sz w:val="20"/>
              </w:rPr>
            </w:pPr>
            <w:r>
              <w:rPr>
                <w:sz w:val="20"/>
              </w:rPr>
              <w:t xml:space="preserve">Treasury Ordinary shares, at cost - 6,672,915 and 0 shares as of </w:t>
            </w:r>
            <w:r>
              <w:rPr>
                <w:rFonts w:ascii="Times New Roman" w:hAnsi="Times New Roman"/>
                <w:b w:val="false"/>
                <w:i w:val="false"/>
                <w:caps w:val="false"/>
                <w:smallCaps w:val="false"/>
                <w:color w:val="000000"/>
                <w:spacing w:val="0"/>
                <w:sz w:val="20"/>
              </w:rPr>
              <w:t>September</w:t>
            </w:r>
            <w:r>
              <w:rPr>
                <w:sz w:val="20"/>
              </w:rPr>
              <w:t xml:space="preserve"> 30, 2023 and December 31, 2022, respectively</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283"/>
              <w:jc w:val="right"/>
              <w:rPr>
                <w:sz w:val="20"/>
              </w:rPr>
            </w:pPr>
            <w:r>
              <w:rPr>
                <w:sz w:val="20"/>
              </w:rPr>
              <w:t>(23,157</w:t>
            </w:r>
          </w:p>
        </w:tc>
        <w:tc>
          <w:tcPr>
            <w:tcW w:w="80" w:type="dxa"/>
            <w:tcBorders/>
            <w:shd w:fill="CCEEFF" w:val="clear"/>
            <w:vAlign w:val="bottom"/>
          </w:tcPr>
          <w:p>
            <w:pPr>
              <w:pStyle w:val="TableContents"/>
              <w:bidi w:val="0"/>
              <w:spacing w:before="0" w:after="283"/>
              <w:jc w:val="left"/>
              <w:rPr>
                <w:sz w:val="20"/>
              </w:rPr>
            </w:pPr>
            <w:r>
              <w:rPr>
                <w:sz w:val="20"/>
              </w:rPr>
              <w:t>)</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283"/>
              <w:jc w:val="right"/>
              <w:rPr/>
            </w:pPr>
            <w:r>
              <w:rPr/>
              <w:t>—</w:t>
            </w:r>
          </w:p>
        </w:tc>
        <w:tc>
          <w:tcPr>
            <w:tcW w:w="80" w:type="dxa"/>
            <w:tcBorders/>
            <w:shd w:fill="CCEEFF" w:val="clear"/>
            <w:vAlign w:val="bottom"/>
          </w:tcPr>
          <w:p>
            <w:pPr>
              <w:pStyle w:val="TableContents"/>
              <w:bidi w:val="0"/>
              <w:spacing w:before="0" w:after="283"/>
              <w:jc w:val="left"/>
              <w:rPr/>
            </w:pPr>
            <w:r>
              <w:rPr/>
              <w:t> </w:t>
            </w:r>
          </w:p>
        </w:tc>
      </w:tr>
      <w:tr>
        <w:trPr/>
        <w:tc>
          <w:tcPr>
            <w:tcW w:w="7985" w:type="dxa"/>
            <w:tcBorders/>
            <w:vAlign w:val="bottom"/>
          </w:tcPr>
          <w:p>
            <w:pPr>
              <w:pStyle w:val="TableContents"/>
              <w:bidi w:val="0"/>
              <w:spacing w:before="0" w:after="0"/>
              <w:ind w:left="180" w:right="0" w:hanging="0"/>
              <w:jc w:val="left"/>
              <w:rPr>
                <w:sz w:val="20"/>
              </w:rPr>
            </w:pPr>
            <w:r>
              <w:rPr>
                <w:sz w:val="20"/>
              </w:rPr>
              <w:t>Additional paid-in capital</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sz w:val="20"/>
              </w:rPr>
            </w:pPr>
            <w:r>
              <w:rPr>
                <w:sz w:val="20"/>
              </w:rPr>
              <w:t>1,244,667</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sz w:val="20"/>
              </w:rPr>
            </w:pPr>
            <w:r>
              <w:rPr>
                <w:sz w:val="20"/>
              </w:rPr>
              <w:t>903,789</w:t>
            </w:r>
          </w:p>
        </w:tc>
        <w:tc>
          <w:tcPr>
            <w:tcW w:w="80" w:type="dxa"/>
            <w:tcBorders/>
            <w:vAlign w:val="bottom"/>
          </w:tcPr>
          <w:p>
            <w:pPr>
              <w:pStyle w:val="TableContents"/>
              <w:bidi w:val="0"/>
              <w:spacing w:before="0" w:after="283"/>
              <w:jc w:val="left"/>
              <w:rPr/>
            </w:pPr>
            <w:r>
              <w:rPr/>
              <w:t> </w:t>
            </w:r>
          </w:p>
        </w:tc>
      </w:tr>
      <w:tr>
        <w:trPr/>
        <w:tc>
          <w:tcPr>
            <w:tcW w:w="7985" w:type="dxa"/>
            <w:tcBorders/>
            <w:shd w:fill="CCEEFF" w:val="clear"/>
            <w:vAlign w:val="bottom"/>
          </w:tcPr>
          <w:p>
            <w:pPr>
              <w:pStyle w:val="TableContents"/>
              <w:bidi w:val="0"/>
              <w:spacing w:before="0" w:after="0"/>
              <w:ind w:left="180" w:right="0" w:hanging="0"/>
              <w:jc w:val="left"/>
              <w:rPr>
                <w:sz w:val="20"/>
              </w:rPr>
            </w:pPr>
            <w:r>
              <w:rPr>
                <w:sz w:val="20"/>
              </w:rPr>
              <w:t>Accumulated other comprehensive loss</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0"/>
              <w:jc w:val="right"/>
              <w:rPr>
                <w:sz w:val="20"/>
              </w:rPr>
            </w:pPr>
            <w:r>
              <w:rPr>
                <w:sz w:val="20"/>
              </w:rPr>
              <w:t>(218</w:t>
            </w:r>
          </w:p>
        </w:tc>
        <w:tc>
          <w:tcPr>
            <w:tcW w:w="80" w:type="dxa"/>
            <w:tcBorders/>
            <w:shd w:fill="CCEEFF" w:val="clear"/>
            <w:vAlign w:val="bottom"/>
          </w:tcPr>
          <w:p>
            <w:pPr>
              <w:pStyle w:val="TableContents"/>
              <w:bidi w:val="0"/>
              <w:spacing w:before="0" w:after="0"/>
              <w:jc w:val="left"/>
              <w:rPr>
                <w:sz w:val="20"/>
              </w:rPr>
            </w:pPr>
            <w:r>
              <w:rPr>
                <w:sz w:val="20"/>
              </w:rPr>
              <w:t>)</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0"/>
              <w:jc w:val="right"/>
              <w:rPr>
                <w:sz w:val="20"/>
              </w:rPr>
            </w:pPr>
            <w:r>
              <w:rPr>
                <w:sz w:val="20"/>
              </w:rPr>
              <w:t>(834</w:t>
            </w:r>
          </w:p>
        </w:tc>
        <w:tc>
          <w:tcPr>
            <w:tcW w:w="80" w:type="dxa"/>
            <w:tcBorders/>
            <w:shd w:fill="CCEEFF" w:val="clear"/>
            <w:vAlign w:val="bottom"/>
          </w:tcPr>
          <w:p>
            <w:pPr>
              <w:pStyle w:val="TableContents"/>
              <w:bidi w:val="0"/>
              <w:spacing w:before="0" w:after="0"/>
              <w:jc w:val="left"/>
              <w:rPr>
                <w:sz w:val="20"/>
              </w:rPr>
            </w:pPr>
            <w:r>
              <w:rPr>
                <w:sz w:val="20"/>
              </w:rPr>
              <w:t>)</w:t>
            </w:r>
          </w:p>
        </w:tc>
      </w:tr>
      <w:tr>
        <w:trPr/>
        <w:tc>
          <w:tcPr>
            <w:tcW w:w="7985" w:type="dxa"/>
            <w:tcBorders/>
            <w:vAlign w:val="bottom"/>
          </w:tcPr>
          <w:p>
            <w:pPr>
              <w:pStyle w:val="TableContents"/>
              <w:bidi w:val="0"/>
              <w:spacing w:before="0" w:after="0"/>
              <w:ind w:left="180" w:right="0" w:hanging="0"/>
              <w:jc w:val="left"/>
              <w:rPr>
                <w:sz w:val="20"/>
              </w:rPr>
            </w:pPr>
            <w:r>
              <w:rPr>
                <w:sz w:val="20"/>
              </w:rPr>
              <w:t>Accumulated deficit</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tcMar>
              <w:bottom w:w="28" w:type="dxa"/>
            </w:tcMar>
            <w:vAlign w:val="bottom"/>
          </w:tcPr>
          <w:p>
            <w:pPr>
              <w:pStyle w:val="TableContents"/>
              <w:bidi w:val="0"/>
              <w:spacing w:before="0" w:after="0"/>
              <w:jc w:val="right"/>
              <w:rPr>
                <w:sz w:val="20"/>
              </w:rPr>
            </w:pPr>
            <w:r>
              <w:rPr>
                <w:sz w:val="20"/>
              </w:rPr>
              <w:t>(154,183</w:t>
            </w:r>
          </w:p>
        </w:tc>
        <w:tc>
          <w:tcPr>
            <w:tcW w:w="80" w:type="dxa"/>
            <w:tcBorders/>
            <w:vAlign w:val="bottom"/>
          </w:tcPr>
          <w:p>
            <w:pPr>
              <w:pStyle w:val="TableContents"/>
              <w:bidi w:val="0"/>
              <w:spacing w:before="0" w:after="0"/>
              <w:jc w:val="left"/>
              <w:rPr>
                <w:sz w:val="20"/>
              </w:rPr>
            </w:pPr>
            <w:r>
              <w:rPr>
                <w:sz w:val="20"/>
              </w:rPr>
              <w:t>)</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tcMar>
              <w:bottom w:w="28" w:type="dxa"/>
            </w:tcMar>
            <w:vAlign w:val="bottom"/>
          </w:tcPr>
          <w:p>
            <w:pPr>
              <w:pStyle w:val="TableContents"/>
              <w:bidi w:val="0"/>
              <w:spacing w:before="0" w:after="0"/>
              <w:jc w:val="right"/>
              <w:rPr>
                <w:sz w:val="20"/>
              </w:rPr>
            </w:pPr>
            <w:r>
              <w:rPr>
                <w:sz w:val="20"/>
              </w:rPr>
              <w:t>(68,420</w:t>
            </w:r>
          </w:p>
        </w:tc>
        <w:tc>
          <w:tcPr>
            <w:tcW w:w="80" w:type="dxa"/>
            <w:tcBorders/>
            <w:vAlign w:val="bottom"/>
          </w:tcPr>
          <w:p>
            <w:pPr>
              <w:pStyle w:val="TableContents"/>
              <w:bidi w:val="0"/>
              <w:spacing w:before="0" w:after="0"/>
              <w:jc w:val="left"/>
              <w:rPr>
                <w:sz w:val="20"/>
              </w:rPr>
            </w:pPr>
            <w:r>
              <w:rPr>
                <w:sz w:val="20"/>
              </w:rPr>
              <w:t>)</w:t>
            </w:r>
          </w:p>
        </w:tc>
      </w:tr>
      <w:tr>
        <w:trPr/>
        <w:tc>
          <w:tcPr>
            <w:tcW w:w="7985" w:type="dxa"/>
            <w:tcBorders/>
            <w:shd w:fill="CCEEFF" w:val="clear"/>
            <w:vAlign w:val="bottom"/>
          </w:tcPr>
          <w:p>
            <w:pPr>
              <w:pStyle w:val="TableContents"/>
              <w:bidi w:val="0"/>
              <w:spacing w:before="0" w:after="0"/>
              <w:jc w:val="left"/>
              <w:rPr>
                <w:b w:val="false"/>
                <w:sz w:val="20"/>
              </w:rPr>
            </w:pPr>
            <w:r>
              <w:rPr>
                <w:b w:val="false"/>
                <w:sz w:val="20"/>
              </w:rPr>
              <w:t>Total shareholders’ equity</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shd w:fill="CCEEFF" w:val="clear"/>
            <w:tcMar>
              <w:bottom w:w="28" w:type="dxa"/>
            </w:tcMar>
            <w:vAlign w:val="bottom"/>
          </w:tcPr>
          <w:p>
            <w:pPr>
              <w:pStyle w:val="TableContents"/>
              <w:bidi w:val="0"/>
              <w:spacing w:before="0" w:after="0"/>
              <w:jc w:val="right"/>
              <w:rPr>
                <w:sz w:val="20"/>
              </w:rPr>
            </w:pPr>
            <w:r>
              <w:rPr>
                <w:sz w:val="20"/>
              </w:rPr>
              <w:t>1,067,109</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shd w:fill="CCEEFF" w:val="clear"/>
            <w:tcMar>
              <w:bottom w:w="28" w:type="dxa"/>
            </w:tcMar>
            <w:vAlign w:val="bottom"/>
          </w:tcPr>
          <w:p>
            <w:pPr>
              <w:pStyle w:val="TableContents"/>
              <w:bidi w:val="0"/>
              <w:spacing w:before="0" w:after="0"/>
              <w:jc w:val="right"/>
              <w:rPr>
                <w:sz w:val="20"/>
              </w:rPr>
            </w:pPr>
            <w:r>
              <w:rPr>
                <w:sz w:val="20"/>
              </w:rPr>
              <w:t>834,535</w:t>
            </w:r>
          </w:p>
        </w:tc>
        <w:tc>
          <w:tcPr>
            <w:tcW w:w="80" w:type="dxa"/>
            <w:tcBorders/>
            <w:shd w:fill="CCEEFF" w:val="clear"/>
            <w:vAlign w:val="bottom"/>
          </w:tcPr>
          <w:p>
            <w:pPr>
              <w:pStyle w:val="TableContents"/>
              <w:bidi w:val="0"/>
              <w:spacing w:before="0" w:after="283"/>
              <w:jc w:val="left"/>
              <w:rPr/>
            </w:pPr>
            <w:r>
              <w:rPr/>
              <w:t> </w:t>
            </w:r>
          </w:p>
        </w:tc>
      </w:tr>
      <w:tr>
        <w:trPr/>
        <w:tc>
          <w:tcPr>
            <w:tcW w:w="7985" w:type="dxa"/>
            <w:tcBorders/>
            <w:vAlign w:val="bottom"/>
          </w:tcPr>
          <w:p>
            <w:pPr>
              <w:pStyle w:val="TableContents"/>
              <w:bidi w:val="0"/>
              <w:spacing w:before="0" w:after="0"/>
              <w:jc w:val="left"/>
              <w:rPr>
                <w:b w:val="false"/>
                <w:sz w:val="20"/>
              </w:rPr>
            </w:pPr>
            <w:r>
              <w:rPr>
                <w:b w:val="false"/>
                <w:sz w:val="20"/>
              </w:rPr>
              <w:t>Total liabilities and shareholders’ equity</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0"/>
              <w:jc w:val="left"/>
              <w:rPr>
                <w:b w:val="false"/>
                <w:sz w:val="20"/>
              </w:rPr>
            </w:pPr>
            <w:r>
              <w:rPr>
                <w:b w:val="false"/>
                <w:sz w:val="20"/>
              </w:rPr>
              <w:t>$</w:t>
            </w:r>
          </w:p>
        </w:tc>
        <w:tc>
          <w:tcPr>
            <w:tcW w:w="845" w:type="dxa"/>
            <w:tcBorders>
              <w:bottom w:val="single" w:sz="12" w:space="0" w:color="000000"/>
            </w:tcBorders>
            <w:tcMar>
              <w:bottom w:w="28" w:type="dxa"/>
            </w:tcMar>
            <w:vAlign w:val="bottom"/>
          </w:tcPr>
          <w:p>
            <w:pPr>
              <w:pStyle w:val="TableContents"/>
              <w:bidi w:val="0"/>
              <w:spacing w:before="0" w:after="0"/>
              <w:jc w:val="right"/>
              <w:rPr>
                <w:b w:val="false"/>
                <w:sz w:val="20"/>
              </w:rPr>
            </w:pPr>
            <w:r>
              <w:rPr>
                <w:b w:val="false"/>
                <w:sz w:val="20"/>
              </w:rPr>
              <w:t>1,731,724</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0"/>
              <w:jc w:val="left"/>
              <w:rPr>
                <w:b w:val="false"/>
                <w:sz w:val="20"/>
              </w:rPr>
            </w:pPr>
            <w:r>
              <w:rPr>
                <w:b w:val="false"/>
                <w:sz w:val="20"/>
              </w:rPr>
              <w:t>$</w:t>
            </w:r>
          </w:p>
        </w:tc>
        <w:tc>
          <w:tcPr>
            <w:tcW w:w="845" w:type="dxa"/>
            <w:tcBorders>
              <w:bottom w:val="single" w:sz="12" w:space="0" w:color="000000"/>
            </w:tcBorders>
            <w:tcMar>
              <w:bottom w:w="28" w:type="dxa"/>
            </w:tcMar>
            <w:vAlign w:val="bottom"/>
          </w:tcPr>
          <w:p>
            <w:pPr>
              <w:pStyle w:val="TableContents"/>
              <w:bidi w:val="0"/>
              <w:spacing w:before="0" w:after="0"/>
              <w:jc w:val="right"/>
              <w:rPr>
                <w:b w:val="false"/>
                <w:sz w:val="20"/>
              </w:rPr>
            </w:pPr>
            <w:r>
              <w:rPr>
                <w:b w:val="false"/>
                <w:sz w:val="20"/>
              </w:rPr>
              <w:t>1,529,623</w:t>
            </w:r>
          </w:p>
        </w:tc>
        <w:tc>
          <w:tcPr>
            <w:tcW w:w="80" w:type="dxa"/>
            <w:tcBorders/>
            <w:vAlign w:val="bottom"/>
          </w:tcPr>
          <w:p>
            <w:pPr>
              <w:pStyle w:val="TableContents"/>
              <w:bidi w:val="0"/>
              <w:spacing w:before="0" w:after="283"/>
              <w:jc w:val="left"/>
              <w:rPr/>
            </w:pPr>
            <w:r>
              <w:rPr/>
              <w:t> </w:t>
            </w:r>
          </w:p>
        </w:tc>
      </w:tr>
    </w:tbl>
    <w:p>
      <w:pPr>
        <w:pStyle w:val="TextBody"/>
        <w:bidi w:val="0"/>
        <w:spacing w:before="0" w:after="0"/>
        <w:jc w:val="both"/>
        <w:rPr/>
      </w:pPr>
      <w:r>
        <w:rPr/>
      </w:r>
    </w:p>
    <w:p>
      <w:pPr>
        <w:pStyle w:val="TextBody"/>
        <w:bidi w:val="0"/>
        <w:spacing w:before="0" w:after="0"/>
        <w:jc w:val="center"/>
        <w:rPr>
          <w:rFonts w:ascii="Times New Roman" w:hAnsi="Times New Roman"/>
          <w:b w:val="false"/>
          <w:color w:val="000000"/>
          <w:sz w:val="20"/>
          <w:shd w:fill="FFFFFF" w:val="clear"/>
        </w:rPr>
      </w:pPr>
      <w:r>
        <w:rPr>
          <w:rFonts w:ascii="Times New Roman" w:hAnsi="Times New Roman"/>
          <w:b w:val="false"/>
          <w:color w:val="000000"/>
          <w:sz w:val="20"/>
          <w:shd w:fill="FFFFFF" w:val="clear"/>
        </w:rPr>
        <w:t>The accompanying notes are an integral part of these unaudited consolidated interim financial statements.</w:t>
      </w:r>
    </w:p>
    <w:p>
      <w:pPr>
        <w:pStyle w:val="TextBody"/>
        <w:bidi w:val="0"/>
        <w:spacing w:before="0" w:after="0"/>
        <w:jc w:val="both"/>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4</w:t>
      </w:r>
    </w:p>
    <w:p>
      <w:pPr>
        <w:pStyle w:val="HorizontalLine"/>
        <w:bidi w:val="0"/>
        <w:spacing w:before="200" w:after="200"/>
        <w:jc w:val="both"/>
        <w:rPr/>
      </w:pPr>
      <w:r>
        <w:rPr/>
      </w:r>
    </w:p>
    <w:p>
      <w:pPr>
        <w:pStyle w:val="TextBody"/>
        <w:bidi w:val="0"/>
        <w:spacing w:before="200" w:after="200"/>
        <w:jc w:val="both"/>
        <w:rPr/>
      </w:pPr>
      <w:hyperlink w:anchor="Contents">
        <w:r>
          <w:rPr>
            <w:rStyle w:val="InternetLink"/>
            <w:rFonts w:ascii="Times New Roman" w:hAnsi="Times New Roman"/>
            <w:b w:val="false"/>
            <w:i/>
            <w:color w:val="000000"/>
            <w:sz w:val="16"/>
            <w:shd w:fill="FFFFFF" w:val="clear"/>
          </w:rPr>
          <w:t>Table of Contents</w:t>
        </w:r>
      </w:hyperlink>
    </w:p>
    <w:p>
      <w:pPr>
        <w:pStyle w:val="TextBody"/>
        <w:bidi w:val="0"/>
        <w:spacing w:before="0" w:after="0"/>
        <w:jc w:val="right"/>
        <w:rPr>
          <w:rFonts w:ascii="Times New Roman" w:hAnsi="Times New Roman"/>
          <w:b/>
          <w:color w:val="000000"/>
          <w:sz w:val="20"/>
          <w:shd w:fill="FFFFFF" w:val="clear"/>
        </w:rPr>
      </w:pPr>
      <w:r>
        <w:rPr>
          <w:rFonts w:ascii="Times New Roman" w:hAnsi="Times New Roman"/>
          <w:b/>
          <w:color w:val="000000"/>
          <w:sz w:val="20"/>
          <w:shd w:fill="FFFFFF" w:val="clear"/>
        </w:rPr>
        <w:t>TABOOLA.COM LTD.</w:t>
      </w:r>
    </w:p>
    <w:p>
      <w:pPr>
        <w:pStyle w:val="TextBody"/>
        <w:bidi w:val="0"/>
        <w:spacing w:before="0" w:after="0"/>
        <w:jc w:val="right"/>
        <w:rPr>
          <w:b/>
        </w:rPr>
      </w:pPr>
      <w:r>
        <w:rPr>
          <w:b/>
        </w:rPr>
      </w:r>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 xml:space="preserve">CONSOLIDATED INTERIM </w:t>
      </w:r>
      <w:bookmarkStart w:id="5" w:name="STATEMENTS"/>
      <w:bookmarkEnd w:id="5"/>
      <w:r>
        <w:rPr>
          <w:rFonts w:ascii="Times New Roman" w:hAnsi="Times New Roman"/>
          <w:b/>
          <w:color w:val="000000"/>
          <w:sz w:val="20"/>
          <w:shd w:fill="FFFFFF" w:val="clear"/>
        </w:rPr>
        <w:t xml:space="preserve">STATEMENTS OF </w:t>
      </w:r>
      <w:bookmarkStart w:id="6" w:name="LOSS"/>
      <w:bookmarkEnd w:id="6"/>
      <w:r>
        <w:rPr>
          <w:rFonts w:ascii="Times New Roman" w:hAnsi="Times New Roman"/>
          <w:b/>
          <w:color w:val="000000"/>
          <w:sz w:val="20"/>
          <w:shd w:fill="FFFFFF" w:val="clear"/>
        </w:rPr>
        <w:t xml:space="preserve">LOSS </w:t>
      </w:r>
    </w:p>
    <w:p>
      <w:pPr>
        <w:pStyle w:val="HorizontalLine"/>
        <w:bidi w:val="0"/>
        <w:jc w:val="both"/>
        <w:rPr/>
      </w:pPr>
      <w:r>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U.S. dollars in thousands, except share and per share data</w:t>
      </w:r>
    </w:p>
    <w:p>
      <w:pPr>
        <w:pStyle w:val="TextBody"/>
        <w:bidi w:val="0"/>
        <w:spacing w:before="0" w:after="0"/>
        <w:jc w:val="both"/>
        <w:rPr/>
      </w:pPr>
      <w:r>
        <w:rPr/>
      </w:r>
    </w:p>
    <w:tbl>
      <w:tblPr>
        <w:tblW w:w="10205" w:type="dxa"/>
        <w:jc w:val="left"/>
        <w:tblInd w:w="0" w:type="dxa"/>
        <w:tblLayout w:type="fixed"/>
        <w:tblCellMar>
          <w:top w:w="0" w:type="dxa"/>
          <w:left w:w="0" w:type="dxa"/>
          <w:bottom w:w="0" w:type="dxa"/>
          <w:right w:w="0" w:type="dxa"/>
        </w:tblCellMar>
      </w:tblPr>
      <w:tblGrid>
        <w:gridCol w:w="6065"/>
        <w:gridCol w:w="60"/>
        <w:gridCol w:w="125"/>
        <w:gridCol w:w="695"/>
        <w:gridCol w:w="80"/>
        <w:gridCol w:w="60"/>
        <w:gridCol w:w="125"/>
        <w:gridCol w:w="695"/>
        <w:gridCol w:w="80"/>
        <w:gridCol w:w="60"/>
        <w:gridCol w:w="125"/>
        <w:gridCol w:w="845"/>
        <w:gridCol w:w="80"/>
        <w:gridCol w:w="60"/>
        <w:gridCol w:w="125"/>
        <w:gridCol w:w="845"/>
        <w:gridCol w:w="80"/>
      </w:tblGrid>
      <w:tr>
        <w:trPr/>
        <w:tc>
          <w:tcPr>
            <w:tcW w:w="60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780" w:type="dxa"/>
            <w:gridSpan w:val="6"/>
            <w:tcBorders>
              <w:bottom w:val="single" w:sz="12" w:space="0" w:color="000000"/>
            </w:tcBorders>
            <w:tcMar>
              <w:bottom w:w="28" w:type="dxa"/>
            </w:tcMar>
            <w:vAlign w:val="bottom"/>
          </w:tcPr>
          <w:p>
            <w:pPr>
              <w:pStyle w:val="TableContents"/>
              <w:bidi w:val="0"/>
              <w:spacing w:before="0" w:after="0"/>
              <w:jc w:val="center"/>
              <w:rPr>
                <w:b/>
                <w:sz w:val="20"/>
              </w:rPr>
            </w:pPr>
            <w:r>
              <w:rPr>
                <w:b/>
                <w:sz w:val="20"/>
              </w:rPr>
              <w:t>Three months ended</w:t>
            </w:r>
          </w:p>
          <w:p>
            <w:pPr>
              <w:pStyle w:val="TableContents"/>
              <w:bidi w:val="0"/>
              <w:spacing w:before="0" w:after="0"/>
              <w:jc w:val="center"/>
              <w:rPr>
                <w:b/>
                <w:sz w:val="20"/>
              </w:rPr>
            </w:pPr>
            <w:r>
              <w:rPr>
                <w:b/>
                <w:sz w:val="20"/>
              </w:rPr>
              <w:t>September 30,</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center"/>
              <w:rPr/>
            </w:pPr>
            <w:r>
              <w:rPr/>
              <w:t> </w:t>
            </w:r>
          </w:p>
        </w:tc>
        <w:tc>
          <w:tcPr>
            <w:tcW w:w="2080" w:type="dxa"/>
            <w:gridSpan w:val="6"/>
            <w:tcBorders>
              <w:bottom w:val="single" w:sz="12" w:space="0" w:color="000000"/>
            </w:tcBorders>
            <w:tcMar>
              <w:bottom w:w="28" w:type="dxa"/>
            </w:tcMar>
            <w:vAlign w:val="bottom"/>
          </w:tcPr>
          <w:p>
            <w:pPr>
              <w:pStyle w:val="TableContents"/>
              <w:bidi w:val="0"/>
              <w:spacing w:before="0" w:after="0"/>
              <w:jc w:val="center"/>
              <w:rPr>
                <w:b/>
                <w:sz w:val="20"/>
              </w:rPr>
            </w:pPr>
            <w:r>
              <w:rPr>
                <w:b/>
                <w:sz w:val="20"/>
              </w:rPr>
              <w:t xml:space="preserve">Nine months ended </w:t>
            </w:r>
          </w:p>
          <w:p>
            <w:pPr>
              <w:pStyle w:val="TableContents"/>
              <w:bidi w:val="0"/>
              <w:spacing w:before="0" w:after="0"/>
              <w:jc w:val="center"/>
              <w:rPr>
                <w:b/>
                <w:sz w:val="20"/>
              </w:rPr>
            </w:pPr>
            <w:r>
              <w:rPr>
                <w:b/>
                <w:sz w:val="20"/>
              </w:rPr>
              <w:t>September 30,</w:t>
            </w:r>
          </w:p>
        </w:tc>
        <w:tc>
          <w:tcPr>
            <w:tcW w:w="80" w:type="dxa"/>
            <w:tcBorders/>
            <w:vAlign w:val="bottom"/>
          </w:tcPr>
          <w:p>
            <w:pPr>
              <w:pStyle w:val="TableContents"/>
              <w:bidi w:val="0"/>
              <w:spacing w:before="0" w:after="283"/>
              <w:jc w:val="left"/>
              <w:rPr/>
            </w:pPr>
            <w:r>
              <w:rPr/>
              <w:t> </w:t>
            </w:r>
          </w:p>
        </w:tc>
      </w:tr>
      <w:tr>
        <w:trPr/>
        <w:tc>
          <w:tcPr>
            <w:tcW w:w="60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center"/>
              <w:rPr/>
            </w:pPr>
            <w:r>
              <w:rPr/>
              <w:t> </w:t>
            </w:r>
          </w:p>
        </w:tc>
        <w:tc>
          <w:tcPr>
            <w:tcW w:w="820" w:type="dxa"/>
            <w:gridSpan w:val="2"/>
            <w:tcBorders>
              <w:bottom w:val="single" w:sz="12" w:space="0" w:color="000000"/>
            </w:tcBorders>
            <w:tcMar>
              <w:bottom w:w="28" w:type="dxa"/>
            </w:tcMar>
            <w:vAlign w:val="bottom"/>
          </w:tcPr>
          <w:p>
            <w:pPr>
              <w:pStyle w:val="TableContents"/>
              <w:bidi w:val="0"/>
              <w:spacing w:before="0" w:after="283"/>
              <w:jc w:val="center"/>
              <w:rPr>
                <w:b/>
                <w:sz w:val="20"/>
              </w:rPr>
            </w:pPr>
            <w:r>
              <w:rPr>
                <w:b/>
                <w:sz w:val="20"/>
              </w:rPr>
              <w:t xml:space="preserve">2023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center"/>
              <w:rPr/>
            </w:pPr>
            <w:r>
              <w:rPr/>
              <w:t> </w:t>
            </w:r>
          </w:p>
        </w:tc>
        <w:tc>
          <w:tcPr>
            <w:tcW w:w="820" w:type="dxa"/>
            <w:gridSpan w:val="2"/>
            <w:tcBorders>
              <w:bottom w:val="single" w:sz="12" w:space="0" w:color="000000"/>
            </w:tcBorders>
            <w:tcMar>
              <w:bottom w:w="28" w:type="dxa"/>
            </w:tcMar>
            <w:vAlign w:val="bottom"/>
          </w:tcPr>
          <w:p>
            <w:pPr>
              <w:pStyle w:val="TableContents"/>
              <w:bidi w:val="0"/>
              <w:spacing w:before="0" w:after="283"/>
              <w:jc w:val="center"/>
              <w:rPr>
                <w:b/>
                <w:sz w:val="20"/>
              </w:rPr>
            </w:pPr>
            <w:r>
              <w:rPr>
                <w:b/>
                <w:sz w:val="20"/>
              </w:rPr>
              <w:t>2022</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center"/>
              <w:rPr/>
            </w:pPr>
            <w:r>
              <w:rPr/>
              <w:t> </w:t>
            </w:r>
          </w:p>
        </w:tc>
        <w:tc>
          <w:tcPr>
            <w:tcW w:w="970" w:type="dxa"/>
            <w:gridSpan w:val="2"/>
            <w:tcBorders>
              <w:bottom w:val="single" w:sz="12" w:space="0" w:color="000000"/>
            </w:tcBorders>
            <w:tcMar>
              <w:bottom w:w="28" w:type="dxa"/>
            </w:tcMar>
            <w:vAlign w:val="bottom"/>
          </w:tcPr>
          <w:p>
            <w:pPr>
              <w:pStyle w:val="TableContents"/>
              <w:bidi w:val="0"/>
              <w:spacing w:before="0" w:after="283"/>
              <w:jc w:val="center"/>
              <w:rPr>
                <w:b/>
                <w:sz w:val="20"/>
              </w:rPr>
            </w:pPr>
            <w:r>
              <w:rPr>
                <w:b/>
                <w:sz w:val="20"/>
              </w:rPr>
              <w:t>2023</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center"/>
              <w:rPr/>
            </w:pPr>
            <w:r>
              <w:rPr/>
              <w:t> </w:t>
            </w:r>
          </w:p>
        </w:tc>
        <w:tc>
          <w:tcPr>
            <w:tcW w:w="970" w:type="dxa"/>
            <w:gridSpan w:val="2"/>
            <w:tcBorders>
              <w:bottom w:val="single" w:sz="12" w:space="0" w:color="000000"/>
            </w:tcBorders>
            <w:tcMar>
              <w:bottom w:w="28" w:type="dxa"/>
            </w:tcMar>
            <w:vAlign w:val="bottom"/>
          </w:tcPr>
          <w:p>
            <w:pPr>
              <w:pStyle w:val="TableContents"/>
              <w:bidi w:val="0"/>
              <w:spacing w:before="0" w:after="283"/>
              <w:jc w:val="center"/>
              <w:rPr>
                <w:b/>
                <w:sz w:val="20"/>
              </w:rPr>
            </w:pPr>
            <w:r>
              <w:rPr>
                <w:b/>
                <w:sz w:val="20"/>
              </w:rPr>
              <w:t>2022</w:t>
            </w:r>
          </w:p>
        </w:tc>
        <w:tc>
          <w:tcPr>
            <w:tcW w:w="80" w:type="dxa"/>
            <w:tcBorders/>
            <w:vAlign w:val="bottom"/>
          </w:tcPr>
          <w:p>
            <w:pPr>
              <w:pStyle w:val="TableContents"/>
              <w:bidi w:val="0"/>
              <w:spacing w:before="0" w:after="283"/>
              <w:jc w:val="left"/>
              <w:rPr/>
            </w:pPr>
            <w:r>
              <w:rPr/>
              <w:t> </w:t>
            </w:r>
          </w:p>
        </w:tc>
      </w:tr>
      <w:tr>
        <w:trPr/>
        <w:tc>
          <w:tcPr>
            <w:tcW w:w="60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center"/>
              <w:rPr/>
            </w:pPr>
            <w:r>
              <w:rPr/>
              <w:t> </w:t>
            </w:r>
          </w:p>
        </w:tc>
        <w:tc>
          <w:tcPr>
            <w:tcW w:w="4000" w:type="dxa"/>
            <w:gridSpan w:val="14"/>
            <w:tcBorders>
              <w:bottom w:val="single" w:sz="12" w:space="0" w:color="000000"/>
            </w:tcBorders>
            <w:tcMar>
              <w:bottom w:w="28" w:type="dxa"/>
            </w:tcMar>
            <w:vAlign w:val="bottom"/>
          </w:tcPr>
          <w:p>
            <w:pPr>
              <w:pStyle w:val="TableContents"/>
              <w:bidi w:val="0"/>
              <w:spacing w:before="0" w:after="283"/>
              <w:jc w:val="center"/>
              <w:rPr>
                <w:b/>
                <w:sz w:val="20"/>
              </w:rPr>
            </w:pPr>
            <w:r>
              <w:rPr>
                <w:b/>
                <w:sz w:val="20"/>
              </w:rPr>
              <w:t xml:space="preserve">Unaudited </w:t>
            </w:r>
          </w:p>
        </w:tc>
        <w:tc>
          <w:tcPr>
            <w:tcW w:w="80" w:type="dxa"/>
            <w:tcBorders/>
            <w:vAlign w:val="bottom"/>
          </w:tcPr>
          <w:p>
            <w:pPr>
              <w:pStyle w:val="TableContents"/>
              <w:bidi w:val="0"/>
              <w:spacing w:before="0" w:after="283"/>
              <w:jc w:val="left"/>
              <w:rPr/>
            </w:pPr>
            <w:r>
              <w:rPr/>
              <w:t> </w:t>
            </w:r>
          </w:p>
        </w:tc>
      </w:tr>
      <w:tr>
        <w:trPr/>
        <w:tc>
          <w:tcPr>
            <w:tcW w:w="6065" w:type="dxa"/>
            <w:tcBorders/>
            <w:shd w:fill="CCEEFF" w:val="clear"/>
            <w:vAlign w:val="bottom"/>
          </w:tcPr>
          <w:p>
            <w:pPr>
              <w:pStyle w:val="TableContents"/>
              <w:bidi w:val="0"/>
              <w:spacing w:before="0" w:after="0"/>
              <w:jc w:val="left"/>
              <w:rPr>
                <w:sz w:val="20"/>
              </w:rPr>
            </w:pPr>
            <w:r>
              <w:rPr>
                <w:sz w:val="20"/>
              </w:rPr>
              <w:t>Revenues</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sz w:val="20"/>
              </w:rPr>
            </w:pPr>
            <w:r>
              <w:rPr>
                <w:sz w:val="20"/>
              </w:rPr>
              <w:t>$</w:t>
            </w:r>
          </w:p>
        </w:tc>
        <w:tc>
          <w:tcPr>
            <w:tcW w:w="695" w:type="dxa"/>
            <w:tcBorders/>
            <w:shd w:fill="CCEEFF" w:val="clear"/>
            <w:vAlign w:val="bottom"/>
          </w:tcPr>
          <w:p>
            <w:pPr>
              <w:pStyle w:val="TableContents"/>
              <w:bidi w:val="0"/>
              <w:spacing w:before="0" w:after="0"/>
              <w:jc w:val="right"/>
              <w:rPr>
                <w:sz w:val="20"/>
              </w:rPr>
            </w:pPr>
            <w:r>
              <w:rPr>
                <w:sz w:val="20"/>
              </w:rPr>
              <w:t>360,221</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sz w:val="20"/>
              </w:rPr>
            </w:pPr>
            <w:r>
              <w:rPr>
                <w:sz w:val="20"/>
              </w:rPr>
              <w:t>$</w:t>
            </w:r>
          </w:p>
        </w:tc>
        <w:tc>
          <w:tcPr>
            <w:tcW w:w="695" w:type="dxa"/>
            <w:tcBorders/>
            <w:shd w:fill="CCEEFF" w:val="clear"/>
            <w:vAlign w:val="bottom"/>
          </w:tcPr>
          <w:p>
            <w:pPr>
              <w:pStyle w:val="TableContents"/>
              <w:bidi w:val="0"/>
              <w:spacing w:before="0" w:after="0"/>
              <w:jc w:val="right"/>
              <w:rPr>
                <w:sz w:val="20"/>
              </w:rPr>
            </w:pPr>
            <w:r>
              <w:rPr>
                <w:sz w:val="20"/>
              </w:rPr>
              <w:t>332,462</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sz w:val="20"/>
              </w:rPr>
            </w:pPr>
            <w:r>
              <w:rPr>
                <w:sz w:val="20"/>
              </w:rPr>
              <w:t>$</w:t>
            </w:r>
          </w:p>
        </w:tc>
        <w:tc>
          <w:tcPr>
            <w:tcW w:w="845" w:type="dxa"/>
            <w:tcBorders/>
            <w:shd w:fill="CCEEFF" w:val="clear"/>
            <w:vAlign w:val="bottom"/>
          </w:tcPr>
          <w:p>
            <w:pPr>
              <w:pStyle w:val="TableContents"/>
              <w:bidi w:val="0"/>
              <w:spacing w:before="0" w:after="283"/>
              <w:jc w:val="right"/>
              <w:rPr>
                <w:sz w:val="20"/>
              </w:rPr>
            </w:pPr>
            <w:r>
              <w:rPr>
                <w:sz w:val="20"/>
              </w:rPr>
              <w:t>1,019,911</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sz w:val="20"/>
              </w:rPr>
            </w:pPr>
            <w:r>
              <w:rPr>
                <w:sz w:val="20"/>
              </w:rPr>
              <w:t>$</w:t>
            </w:r>
          </w:p>
        </w:tc>
        <w:tc>
          <w:tcPr>
            <w:tcW w:w="845" w:type="dxa"/>
            <w:tcBorders/>
            <w:shd w:fill="CCEEFF" w:val="clear"/>
            <w:vAlign w:val="bottom"/>
          </w:tcPr>
          <w:p>
            <w:pPr>
              <w:pStyle w:val="TableContents"/>
              <w:bidi w:val="0"/>
              <w:spacing w:before="0" w:after="283"/>
              <w:jc w:val="right"/>
              <w:rPr>
                <w:sz w:val="20"/>
              </w:rPr>
            </w:pPr>
            <w:r>
              <w:rPr>
                <w:sz w:val="20"/>
              </w:rPr>
              <w:t>1,029,883</w:t>
            </w:r>
          </w:p>
        </w:tc>
        <w:tc>
          <w:tcPr>
            <w:tcW w:w="80" w:type="dxa"/>
            <w:tcBorders/>
            <w:shd w:fill="CCEEFF" w:val="clear"/>
            <w:vAlign w:val="bottom"/>
          </w:tcPr>
          <w:p>
            <w:pPr>
              <w:pStyle w:val="TableContents"/>
              <w:bidi w:val="0"/>
              <w:spacing w:before="0" w:after="283"/>
              <w:jc w:val="left"/>
              <w:rPr/>
            </w:pPr>
            <w:r>
              <w:rPr/>
              <w:t> </w:t>
            </w:r>
          </w:p>
        </w:tc>
      </w:tr>
      <w:tr>
        <w:trPr/>
        <w:tc>
          <w:tcPr>
            <w:tcW w:w="6065" w:type="dxa"/>
            <w:tcBorders/>
            <w:vAlign w:val="bottom"/>
          </w:tcPr>
          <w:p>
            <w:pPr>
              <w:pStyle w:val="TableContents"/>
              <w:bidi w:val="0"/>
              <w:spacing w:before="0" w:after="0"/>
              <w:jc w:val="left"/>
              <w:rPr>
                <w:sz w:val="20"/>
              </w:rPr>
            </w:pPr>
            <w:r>
              <w:rPr>
                <w:sz w:val="20"/>
              </w:rPr>
              <w:t>Cost of revenues:</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r>
      <w:tr>
        <w:trPr/>
        <w:tc>
          <w:tcPr>
            <w:tcW w:w="6065" w:type="dxa"/>
            <w:tcBorders/>
            <w:shd w:fill="CCEEFF" w:val="clear"/>
            <w:vAlign w:val="bottom"/>
          </w:tcPr>
          <w:p>
            <w:pPr>
              <w:pStyle w:val="TableContents"/>
              <w:bidi w:val="0"/>
              <w:spacing w:before="0" w:after="0"/>
              <w:ind w:left="180" w:right="0" w:hanging="0"/>
              <w:jc w:val="left"/>
              <w:rPr>
                <w:sz w:val="20"/>
              </w:rPr>
            </w:pPr>
            <w:r>
              <w:rPr>
                <w:sz w:val="20"/>
              </w:rPr>
              <w:t>Traffic acquisition cost</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sz w:val="20"/>
              </w:rPr>
            </w:pPr>
            <w:r>
              <w:rPr>
                <w:sz w:val="20"/>
              </w:rPr>
              <w:t>231,786</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sz w:val="20"/>
              </w:rPr>
            </w:pPr>
            <w:r>
              <w:rPr>
                <w:sz w:val="20"/>
              </w:rPr>
              <w:t>203,125</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283"/>
              <w:jc w:val="right"/>
              <w:rPr>
                <w:sz w:val="20"/>
              </w:rPr>
            </w:pPr>
            <w:r>
              <w:rPr>
                <w:sz w:val="20"/>
              </w:rPr>
              <w:t>652,602</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283"/>
              <w:jc w:val="right"/>
              <w:rPr>
                <w:sz w:val="20"/>
              </w:rPr>
            </w:pPr>
            <w:r>
              <w:rPr>
                <w:sz w:val="20"/>
              </w:rPr>
              <w:t>619,109</w:t>
            </w:r>
          </w:p>
        </w:tc>
        <w:tc>
          <w:tcPr>
            <w:tcW w:w="80" w:type="dxa"/>
            <w:tcBorders/>
            <w:shd w:fill="CCEEFF" w:val="clear"/>
            <w:vAlign w:val="bottom"/>
          </w:tcPr>
          <w:p>
            <w:pPr>
              <w:pStyle w:val="TableContents"/>
              <w:bidi w:val="0"/>
              <w:spacing w:before="0" w:after="283"/>
              <w:jc w:val="left"/>
              <w:rPr/>
            </w:pPr>
            <w:r>
              <w:rPr/>
              <w:t> </w:t>
            </w:r>
          </w:p>
        </w:tc>
      </w:tr>
      <w:tr>
        <w:trPr/>
        <w:tc>
          <w:tcPr>
            <w:tcW w:w="6065" w:type="dxa"/>
            <w:tcBorders/>
            <w:vAlign w:val="bottom"/>
          </w:tcPr>
          <w:p>
            <w:pPr>
              <w:pStyle w:val="TableContents"/>
              <w:bidi w:val="0"/>
              <w:spacing w:before="0" w:after="0"/>
              <w:ind w:left="180" w:right="0" w:hanging="0"/>
              <w:jc w:val="left"/>
              <w:rPr>
                <w:sz w:val="20"/>
              </w:rPr>
            </w:pPr>
            <w:r>
              <w:rPr>
                <w:sz w:val="20"/>
              </w:rPr>
              <w:t>Other cost of revenues</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tcMar>
              <w:bottom w:w="28" w:type="dxa"/>
            </w:tcMar>
            <w:vAlign w:val="bottom"/>
          </w:tcPr>
          <w:p>
            <w:pPr>
              <w:pStyle w:val="TableContents"/>
              <w:bidi w:val="0"/>
              <w:spacing w:before="0" w:after="0"/>
              <w:jc w:val="right"/>
              <w:rPr>
                <w:sz w:val="20"/>
              </w:rPr>
            </w:pPr>
            <w:r>
              <w:rPr>
                <w:sz w:val="20"/>
              </w:rPr>
              <w:t>27,776</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tcMar>
              <w:bottom w:w="28" w:type="dxa"/>
            </w:tcMar>
            <w:vAlign w:val="bottom"/>
          </w:tcPr>
          <w:p>
            <w:pPr>
              <w:pStyle w:val="TableContents"/>
              <w:bidi w:val="0"/>
              <w:spacing w:before="0" w:after="0"/>
              <w:jc w:val="right"/>
              <w:rPr>
                <w:sz w:val="20"/>
              </w:rPr>
            </w:pPr>
            <w:r>
              <w:rPr>
                <w:sz w:val="20"/>
              </w:rPr>
              <w:t>26,649</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tcMar>
              <w:bottom w:w="28" w:type="dxa"/>
            </w:tcMar>
            <w:vAlign w:val="bottom"/>
          </w:tcPr>
          <w:p>
            <w:pPr>
              <w:pStyle w:val="TableContents"/>
              <w:bidi w:val="0"/>
              <w:spacing w:before="0" w:after="283"/>
              <w:jc w:val="right"/>
              <w:rPr>
                <w:sz w:val="20"/>
              </w:rPr>
            </w:pPr>
            <w:r>
              <w:rPr>
                <w:sz w:val="20"/>
              </w:rPr>
              <w:t>80,001</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tcMar>
              <w:bottom w:w="28" w:type="dxa"/>
            </w:tcMar>
            <w:vAlign w:val="bottom"/>
          </w:tcPr>
          <w:p>
            <w:pPr>
              <w:pStyle w:val="TableContents"/>
              <w:bidi w:val="0"/>
              <w:spacing w:before="0" w:after="283"/>
              <w:jc w:val="right"/>
              <w:rPr>
                <w:sz w:val="20"/>
              </w:rPr>
            </w:pPr>
            <w:r>
              <w:rPr>
                <w:sz w:val="20"/>
              </w:rPr>
              <w:t>79,695</w:t>
            </w:r>
          </w:p>
        </w:tc>
        <w:tc>
          <w:tcPr>
            <w:tcW w:w="80" w:type="dxa"/>
            <w:tcBorders/>
            <w:vAlign w:val="bottom"/>
          </w:tcPr>
          <w:p>
            <w:pPr>
              <w:pStyle w:val="TableContents"/>
              <w:bidi w:val="0"/>
              <w:spacing w:before="0" w:after="283"/>
              <w:jc w:val="left"/>
              <w:rPr/>
            </w:pPr>
            <w:r>
              <w:rPr/>
              <w:t> </w:t>
            </w:r>
          </w:p>
        </w:tc>
      </w:tr>
      <w:tr>
        <w:trPr/>
        <w:tc>
          <w:tcPr>
            <w:tcW w:w="606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r>
      <w:tr>
        <w:trPr/>
        <w:tc>
          <w:tcPr>
            <w:tcW w:w="6065" w:type="dxa"/>
            <w:tcBorders/>
            <w:vAlign w:val="bottom"/>
          </w:tcPr>
          <w:p>
            <w:pPr>
              <w:pStyle w:val="TableContents"/>
              <w:bidi w:val="0"/>
              <w:spacing w:before="0" w:after="0"/>
              <w:jc w:val="left"/>
              <w:rPr>
                <w:sz w:val="20"/>
              </w:rPr>
            </w:pPr>
            <w:r>
              <w:rPr>
                <w:sz w:val="20"/>
              </w:rPr>
              <w:t>Total cost of revenues</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tcMar>
              <w:bottom w:w="28" w:type="dxa"/>
            </w:tcMar>
            <w:vAlign w:val="bottom"/>
          </w:tcPr>
          <w:p>
            <w:pPr>
              <w:pStyle w:val="TableContents"/>
              <w:bidi w:val="0"/>
              <w:spacing w:before="0" w:after="0"/>
              <w:jc w:val="right"/>
              <w:rPr>
                <w:sz w:val="20"/>
              </w:rPr>
            </w:pPr>
            <w:r>
              <w:rPr>
                <w:sz w:val="20"/>
              </w:rPr>
              <w:t>259,562</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tcMar>
              <w:bottom w:w="28" w:type="dxa"/>
            </w:tcMar>
            <w:vAlign w:val="bottom"/>
          </w:tcPr>
          <w:p>
            <w:pPr>
              <w:pStyle w:val="TableContents"/>
              <w:bidi w:val="0"/>
              <w:spacing w:before="0" w:after="0"/>
              <w:jc w:val="right"/>
              <w:rPr>
                <w:sz w:val="20"/>
              </w:rPr>
            </w:pPr>
            <w:r>
              <w:rPr>
                <w:sz w:val="20"/>
              </w:rPr>
              <w:t>229,774</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tcMar>
              <w:bottom w:w="28" w:type="dxa"/>
            </w:tcMar>
            <w:vAlign w:val="bottom"/>
          </w:tcPr>
          <w:p>
            <w:pPr>
              <w:pStyle w:val="TableContents"/>
              <w:bidi w:val="0"/>
              <w:spacing w:before="0" w:after="283"/>
              <w:jc w:val="right"/>
              <w:rPr>
                <w:sz w:val="20"/>
              </w:rPr>
            </w:pPr>
            <w:r>
              <w:rPr>
                <w:sz w:val="20"/>
              </w:rPr>
              <w:t>732,603</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tcMar>
              <w:bottom w:w="28" w:type="dxa"/>
            </w:tcMar>
            <w:vAlign w:val="bottom"/>
          </w:tcPr>
          <w:p>
            <w:pPr>
              <w:pStyle w:val="TableContents"/>
              <w:bidi w:val="0"/>
              <w:spacing w:before="0" w:after="283"/>
              <w:jc w:val="right"/>
              <w:rPr>
                <w:sz w:val="20"/>
              </w:rPr>
            </w:pPr>
            <w:r>
              <w:rPr>
                <w:sz w:val="20"/>
              </w:rPr>
              <w:t>698,804</w:t>
            </w:r>
          </w:p>
        </w:tc>
        <w:tc>
          <w:tcPr>
            <w:tcW w:w="80" w:type="dxa"/>
            <w:tcBorders/>
            <w:vAlign w:val="bottom"/>
          </w:tcPr>
          <w:p>
            <w:pPr>
              <w:pStyle w:val="TableContents"/>
              <w:bidi w:val="0"/>
              <w:spacing w:before="0" w:after="283"/>
              <w:jc w:val="left"/>
              <w:rPr/>
            </w:pPr>
            <w:r>
              <w:rPr/>
              <w:t> </w:t>
            </w:r>
          </w:p>
        </w:tc>
      </w:tr>
      <w:tr>
        <w:trPr/>
        <w:tc>
          <w:tcPr>
            <w:tcW w:w="606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r>
      <w:tr>
        <w:trPr/>
        <w:tc>
          <w:tcPr>
            <w:tcW w:w="6065" w:type="dxa"/>
            <w:tcBorders/>
            <w:vAlign w:val="bottom"/>
          </w:tcPr>
          <w:p>
            <w:pPr>
              <w:pStyle w:val="TableContents"/>
              <w:bidi w:val="0"/>
              <w:spacing w:before="0" w:after="0"/>
              <w:jc w:val="left"/>
              <w:rPr>
                <w:sz w:val="20"/>
              </w:rPr>
            </w:pPr>
            <w:r>
              <w:rPr>
                <w:sz w:val="20"/>
              </w:rPr>
              <w:t>Gross profit</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tcMar>
              <w:bottom w:w="28" w:type="dxa"/>
            </w:tcMar>
            <w:vAlign w:val="bottom"/>
          </w:tcPr>
          <w:p>
            <w:pPr>
              <w:pStyle w:val="TableContents"/>
              <w:bidi w:val="0"/>
              <w:spacing w:before="0" w:after="0"/>
              <w:jc w:val="right"/>
              <w:rPr>
                <w:sz w:val="20"/>
              </w:rPr>
            </w:pPr>
            <w:r>
              <w:rPr>
                <w:sz w:val="20"/>
              </w:rPr>
              <w:t>100,659</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tcMar>
              <w:bottom w:w="28" w:type="dxa"/>
            </w:tcMar>
            <w:vAlign w:val="bottom"/>
          </w:tcPr>
          <w:p>
            <w:pPr>
              <w:pStyle w:val="TableContents"/>
              <w:bidi w:val="0"/>
              <w:spacing w:before="0" w:after="0"/>
              <w:jc w:val="right"/>
              <w:rPr>
                <w:sz w:val="20"/>
              </w:rPr>
            </w:pPr>
            <w:r>
              <w:rPr>
                <w:sz w:val="20"/>
              </w:rPr>
              <w:t>102,688</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tcMar>
              <w:bottom w:w="28" w:type="dxa"/>
            </w:tcMar>
            <w:vAlign w:val="bottom"/>
          </w:tcPr>
          <w:p>
            <w:pPr>
              <w:pStyle w:val="TableContents"/>
              <w:bidi w:val="0"/>
              <w:spacing w:before="0" w:after="283"/>
              <w:jc w:val="right"/>
              <w:rPr>
                <w:sz w:val="20"/>
              </w:rPr>
            </w:pPr>
            <w:r>
              <w:rPr>
                <w:sz w:val="20"/>
              </w:rPr>
              <w:t>287,308</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tcMar>
              <w:bottom w:w="28" w:type="dxa"/>
            </w:tcMar>
            <w:vAlign w:val="bottom"/>
          </w:tcPr>
          <w:p>
            <w:pPr>
              <w:pStyle w:val="TableContents"/>
              <w:bidi w:val="0"/>
              <w:spacing w:before="0" w:after="283"/>
              <w:jc w:val="right"/>
              <w:rPr>
                <w:sz w:val="20"/>
              </w:rPr>
            </w:pPr>
            <w:r>
              <w:rPr>
                <w:sz w:val="20"/>
              </w:rPr>
              <w:t>331,079</w:t>
            </w:r>
          </w:p>
        </w:tc>
        <w:tc>
          <w:tcPr>
            <w:tcW w:w="80" w:type="dxa"/>
            <w:tcBorders/>
            <w:vAlign w:val="bottom"/>
          </w:tcPr>
          <w:p>
            <w:pPr>
              <w:pStyle w:val="TableContents"/>
              <w:bidi w:val="0"/>
              <w:spacing w:before="0" w:after="283"/>
              <w:jc w:val="left"/>
              <w:rPr/>
            </w:pPr>
            <w:r>
              <w:rPr/>
              <w:t> </w:t>
            </w:r>
          </w:p>
        </w:tc>
      </w:tr>
      <w:tr>
        <w:trPr/>
        <w:tc>
          <w:tcPr>
            <w:tcW w:w="606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r>
      <w:tr>
        <w:trPr/>
        <w:tc>
          <w:tcPr>
            <w:tcW w:w="6065" w:type="dxa"/>
            <w:tcBorders/>
            <w:vAlign w:val="bottom"/>
          </w:tcPr>
          <w:p>
            <w:pPr>
              <w:pStyle w:val="TableContents"/>
              <w:bidi w:val="0"/>
              <w:spacing w:before="0" w:after="0"/>
              <w:jc w:val="left"/>
              <w:rPr>
                <w:sz w:val="20"/>
              </w:rPr>
            </w:pPr>
            <w:r>
              <w:rPr>
                <w:sz w:val="20"/>
              </w:rPr>
              <w:t>Operating expenses:</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r>
      <w:tr>
        <w:trPr/>
        <w:tc>
          <w:tcPr>
            <w:tcW w:w="6065" w:type="dxa"/>
            <w:tcBorders/>
            <w:shd w:fill="CCEEFF" w:val="clear"/>
            <w:vAlign w:val="bottom"/>
          </w:tcPr>
          <w:p>
            <w:pPr>
              <w:pStyle w:val="TableContents"/>
              <w:bidi w:val="0"/>
              <w:spacing w:before="0" w:after="0"/>
              <w:ind w:left="180" w:right="0" w:hanging="0"/>
              <w:jc w:val="left"/>
              <w:rPr>
                <w:sz w:val="20"/>
              </w:rPr>
            </w:pPr>
            <w:r>
              <w:rPr>
                <w:sz w:val="20"/>
              </w:rPr>
              <w:t>Research and development</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sz w:val="20"/>
              </w:rPr>
            </w:pPr>
            <w:r>
              <w:rPr>
                <w:sz w:val="20"/>
              </w:rPr>
              <w:t>35,890</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sz w:val="20"/>
              </w:rPr>
            </w:pPr>
            <w:r>
              <w:rPr>
                <w:sz w:val="20"/>
              </w:rPr>
              <w:t>36,237</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283"/>
              <w:jc w:val="right"/>
              <w:rPr>
                <w:sz w:val="20"/>
              </w:rPr>
            </w:pPr>
            <w:r>
              <w:rPr>
                <w:sz w:val="20"/>
              </w:rPr>
              <w:t>101,876</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283"/>
              <w:jc w:val="right"/>
              <w:rPr>
                <w:sz w:val="20"/>
              </w:rPr>
            </w:pPr>
            <w:r>
              <w:rPr>
                <w:sz w:val="20"/>
              </w:rPr>
              <w:t>100,728</w:t>
            </w:r>
          </w:p>
        </w:tc>
        <w:tc>
          <w:tcPr>
            <w:tcW w:w="80" w:type="dxa"/>
            <w:tcBorders/>
            <w:shd w:fill="CCEEFF" w:val="clear"/>
            <w:vAlign w:val="bottom"/>
          </w:tcPr>
          <w:p>
            <w:pPr>
              <w:pStyle w:val="TableContents"/>
              <w:bidi w:val="0"/>
              <w:spacing w:before="0" w:after="283"/>
              <w:jc w:val="left"/>
              <w:rPr/>
            </w:pPr>
            <w:r>
              <w:rPr/>
              <w:t> </w:t>
            </w:r>
          </w:p>
        </w:tc>
      </w:tr>
      <w:tr>
        <w:trPr/>
        <w:tc>
          <w:tcPr>
            <w:tcW w:w="6065" w:type="dxa"/>
            <w:tcBorders/>
            <w:vAlign w:val="bottom"/>
          </w:tcPr>
          <w:p>
            <w:pPr>
              <w:pStyle w:val="TableContents"/>
              <w:bidi w:val="0"/>
              <w:spacing w:before="0" w:after="0"/>
              <w:ind w:left="180" w:right="0" w:hanging="0"/>
              <w:jc w:val="left"/>
              <w:rPr>
                <w:sz w:val="20"/>
              </w:rPr>
            </w:pPr>
            <w:r>
              <w:rPr>
                <w:sz w:val="20"/>
              </w:rPr>
              <w:t>Sales and marketing</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sz w:val="20"/>
              </w:rPr>
            </w:pPr>
            <w:r>
              <w:rPr>
                <w:sz w:val="20"/>
              </w:rPr>
              <w:t>59,664</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sz w:val="20"/>
              </w:rPr>
            </w:pPr>
            <w:r>
              <w:rPr>
                <w:sz w:val="20"/>
              </w:rPr>
              <w:t>63,216</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283"/>
              <w:jc w:val="right"/>
              <w:rPr>
                <w:sz w:val="20"/>
              </w:rPr>
            </w:pPr>
            <w:r>
              <w:rPr>
                <w:sz w:val="20"/>
              </w:rPr>
              <w:t>181,431</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283"/>
              <w:jc w:val="right"/>
              <w:rPr>
                <w:sz w:val="20"/>
              </w:rPr>
            </w:pPr>
            <w:r>
              <w:rPr>
                <w:sz w:val="20"/>
              </w:rPr>
              <w:t>190,989</w:t>
            </w:r>
          </w:p>
        </w:tc>
        <w:tc>
          <w:tcPr>
            <w:tcW w:w="80" w:type="dxa"/>
            <w:tcBorders/>
            <w:vAlign w:val="bottom"/>
          </w:tcPr>
          <w:p>
            <w:pPr>
              <w:pStyle w:val="TableContents"/>
              <w:bidi w:val="0"/>
              <w:spacing w:before="0" w:after="283"/>
              <w:jc w:val="left"/>
              <w:rPr/>
            </w:pPr>
            <w:r>
              <w:rPr/>
              <w:t> </w:t>
            </w:r>
          </w:p>
        </w:tc>
      </w:tr>
      <w:tr>
        <w:trPr/>
        <w:tc>
          <w:tcPr>
            <w:tcW w:w="6065" w:type="dxa"/>
            <w:tcBorders/>
            <w:shd w:fill="CCEEFF" w:val="clear"/>
            <w:vAlign w:val="bottom"/>
          </w:tcPr>
          <w:p>
            <w:pPr>
              <w:pStyle w:val="TableContents"/>
              <w:bidi w:val="0"/>
              <w:spacing w:before="0" w:after="0"/>
              <w:ind w:left="180" w:right="0" w:hanging="0"/>
              <w:jc w:val="left"/>
              <w:rPr>
                <w:sz w:val="20"/>
              </w:rPr>
            </w:pPr>
            <w:r>
              <w:rPr>
                <w:sz w:val="20"/>
              </w:rPr>
              <w:t>General and administrative</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shd w:fill="CCEEFF" w:val="clear"/>
            <w:tcMar>
              <w:bottom w:w="28" w:type="dxa"/>
            </w:tcMar>
            <w:vAlign w:val="bottom"/>
          </w:tcPr>
          <w:p>
            <w:pPr>
              <w:pStyle w:val="TableContents"/>
              <w:bidi w:val="0"/>
              <w:spacing w:before="0" w:after="0"/>
              <w:jc w:val="right"/>
              <w:rPr>
                <w:sz w:val="20"/>
              </w:rPr>
            </w:pPr>
            <w:r>
              <w:rPr>
                <w:sz w:val="20"/>
              </w:rPr>
              <w:t>23,839</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shd w:fill="CCEEFF" w:val="clear"/>
            <w:tcMar>
              <w:bottom w:w="28" w:type="dxa"/>
            </w:tcMar>
            <w:vAlign w:val="bottom"/>
          </w:tcPr>
          <w:p>
            <w:pPr>
              <w:pStyle w:val="TableContents"/>
              <w:bidi w:val="0"/>
              <w:spacing w:before="0" w:after="0"/>
              <w:jc w:val="right"/>
              <w:rPr>
                <w:sz w:val="20"/>
              </w:rPr>
            </w:pPr>
            <w:r>
              <w:rPr>
                <w:sz w:val="20"/>
              </w:rPr>
              <w:t>24,685</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shd w:fill="CCEEFF" w:val="clear"/>
            <w:tcMar>
              <w:bottom w:w="28" w:type="dxa"/>
            </w:tcMar>
            <w:vAlign w:val="bottom"/>
          </w:tcPr>
          <w:p>
            <w:pPr>
              <w:pStyle w:val="TableContents"/>
              <w:bidi w:val="0"/>
              <w:spacing w:before="0" w:after="283"/>
              <w:jc w:val="right"/>
              <w:rPr>
                <w:sz w:val="20"/>
              </w:rPr>
            </w:pPr>
            <w:r>
              <w:rPr>
                <w:sz w:val="20"/>
              </w:rPr>
              <w:t>76,533</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shd w:fill="CCEEFF" w:val="clear"/>
            <w:tcMar>
              <w:bottom w:w="28" w:type="dxa"/>
            </w:tcMar>
            <w:vAlign w:val="bottom"/>
          </w:tcPr>
          <w:p>
            <w:pPr>
              <w:pStyle w:val="TableContents"/>
              <w:bidi w:val="0"/>
              <w:spacing w:before="0" w:after="283"/>
              <w:jc w:val="right"/>
              <w:rPr>
                <w:sz w:val="20"/>
              </w:rPr>
            </w:pPr>
            <w:r>
              <w:rPr>
                <w:sz w:val="20"/>
              </w:rPr>
              <w:t>78,062</w:t>
            </w:r>
          </w:p>
        </w:tc>
        <w:tc>
          <w:tcPr>
            <w:tcW w:w="80" w:type="dxa"/>
            <w:tcBorders/>
            <w:shd w:fill="CCEEFF" w:val="clear"/>
            <w:vAlign w:val="bottom"/>
          </w:tcPr>
          <w:p>
            <w:pPr>
              <w:pStyle w:val="TableContents"/>
              <w:bidi w:val="0"/>
              <w:spacing w:before="0" w:after="283"/>
              <w:jc w:val="left"/>
              <w:rPr/>
            </w:pPr>
            <w:r>
              <w:rPr/>
              <w:t> </w:t>
            </w:r>
          </w:p>
        </w:tc>
      </w:tr>
      <w:tr>
        <w:trPr/>
        <w:tc>
          <w:tcPr>
            <w:tcW w:w="6065" w:type="dxa"/>
            <w:tcBorders/>
            <w:vAlign w:val="bottom"/>
          </w:tcPr>
          <w:p>
            <w:pPr>
              <w:pStyle w:val="TableContents"/>
              <w:bidi w:val="0"/>
              <w:spacing w:before="0" w:after="0"/>
              <w:jc w:val="left"/>
              <w:rPr>
                <w:sz w:val="20"/>
              </w:rPr>
            </w:pPr>
            <w:r>
              <w:rPr>
                <w:sz w:val="20"/>
              </w:rPr>
              <w:t>Total operating expenses</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tcMar>
              <w:bottom w:w="28" w:type="dxa"/>
            </w:tcMar>
            <w:vAlign w:val="bottom"/>
          </w:tcPr>
          <w:p>
            <w:pPr>
              <w:pStyle w:val="TableContents"/>
              <w:bidi w:val="0"/>
              <w:spacing w:before="0" w:after="0"/>
              <w:jc w:val="right"/>
              <w:rPr>
                <w:sz w:val="20"/>
              </w:rPr>
            </w:pPr>
            <w:r>
              <w:rPr>
                <w:sz w:val="20"/>
              </w:rPr>
              <w:t>119,393</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tcMar>
              <w:bottom w:w="28" w:type="dxa"/>
            </w:tcMar>
            <w:vAlign w:val="bottom"/>
          </w:tcPr>
          <w:p>
            <w:pPr>
              <w:pStyle w:val="TableContents"/>
              <w:bidi w:val="0"/>
              <w:spacing w:before="0" w:after="0"/>
              <w:jc w:val="right"/>
              <w:rPr>
                <w:sz w:val="20"/>
              </w:rPr>
            </w:pPr>
            <w:r>
              <w:rPr>
                <w:sz w:val="20"/>
              </w:rPr>
              <w:t>124,138</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tcMar>
              <w:bottom w:w="28" w:type="dxa"/>
            </w:tcMar>
            <w:vAlign w:val="bottom"/>
          </w:tcPr>
          <w:p>
            <w:pPr>
              <w:pStyle w:val="TableContents"/>
              <w:bidi w:val="0"/>
              <w:spacing w:before="0" w:after="283"/>
              <w:jc w:val="right"/>
              <w:rPr>
                <w:sz w:val="20"/>
              </w:rPr>
            </w:pPr>
            <w:r>
              <w:rPr>
                <w:sz w:val="20"/>
              </w:rPr>
              <w:t>359,840</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tcMar>
              <w:bottom w:w="28" w:type="dxa"/>
            </w:tcMar>
            <w:vAlign w:val="bottom"/>
          </w:tcPr>
          <w:p>
            <w:pPr>
              <w:pStyle w:val="TableContents"/>
              <w:bidi w:val="0"/>
              <w:spacing w:before="0" w:after="283"/>
              <w:jc w:val="right"/>
              <w:rPr>
                <w:sz w:val="20"/>
              </w:rPr>
            </w:pPr>
            <w:r>
              <w:rPr>
                <w:sz w:val="20"/>
              </w:rPr>
              <w:t>369,779</w:t>
            </w:r>
          </w:p>
        </w:tc>
        <w:tc>
          <w:tcPr>
            <w:tcW w:w="80" w:type="dxa"/>
            <w:tcBorders/>
            <w:vAlign w:val="bottom"/>
          </w:tcPr>
          <w:p>
            <w:pPr>
              <w:pStyle w:val="TableContents"/>
              <w:bidi w:val="0"/>
              <w:spacing w:before="0" w:after="283"/>
              <w:jc w:val="left"/>
              <w:rPr/>
            </w:pPr>
            <w:r>
              <w:rPr/>
              <w:t> </w:t>
            </w:r>
          </w:p>
        </w:tc>
      </w:tr>
      <w:tr>
        <w:trPr/>
        <w:tc>
          <w:tcPr>
            <w:tcW w:w="606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r>
      <w:tr>
        <w:trPr/>
        <w:tc>
          <w:tcPr>
            <w:tcW w:w="6065" w:type="dxa"/>
            <w:tcBorders/>
            <w:vAlign w:val="bottom"/>
          </w:tcPr>
          <w:p>
            <w:pPr>
              <w:pStyle w:val="TableContents"/>
              <w:bidi w:val="0"/>
              <w:spacing w:before="0" w:after="0"/>
              <w:jc w:val="left"/>
              <w:rPr>
                <w:sz w:val="20"/>
              </w:rPr>
            </w:pPr>
            <w:r>
              <w:rPr>
                <w:sz w:val="20"/>
              </w:rPr>
              <w:t>Operating loss</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sz w:val="20"/>
              </w:rPr>
            </w:pPr>
            <w:r>
              <w:rPr>
                <w:sz w:val="20"/>
              </w:rPr>
              <w:t>(18,734</w:t>
            </w:r>
          </w:p>
        </w:tc>
        <w:tc>
          <w:tcPr>
            <w:tcW w:w="80" w:type="dxa"/>
            <w:tcBorders/>
            <w:vAlign w:val="bottom"/>
          </w:tcPr>
          <w:p>
            <w:pPr>
              <w:pStyle w:val="TableContents"/>
              <w:bidi w:val="0"/>
              <w:spacing w:before="0" w:after="0"/>
              <w:jc w:val="left"/>
              <w:rPr>
                <w:sz w:val="20"/>
              </w:rPr>
            </w:pPr>
            <w:r>
              <w:rPr>
                <w:sz w:val="20"/>
              </w:rPr>
              <w:t>)</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sz w:val="20"/>
              </w:rPr>
            </w:pPr>
            <w:r>
              <w:rPr>
                <w:sz w:val="20"/>
              </w:rPr>
              <w:t>(21,450</w:t>
            </w:r>
          </w:p>
        </w:tc>
        <w:tc>
          <w:tcPr>
            <w:tcW w:w="80" w:type="dxa"/>
            <w:tcBorders/>
            <w:vAlign w:val="bottom"/>
          </w:tcPr>
          <w:p>
            <w:pPr>
              <w:pStyle w:val="TableContents"/>
              <w:bidi w:val="0"/>
              <w:spacing w:before="0" w:after="0"/>
              <w:jc w:val="left"/>
              <w:rPr>
                <w:sz w:val="20"/>
              </w:rPr>
            </w:pPr>
            <w:r>
              <w:rPr>
                <w:sz w:val="20"/>
              </w:rPr>
              <w:t>)</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283"/>
              <w:jc w:val="right"/>
              <w:rPr>
                <w:sz w:val="20"/>
              </w:rPr>
            </w:pPr>
            <w:r>
              <w:rPr>
                <w:sz w:val="20"/>
              </w:rPr>
              <w:t>(72,532</w:t>
            </w:r>
          </w:p>
        </w:tc>
        <w:tc>
          <w:tcPr>
            <w:tcW w:w="80" w:type="dxa"/>
            <w:tcBorders/>
            <w:vAlign w:val="bottom"/>
          </w:tcPr>
          <w:p>
            <w:pPr>
              <w:pStyle w:val="TableContents"/>
              <w:bidi w:val="0"/>
              <w:spacing w:before="0" w:after="283"/>
              <w:jc w:val="left"/>
              <w:rPr>
                <w:sz w:val="20"/>
              </w:rPr>
            </w:pPr>
            <w:r>
              <w:rPr>
                <w:sz w:val="20"/>
              </w:rPr>
              <w:t>)</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283"/>
              <w:jc w:val="right"/>
              <w:rPr>
                <w:sz w:val="20"/>
              </w:rPr>
            </w:pPr>
            <w:r>
              <w:rPr>
                <w:sz w:val="20"/>
              </w:rPr>
              <w:t>(38,700</w:t>
            </w:r>
          </w:p>
        </w:tc>
        <w:tc>
          <w:tcPr>
            <w:tcW w:w="80" w:type="dxa"/>
            <w:tcBorders/>
            <w:vAlign w:val="bottom"/>
          </w:tcPr>
          <w:p>
            <w:pPr>
              <w:pStyle w:val="TableContents"/>
              <w:bidi w:val="0"/>
              <w:spacing w:before="0" w:after="283"/>
              <w:jc w:val="left"/>
              <w:rPr>
                <w:sz w:val="20"/>
              </w:rPr>
            </w:pPr>
            <w:r>
              <w:rPr>
                <w:sz w:val="20"/>
              </w:rPr>
              <w:t>)</w:t>
            </w:r>
          </w:p>
        </w:tc>
      </w:tr>
      <w:tr>
        <w:trPr/>
        <w:tc>
          <w:tcPr>
            <w:tcW w:w="6065" w:type="dxa"/>
            <w:tcBorders/>
            <w:shd w:fill="CCEEFF" w:val="clear"/>
            <w:vAlign w:val="bottom"/>
          </w:tcPr>
          <w:p>
            <w:pPr>
              <w:pStyle w:val="TableContents"/>
              <w:bidi w:val="0"/>
              <w:spacing w:before="0" w:after="0"/>
              <w:jc w:val="left"/>
              <w:rPr>
                <w:sz w:val="20"/>
              </w:rPr>
            </w:pPr>
            <w:r>
              <w:rPr>
                <w:sz w:val="20"/>
              </w:rPr>
              <w:t>Finance income (expenses), net</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shd w:fill="CCEEFF" w:val="clear"/>
            <w:tcMar>
              <w:bottom w:w="28" w:type="dxa"/>
            </w:tcMar>
            <w:vAlign w:val="bottom"/>
          </w:tcPr>
          <w:p>
            <w:pPr>
              <w:pStyle w:val="TableContents"/>
              <w:bidi w:val="0"/>
              <w:spacing w:before="0" w:after="0"/>
              <w:jc w:val="right"/>
              <w:rPr>
                <w:sz w:val="20"/>
              </w:rPr>
            </w:pPr>
            <w:r>
              <w:rPr>
                <w:sz w:val="20"/>
              </w:rPr>
              <w:t>(4,402</w:t>
            </w:r>
          </w:p>
        </w:tc>
        <w:tc>
          <w:tcPr>
            <w:tcW w:w="80" w:type="dxa"/>
            <w:tcBorders/>
            <w:shd w:fill="CCEEFF" w:val="clear"/>
            <w:vAlign w:val="bottom"/>
          </w:tcPr>
          <w:p>
            <w:pPr>
              <w:pStyle w:val="TableContents"/>
              <w:bidi w:val="0"/>
              <w:spacing w:before="0" w:after="0"/>
              <w:jc w:val="left"/>
              <w:rPr>
                <w:sz w:val="20"/>
              </w:rPr>
            </w:pPr>
            <w:r>
              <w:rPr>
                <w:sz w:val="20"/>
              </w:rPr>
              <w:t>)</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shd w:fill="CCEEFF" w:val="clear"/>
            <w:tcMar>
              <w:bottom w:w="28" w:type="dxa"/>
            </w:tcMar>
            <w:vAlign w:val="bottom"/>
          </w:tcPr>
          <w:p>
            <w:pPr>
              <w:pStyle w:val="TableContents"/>
              <w:bidi w:val="0"/>
              <w:spacing w:before="0" w:after="0"/>
              <w:jc w:val="right"/>
              <w:rPr>
                <w:sz w:val="20"/>
              </w:rPr>
            </w:pPr>
            <w:r>
              <w:rPr>
                <w:sz w:val="20"/>
              </w:rPr>
              <w:t>(3,570</w:t>
            </w:r>
          </w:p>
        </w:tc>
        <w:tc>
          <w:tcPr>
            <w:tcW w:w="80" w:type="dxa"/>
            <w:tcBorders/>
            <w:shd w:fill="CCEEFF" w:val="clear"/>
            <w:vAlign w:val="bottom"/>
          </w:tcPr>
          <w:p>
            <w:pPr>
              <w:pStyle w:val="TableContents"/>
              <w:bidi w:val="0"/>
              <w:spacing w:before="0" w:after="0"/>
              <w:jc w:val="left"/>
              <w:rPr>
                <w:sz w:val="20"/>
              </w:rPr>
            </w:pPr>
            <w:r>
              <w:rPr>
                <w:sz w:val="20"/>
              </w:rPr>
              <w:t>)</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shd w:fill="CCEEFF" w:val="clear"/>
            <w:tcMar>
              <w:bottom w:w="28" w:type="dxa"/>
            </w:tcMar>
            <w:vAlign w:val="bottom"/>
          </w:tcPr>
          <w:p>
            <w:pPr>
              <w:pStyle w:val="TableContents"/>
              <w:bidi w:val="0"/>
              <w:spacing w:before="0" w:after="283"/>
              <w:jc w:val="right"/>
              <w:rPr>
                <w:sz w:val="20"/>
              </w:rPr>
            </w:pPr>
            <w:r>
              <w:rPr>
                <w:sz w:val="20"/>
              </w:rPr>
              <w:t>(11,383</w:t>
            </w:r>
          </w:p>
        </w:tc>
        <w:tc>
          <w:tcPr>
            <w:tcW w:w="80" w:type="dxa"/>
            <w:tcBorders/>
            <w:shd w:fill="CCEEFF" w:val="clear"/>
            <w:vAlign w:val="bottom"/>
          </w:tcPr>
          <w:p>
            <w:pPr>
              <w:pStyle w:val="TableContents"/>
              <w:bidi w:val="0"/>
              <w:spacing w:before="0" w:after="283"/>
              <w:jc w:val="left"/>
              <w:rPr>
                <w:sz w:val="20"/>
              </w:rPr>
            </w:pPr>
            <w:r>
              <w:rPr>
                <w:sz w:val="20"/>
              </w:rPr>
              <w:t>)</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shd w:fill="CCEEFF" w:val="clear"/>
            <w:tcMar>
              <w:bottom w:w="28" w:type="dxa"/>
            </w:tcMar>
            <w:vAlign w:val="bottom"/>
          </w:tcPr>
          <w:p>
            <w:pPr>
              <w:pStyle w:val="TableContents"/>
              <w:bidi w:val="0"/>
              <w:spacing w:before="0" w:after="283"/>
              <w:jc w:val="right"/>
              <w:rPr>
                <w:sz w:val="20"/>
              </w:rPr>
            </w:pPr>
            <w:r>
              <w:rPr>
                <w:sz w:val="20"/>
              </w:rPr>
              <w:t>12,389</w:t>
            </w:r>
          </w:p>
        </w:tc>
        <w:tc>
          <w:tcPr>
            <w:tcW w:w="80" w:type="dxa"/>
            <w:tcBorders/>
            <w:shd w:fill="CCEEFF" w:val="clear"/>
            <w:vAlign w:val="bottom"/>
          </w:tcPr>
          <w:p>
            <w:pPr>
              <w:pStyle w:val="TableContents"/>
              <w:bidi w:val="0"/>
              <w:spacing w:before="0" w:after="283"/>
              <w:jc w:val="left"/>
              <w:rPr/>
            </w:pPr>
            <w:r>
              <w:rPr/>
              <w:t> </w:t>
            </w:r>
          </w:p>
        </w:tc>
      </w:tr>
      <w:tr>
        <w:trPr/>
        <w:tc>
          <w:tcPr>
            <w:tcW w:w="60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r>
      <w:tr>
        <w:trPr/>
        <w:tc>
          <w:tcPr>
            <w:tcW w:w="6065" w:type="dxa"/>
            <w:tcBorders/>
            <w:shd w:fill="CCEEFF" w:val="clear"/>
            <w:vAlign w:val="bottom"/>
          </w:tcPr>
          <w:p>
            <w:pPr>
              <w:pStyle w:val="TableContents"/>
              <w:bidi w:val="0"/>
              <w:spacing w:before="0" w:after="0"/>
              <w:jc w:val="left"/>
              <w:rPr>
                <w:sz w:val="20"/>
              </w:rPr>
            </w:pPr>
            <w:r>
              <w:rPr>
                <w:sz w:val="20"/>
              </w:rPr>
              <w:t>Loss before income taxes expenses</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sz w:val="20"/>
              </w:rPr>
            </w:pPr>
            <w:r>
              <w:rPr>
                <w:sz w:val="20"/>
              </w:rPr>
              <w:t>(23,136</w:t>
            </w:r>
          </w:p>
        </w:tc>
        <w:tc>
          <w:tcPr>
            <w:tcW w:w="80" w:type="dxa"/>
            <w:tcBorders/>
            <w:shd w:fill="CCEEFF" w:val="clear"/>
            <w:vAlign w:val="bottom"/>
          </w:tcPr>
          <w:p>
            <w:pPr>
              <w:pStyle w:val="TableContents"/>
              <w:bidi w:val="0"/>
              <w:spacing w:before="0" w:after="0"/>
              <w:jc w:val="left"/>
              <w:rPr>
                <w:sz w:val="20"/>
              </w:rPr>
            </w:pPr>
            <w:r>
              <w:rPr>
                <w:sz w:val="20"/>
              </w:rPr>
              <w:t>)</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sz w:val="20"/>
              </w:rPr>
            </w:pPr>
            <w:r>
              <w:rPr>
                <w:sz w:val="20"/>
              </w:rPr>
              <w:t>(25,020</w:t>
            </w:r>
          </w:p>
        </w:tc>
        <w:tc>
          <w:tcPr>
            <w:tcW w:w="80" w:type="dxa"/>
            <w:tcBorders/>
            <w:shd w:fill="CCEEFF" w:val="clear"/>
            <w:vAlign w:val="bottom"/>
          </w:tcPr>
          <w:p>
            <w:pPr>
              <w:pStyle w:val="TableContents"/>
              <w:bidi w:val="0"/>
              <w:spacing w:before="0" w:after="0"/>
              <w:jc w:val="left"/>
              <w:rPr>
                <w:sz w:val="20"/>
              </w:rPr>
            </w:pPr>
            <w:r>
              <w:rPr>
                <w:sz w:val="20"/>
              </w:rPr>
              <w:t>)</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283"/>
              <w:jc w:val="right"/>
              <w:rPr>
                <w:sz w:val="20"/>
              </w:rPr>
            </w:pPr>
            <w:r>
              <w:rPr>
                <w:sz w:val="20"/>
              </w:rPr>
              <w:t>(83,915</w:t>
            </w:r>
          </w:p>
        </w:tc>
        <w:tc>
          <w:tcPr>
            <w:tcW w:w="80" w:type="dxa"/>
            <w:tcBorders/>
            <w:shd w:fill="CCEEFF" w:val="clear"/>
            <w:vAlign w:val="bottom"/>
          </w:tcPr>
          <w:p>
            <w:pPr>
              <w:pStyle w:val="TableContents"/>
              <w:bidi w:val="0"/>
              <w:spacing w:before="0" w:after="283"/>
              <w:jc w:val="left"/>
              <w:rPr>
                <w:sz w:val="20"/>
              </w:rPr>
            </w:pPr>
            <w:r>
              <w:rPr>
                <w:sz w:val="20"/>
              </w:rPr>
              <w:t>)</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283"/>
              <w:jc w:val="right"/>
              <w:rPr>
                <w:sz w:val="20"/>
              </w:rPr>
            </w:pPr>
            <w:r>
              <w:rPr>
                <w:sz w:val="20"/>
              </w:rPr>
              <w:t>(26,311</w:t>
            </w:r>
          </w:p>
        </w:tc>
        <w:tc>
          <w:tcPr>
            <w:tcW w:w="80" w:type="dxa"/>
            <w:tcBorders/>
            <w:shd w:fill="CCEEFF" w:val="clear"/>
            <w:vAlign w:val="bottom"/>
          </w:tcPr>
          <w:p>
            <w:pPr>
              <w:pStyle w:val="TableContents"/>
              <w:bidi w:val="0"/>
              <w:spacing w:before="0" w:after="283"/>
              <w:jc w:val="left"/>
              <w:rPr>
                <w:sz w:val="20"/>
              </w:rPr>
            </w:pPr>
            <w:r>
              <w:rPr>
                <w:sz w:val="20"/>
              </w:rPr>
              <w:t>)</w:t>
            </w:r>
          </w:p>
        </w:tc>
      </w:tr>
      <w:tr>
        <w:trPr/>
        <w:tc>
          <w:tcPr>
            <w:tcW w:w="6065" w:type="dxa"/>
            <w:tcBorders/>
            <w:vAlign w:val="bottom"/>
          </w:tcPr>
          <w:p>
            <w:pPr>
              <w:pStyle w:val="TableContents"/>
              <w:bidi w:val="0"/>
              <w:spacing w:before="0" w:after="0"/>
              <w:jc w:val="left"/>
              <w:rPr>
                <w:sz w:val="20"/>
              </w:rPr>
            </w:pPr>
            <w:r>
              <w:rPr>
                <w:sz w:val="20"/>
              </w:rPr>
              <w:t>Income tax expenses</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tcMar>
              <w:bottom w:w="28" w:type="dxa"/>
            </w:tcMar>
            <w:vAlign w:val="bottom"/>
          </w:tcPr>
          <w:p>
            <w:pPr>
              <w:pStyle w:val="TableContents"/>
              <w:bidi w:val="0"/>
              <w:spacing w:before="0" w:after="0"/>
              <w:jc w:val="right"/>
              <w:rPr/>
            </w:pPr>
            <w:r>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tcMar>
              <w:bottom w:w="28" w:type="dxa"/>
            </w:tcMar>
            <w:vAlign w:val="bottom"/>
          </w:tcPr>
          <w:p>
            <w:pPr>
              <w:pStyle w:val="TableContents"/>
              <w:bidi w:val="0"/>
              <w:spacing w:before="0" w:after="0"/>
              <w:jc w:val="right"/>
              <w:rPr>
                <w:sz w:val="20"/>
              </w:rPr>
            </w:pPr>
            <w:r>
              <w:rPr>
                <w:sz w:val="20"/>
              </w:rPr>
              <w:t>(1,006</w:t>
            </w:r>
          </w:p>
        </w:tc>
        <w:tc>
          <w:tcPr>
            <w:tcW w:w="80" w:type="dxa"/>
            <w:tcBorders/>
            <w:vAlign w:val="bottom"/>
          </w:tcPr>
          <w:p>
            <w:pPr>
              <w:pStyle w:val="TableContents"/>
              <w:bidi w:val="0"/>
              <w:spacing w:before="0" w:after="0"/>
              <w:jc w:val="left"/>
              <w:rPr>
                <w:sz w:val="20"/>
              </w:rPr>
            </w:pPr>
            <w:r>
              <w:rPr>
                <w:sz w:val="20"/>
              </w:rPr>
              <w:t>)</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tcMar>
              <w:bottom w:w="28" w:type="dxa"/>
            </w:tcMar>
            <w:vAlign w:val="bottom"/>
          </w:tcPr>
          <w:p>
            <w:pPr>
              <w:pStyle w:val="TableContents"/>
              <w:bidi w:val="0"/>
              <w:spacing w:before="0" w:after="283"/>
              <w:jc w:val="right"/>
              <w:rPr>
                <w:sz w:val="20"/>
              </w:rPr>
            </w:pPr>
            <w:r>
              <w:rPr>
                <w:sz w:val="20"/>
              </w:rPr>
              <w:t>(1,848</w:t>
            </w:r>
          </w:p>
        </w:tc>
        <w:tc>
          <w:tcPr>
            <w:tcW w:w="80" w:type="dxa"/>
            <w:tcBorders/>
            <w:vAlign w:val="bottom"/>
          </w:tcPr>
          <w:p>
            <w:pPr>
              <w:pStyle w:val="TableContents"/>
              <w:bidi w:val="0"/>
              <w:spacing w:before="0" w:after="283"/>
              <w:jc w:val="left"/>
              <w:rPr>
                <w:sz w:val="20"/>
              </w:rPr>
            </w:pPr>
            <w:r>
              <w:rPr>
                <w:sz w:val="20"/>
              </w:rPr>
              <w:t>)</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tcMar>
              <w:bottom w:w="28" w:type="dxa"/>
            </w:tcMar>
            <w:vAlign w:val="bottom"/>
          </w:tcPr>
          <w:p>
            <w:pPr>
              <w:pStyle w:val="TableContents"/>
              <w:bidi w:val="0"/>
              <w:spacing w:before="0" w:after="283"/>
              <w:jc w:val="right"/>
              <w:rPr>
                <w:sz w:val="20"/>
              </w:rPr>
            </w:pPr>
            <w:r>
              <w:rPr>
                <w:sz w:val="20"/>
              </w:rPr>
              <w:t>(848</w:t>
            </w:r>
          </w:p>
        </w:tc>
        <w:tc>
          <w:tcPr>
            <w:tcW w:w="80" w:type="dxa"/>
            <w:tcBorders/>
            <w:vAlign w:val="bottom"/>
          </w:tcPr>
          <w:p>
            <w:pPr>
              <w:pStyle w:val="TableContents"/>
              <w:bidi w:val="0"/>
              <w:spacing w:before="0" w:after="283"/>
              <w:jc w:val="left"/>
              <w:rPr>
                <w:sz w:val="20"/>
              </w:rPr>
            </w:pPr>
            <w:r>
              <w:rPr>
                <w:sz w:val="20"/>
              </w:rPr>
              <w:t>)</w:t>
            </w:r>
          </w:p>
        </w:tc>
      </w:tr>
      <w:tr>
        <w:trPr/>
        <w:tc>
          <w:tcPr>
            <w:tcW w:w="6065" w:type="dxa"/>
            <w:tcBorders/>
            <w:shd w:fill="CCEEFF" w:val="clear"/>
            <w:vAlign w:val="bottom"/>
          </w:tcPr>
          <w:p>
            <w:pPr>
              <w:pStyle w:val="TableContents"/>
              <w:bidi w:val="0"/>
              <w:spacing w:before="0" w:after="0"/>
              <w:jc w:val="left"/>
              <w:rPr>
                <w:sz w:val="20"/>
              </w:rPr>
            </w:pPr>
            <w:r>
              <w:rPr>
                <w:sz w:val="20"/>
              </w:rPr>
              <w:t>Net loss</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0"/>
              <w:jc w:val="left"/>
              <w:rPr>
                <w:sz w:val="20"/>
              </w:rPr>
            </w:pPr>
            <w:r>
              <w:rPr>
                <w:sz w:val="20"/>
              </w:rPr>
              <w:t>$</w:t>
            </w:r>
          </w:p>
        </w:tc>
        <w:tc>
          <w:tcPr>
            <w:tcW w:w="695" w:type="dxa"/>
            <w:tcBorders>
              <w:bottom w:val="single" w:sz="12" w:space="0" w:color="000000"/>
            </w:tcBorders>
            <w:shd w:fill="CCEEFF" w:val="clear"/>
            <w:tcMar>
              <w:bottom w:w="28" w:type="dxa"/>
            </w:tcMar>
            <w:vAlign w:val="bottom"/>
          </w:tcPr>
          <w:p>
            <w:pPr>
              <w:pStyle w:val="TableContents"/>
              <w:bidi w:val="0"/>
              <w:spacing w:before="0" w:after="0"/>
              <w:jc w:val="right"/>
              <w:rPr>
                <w:sz w:val="20"/>
              </w:rPr>
            </w:pPr>
            <w:r>
              <w:rPr>
                <w:sz w:val="20"/>
              </w:rPr>
              <w:t>(23,136</w:t>
            </w:r>
          </w:p>
        </w:tc>
        <w:tc>
          <w:tcPr>
            <w:tcW w:w="80" w:type="dxa"/>
            <w:tcBorders/>
            <w:shd w:fill="CCEEFF" w:val="clear"/>
            <w:vAlign w:val="bottom"/>
          </w:tcPr>
          <w:p>
            <w:pPr>
              <w:pStyle w:val="TableContents"/>
              <w:bidi w:val="0"/>
              <w:spacing w:before="0" w:after="0"/>
              <w:jc w:val="left"/>
              <w:rPr>
                <w:sz w:val="20"/>
              </w:rPr>
            </w:pPr>
            <w:r>
              <w:rPr>
                <w:sz w:val="20"/>
              </w:rPr>
              <w:t>)</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0"/>
              <w:jc w:val="left"/>
              <w:rPr>
                <w:sz w:val="20"/>
              </w:rPr>
            </w:pPr>
            <w:r>
              <w:rPr>
                <w:sz w:val="20"/>
              </w:rPr>
              <w:t>$</w:t>
            </w:r>
          </w:p>
        </w:tc>
        <w:tc>
          <w:tcPr>
            <w:tcW w:w="695" w:type="dxa"/>
            <w:tcBorders>
              <w:bottom w:val="single" w:sz="12" w:space="0" w:color="000000"/>
            </w:tcBorders>
            <w:shd w:fill="CCEEFF" w:val="clear"/>
            <w:tcMar>
              <w:bottom w:w="28" w:type="dxa"/>
            </w:tcMar>
            <w:vAlign w:val="bottom"/>
          </w:tcPr>
          <w:p>
            <w:pPr>
              <w:pStyle w:val="TableContents"/>
              <w:bidi w:val="0"/>
              <w:spacing w:before="0" w:after="0"/>
              <w:jc w:val="right"/>
              <w:rPr>
                <w:sz w:val="20"/>
              </w:rPr>
            </w:pPr>
            <w:r>
              <w:rPr>
                <w:sz w:val="20"/>
              </w:rPr>
              <w:t>(26,026</w:t>
            </w:r>
          </w:p>
        </w:tc>
        <w:tc>
          <w:tcPr>
            <w:tcW w:w="80" w:type="dxa"/>
            <w:tcBorders/>
            <w:shd w:fill="CCEEFF" w:val="clear"/>
            <w:vAlign w:val="bottom"/>
          </w:tcPr>
          <w:p>
            <w:pPr>
              <w:pStyle w:val="TableContents"/>
              <w:bidi w:val="0"/>
              <w:spacing w:before="0" w:after="0"/>
              <w:jc w:val="left"/>
              <w:rPr>
                <w:sz w:val="20"/>
              </w:rPr>
            </w:pPr>
            <w:r>
              <w:rPr>
                <w:sz w:val="20"/>
              </w:rPr>
              <w:t>)</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sz w:val="20"/>
              </w:rPr>
            </w:pPr>
            <w:r>
              <w:rPr>
                <w:sz w:val="20"/>
              </w:rPr>
              <w:t>$</w:t>
            </w:r>
          </w:p>
        </w:tc>
        <w:tc>
          <w:tcPr>
            <w:tcW w:w="845" w:type="dxa"/>
            <w:tcBorders>
              <w:bottom w:val="single" w:sz="12" w:space="0" w:color="000000"/>
            </w:tcBorders>
            <w:shd w:fill="CCEEFF" w:val="clear"/>
            <w:tcMar>
              <w:bottom w:w="28" w:type="dxa"/>
            </w:tcMar>
            <w:vAlign w:val="bottom"/>
          </w:tcPr>
          <w:p>
            <w:pPr>
              <w:pStyle w:val="TableContents"/>
              <w:bidi w:val="0"/>
              <w:spacing w:before="0" w:after="283"/>
              <w:jc w:val="right"/>
              <w:rPr>
                <w:sz w:val="20"/>
              </w:rPr>
            </w:pPr>
            <w:r>
              <w:rPr>
                <w:sz w:val="20"/>
              </w:rPr>
              <w:t>(85,763</w:t>
            </w:r>
          </w:p>
        </w:tc>
        <w:tc>
          <w:tcPr>
            <w:tcW w:w="80" w:type="dxa"/>
            <w:tcBorders/>
            <w:shd w:fill="CCEEFF" w:val="clear"/>
            <w:vAlign w:val="bottom"/>
          </w:tcPr>
          <w:p>
            <w:pPr>
              <w:pStyle w:val="TableContents"/>
              <w:bidi w:val="0"/>
              <w:spacing w:before="0" w:after="283"/>
              <w:jc w:val="left"/>
              <w:rPr>
                <w:sz w:val="20"/>
              </w:rPr>
            </w:pPr>
            <w:r>
              <w:rPr>
                <w:sz w:val="20"/>
              </w:rPr>
              <w:t>)</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sz w:val="20"/>
              </w:rPr>
            </w:pPr>
            <w:r>
              <w:rPr>
                <w:sz w:val="20"/>
              </w:rPr>
              <w:t>$</w:t>
            </w:r>
          </w:p>
        </w:tc>
        <w:tc>
          <w:tcPr>
            <w:tcW w:w="845" w:type="dxa"/>
            <w:tcBorders>
              <w:bottom w:val="single" w:sz="12" w:space="0" w:color="000000"/>
            </w:tcBorders>
            <w:shd w:fill="CCEEFF" w:val="clear"/>
            <w:tcMar>
              <w:bottom w:w="28" w:type="dxa"/>
            </w:tcMar>
            <w:vAlign w:val="bottom"/>
          </w:tcPr>
          <w:p>
            <w:pPr>
              <w:pStyle w:val="TableContents"/>
              <w:bidi w:val="0"/>
              <w:spacing w:before="0" w:after="283"/>
              <w:jc w:val="right"/>
              <w:rPr>
                <w:sz w:val="20"/>
              </w:rPr>
            </w:pPr>
            <w:r>
              <w:rPr>
                <w:sz w:val="20"/>
              </w:rPr>
              <w:t>(27,159</w:t>
            </w:r>
          </w:p>
        </w:tc>
        <w:tc>
          <w:tcPr>
            <w:tcW w:w="80" w:type="dxa"/>
            <w:tcBorders/>
            <w:shd w:fill="CCEEFF" w:val="clear"/>
            <w:vAlign w:val="bottom"/>
          </w:tcPr>
          <w:p>
            <w:pPr>
              <w:pStyle w:val="TableContents"/>
              <w:bidi w:val="0"/>
              <w:spacing w:before="0" w:after="283"/>
              <w:jc w:val="left"/>
              <w:rPr>
                <w:sz w:val="20"/>
              </w:rPr>
            </w:pPr>
            <w:r>
              <w:rPr>
                <w:sz w:val="20"/>
              </w:rPr>
              <w:t>)</w:t>
            </w:r>
          </w:p>
        </w:tc>
      </w:tr>
      <w:tr>
        <w:trPr/>
        <w:tc>
          <w:tcPr>
            <w:tcW w:w="60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r>
      <w:tr>
        <w:trPr/>
        <w:tc>
          <w:tcPr>
            <w:tcW w:w="6065" w:type="dxa"/>
            <w:tcBorders/>
            <w:shd w:fill="CCEEFF" w:val="clear"/>
            <w:vAlign w:val="bottom"/>
          </w:tcPr>
          <w:p>
            <w:pPr>
              <w:pStyle w:val="TableContents"/>
              <w:bidi w:val="0"/>
              <w:spacing w:before="0" w:after="0"/>
              <w:ind w:left="180" w:right="0" w:hanging="180"/>
              <w:jc w:val="left"/>
              <w:rPr>
                <w:sz w:val="20"/>
              </w:rPr>
            </w:pPr>
            <w:r>
              <w:rPr>
                <w:sz w:val="20"/>
              </w:rPr>
              <w:t>Net loss per share attributable to Ordinary and Non-voting Ordinary shareholders, basic and diluted</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sz w:val="20"/>
              </w:rPr>
            </w:pPr>
            <w:r>
              <w:rPr>
                <w:sz w:val="20"/>
              </w:rPr>
              <w:t>$</w:t>
            </w:r>
          </w:p>
        </w:tc>
        <w:tc>
          <w:tcPr>
            <w:tcW w:w="695" w:type="dxa"/>
            <w:tcBorders/>
            <w:shd w:fill="CCEEFF" w:val="clear"/>
            <w:vAlign w:val="bottom"/>
          </w:tcPr>
          <w:p>
            <w:pPr>
              <w:pStyle w:val="TableContents"/>
              <w:bidi w:val="0"/>
              <w:spacing w:before="0" w:after="0"/>
              <w:jc w:val="right"/>
              <w:rPr>
                <w:sz w:val="20"/>
              </w:rPr>
            </w:pPr>
            <w:r>
              <w:rPr>
                <w:sz w:val="20"/>
              </w:rPr>
              <w:t>(0.07</w:t>
            </w:r>
          </w:p>
        </w:tc>
        <w:tc>
          <w:tcPr>
            <w:tcW w:w="80" w:type="dxa"/>
            <w:tcBorders/>
            <w:shd w:fill="CCEEFF" w:val="clear"/>
            <w:vAlign w:val="bottom"/>
          </w:tcPr>
          <w:p>
            <w:pPr>
              <w:pStyle w:val="TableContents"/>
              <w:bidi w:val="0"/>
              <w:spacing w:before="0" w:after="0"/>
              <w:jc w:val="left"/>
              <w:rPr>
                <w:sz w:val="20"/>
              </w:rPr>
            </w:pPr>
            <w:r>
              <w:rPr>
                <w:sz w:val="20"/>
              </w:rPr>
              <w:t>)</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sz w:val="20"/>
              </w:rPr>
            </w:pPr>
            <w:r>
              <w:rPr>
                <w:sz w:val="20"/>
              </w:rPr>
              <w:t>$</w:t>
            </w:r>
          </w:p>
        </w:tc>
        <w:tc>
          <w:tcPr>
            <w:tcW w:w="695" w:type="dxa"/>
            <w:tcBorders/>
            <w:shd w:fill="CCEEFF" w:val="clear"/>
            <w:vAlign w:val="bottom"/>
          </w:tcPr>
          <w:p>
            <w:pPr>
              <w:pStyle w:val="TableContents"/>
              <w:bidi w:val="0"/>
              <w:spacing w:before="0" w:after="0"/>
              <w:jc w:val="right"/>
              <w:rPr>
                <w:sz w:val="20"/>
              </w:rPr>
            </w:pPr>
            <w:r>
              <w:rPr>
                <w:sz w:val="20"/>
              </w:rPr>
              <w:t>(0.10</w:t>
            </w:r>
          </w:p>
        </w:tc>
        <w:tc>
          <w:tcPr>
            <w:tcW w:w="80" w:type="dxa"/>
            <w:tcBorders/>
            <w:shd w:fill="CCEEFF" w:val="clear"/>
            <w:vAlign w:val="bottom"/>
          </w:tcPr>
          <w:p>
            <w:pPr>
              <w:pStyle w:val="TableContents"/>
              <w:bidi w:val="0"/>
              <w:spacing w:before="0" w:after="0"/>
              <w:jc w:val="left"/>
              <w:rPr>
                <w:sz w:val="20"/>
              </w:rPr>
            </w:pPr>
            <w:r>
              <w:rPr>
                <w:sz w:val="20"/>
              </w:rPr>
              <w:t>)</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sz w:val="20"/>
              </w:rPr>
            </w:pPr>
            <w:r>
              <w:rPr>
                <w:sz w:val="20"/>
              </w:rPr>
              <w:t>$</w:t>
            </w:r>
          </w:p>
        </w:tc>
        <w:tc>
          <w:tcPr>
            <w:tcW w:w="845" w:type="dxa"/>
            <w:tcBorders/>
            <w:shd w:fill="CCEEFF" w:val="clear"/>
            <w:vAlign w:val="bottom"/>
          </w:tcPr>
          <w:p>
            <w:pPr>
              <w:pStyle w:val="TableContents"/>
              <w:bidi w:val="0"/>
              <w:spacing w:before="0" w:after="283"/>
              <w:jc w:val="right"/>
              <w:rPr>
                <w:sz w:val="20"/>
              </w:rPr>
            </w:pPr>
            <w:r>
              <w:rPr>
                <w:sz w:val="20"/>
              </w:rPr>
              <w:t>(0.25</w:t>
            </w:r>
          </w:p>
        </w:tc>
        <w:tc>
          <w:tcPr>
            <w:tcW w:w="80" w:type="dxa"/>
            <w:tcBorders/>
            <w:shd w:fill="CCEEFF" w:val="clear"/>
            <w:vAlign w:val="bottom"/>
          </w:tcPr>
          <w:p>
            <w:pPr>
              <w:pStyle w:val="TableContents"/>
              <w:bidi w:val="0"/>
              <w:spacing w:before="0" w:after="283"/>
              <w:jc w:val="left"/>
              <w:rPr>
                <w:sz w:val="20"/>
              </w:rPr>
            </w:pPr>
            <w:r>
              <w:rPr>
                <w:sz w:val="20"/>
              </w:rPr>
              <w:t>)</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sz w:val="20"/>
              </w:rPr>
            </w:pPr>
            <w:r>
              <w:rPr>
                <w:sz w:val="20"/>
              </w:rPr>
              <w:t>$</w:t>
            </w:r>
          </w:p>
        </w:tc>
        <w:tc>
          <w:tcPr>
            <w:tcW w:w="845" w:type="dxa"/>
            <w:tcBorders/>
            <w:shd w:fill="CCEEFF" w:val="clear"/>
            <w:vAlign w:val="bottom"/>
          </w:tcPr>
          <w:p>
            <w:pPr>
              <w:pStyle w:val="TableContents"/>
              <w:bidi w:val="0"/>
              <w:spacing w:before="0" w:after="283"/>
              <w:jc w:val="right"/>
              <w:rPr>
                <w:sz w:val="20"/>
              </w:rPr>
            </w:pPr>
            <w:r>
              <w:rPr>
                <w:sz w:val="20"/>
              </w:rPr>
              <w:t>(0.11</w:t>
            </w:r>
          </w:p>
        </w:tc>
        <w:tc>
          <w:tcPr>
            <w:tcW w:w="80" w:type="dxa"/>
            <w:tcBorders/>
            <w:shd w:fill="CCEEFF" w:val="clear"/>
            <w:vAlign w:val="bottom"/>
          </w:tcPr>
          <w:p>
            <w:pPr>
              <w:pStyle w:val="TableContents"/>
              <w:bidi w:val="0"/>
              <w:spacing w:before="0" w:after="283"/>
              <w:jc w:val="left"/>
              <w:rPr>
                <w:sz w:val="20"/>
              </w:rPr>
            </w:pPr>
            <w:r>
              <w:rPr>
                <w:sz w:val="20"/>
              </w:rPr>
              <w:t>)</w:t>
            </w:r>
          </w:p>
        </w:tc>
      </w:tr>
    </w:tbl>
    <w:p>
      <w:pPr>
        <w:pStyle w:val="TextBody"/>
        <w:bidi w:val="0"/>
        <w:spacing w:before="0" w:after="0"/>
        <w:jc w:val="both"/>
        <w:rPr/>
      </w:pPr>
      <w:r>
        <w:rPr/>
      </w:r>
    </w:p>
    <w:p>
      <w:pPr>
        <w:pStyle w:val="TextBody"/>
        <w:bidi w:val="0"/>
        <w:spacing w:before="0" w:after="0"/>
        <w:jc w:val="center"/>
        <w:rPr>
          <w:rFonts w:ascii="Times New Roman" w:hAnsi="Times New Roman"/>
          <w:b w:val="false"/>
          <w:color w:val="000000"/>
          <w:sz w:val="20"/>
          <w:shd w:fill="FFFFFF" w:val="clear"/>
        </w:rPr>
      </w:pPr>
      <w:r>
        <w:rPr>
          <w:rFonts w:ascii="Times New Roman" w:hAnsi="Times New Roman"/>
          <w:b w:val="false"/>
          <w:color w:val="000000"/>
          <w:sz w:val="20"/>
          <w:shd w:fill="FFFFFF" w:val="clear"/>
        </w:rPr>
        <w:t>The accompanying notes are an integral part of these unaudited consolidated interim financial statements.</w:t>
      </w:r>
    </w:p>
    <w:p>
      <w:pPr>
        <w:pStyle w:val="TextBody"/>
        <w:bidi w:val="0"/>
        <w:spacing w:before="0" w:after="0"/>
        <w:jc w:val="both"/>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5</w:t>
      </w:r>
    </w:p>
    <w:p>
      <w:pPr>
        <w:pStyle w:val="HorizontalLine"/>
        <w:bidi w:val="0"/>
        <w:spacing w:before="200" w:after="200"/>
        <w:jc w:val="both"/>
        <w:rPr/>
      </w:pPr>
      <w:r>
        <w:rPr/>
      </w:r>
    </w:p>
    <w:p>
      <w:pPr>
        <w:pStyle w:val="TextBody"/>
        <w:bidi w:val="0"/>
        <w:spacing w:before="200" w:after="200"/>
        <w:jc w:val="both"/>
        <w:rPr/>
      </w:pPr>
      <w:hyperlink w:anchor="Contents">
        <w:r>
          <w:rPr>
            <w:rStyle w:val="InternetLink"/>
            <w:rFonts w:ascii="Times New Roman" w:hAnsi="Times New Roman"/>
            <w:b w:val="false"/>
            <w:i/>
            <w:color w:val="000000"/>
            <w:sz w:val="16"/>
            <w:shd w:fill="FFFFFF" w:val="clear"/>
          </w:rPr>
          <w:t>Table of Contents</w:t>
        </w:r>
      </w:hyperlink>
    </w:p>
    <w:p>
      <w:pPr>
        <w:pStyle w:val="TextBody"/>
        <w:bidi w:val="0"/>
        <w:spacing w:before="0" w:after="0"/>
        <w:jc w:val="right"/>
        <w:rPr>
          <w:rFonts w:ascii="Times New Roman" w:hAnsi="Times New Roman"/>
          <w:b/>
          <w:color w:val="000000"/>
          <w:sz w:val="20"/>
          <w:shd w:fill="FFFFFF" w:val="clear"/>
        </w:rPr>
      </w:pPr>
      <w:r>
        <w:rPr>
          <w:rFonts w:ascii="Times New Roman" w:hAnsi="Times New Roman"/>
          <w:b/>
          <w:color w:val="000000"/>
          <w:sz w:val="20"/>
          <w:shd w:fill="FFFFFF" w:val="clear"/>
        </w:rPr>
        <w:t>TABOOLA.COM LTD.</w:t>
      </w:r>
    </w:p>
    <w:p>
      <w:pPr>
        <w:pStyle w:val="TextBody"/>
        <w:bidi w:val="0"/>
        <w:spacing w:before="0" w:after="0"/>
        <w:jc w:val="right"/>
        <w:rPr>
          <w:b/>
        </w:rPr>
      </w:pPr>
      <w:r>
        <w:rPr>
          <w:b/>
        </w:rPr>
      </w:r>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 xml:space="preserve">CONSOLIDATED INTERIM STATEMENTS OF </w:t>
      </w:r>
      <w:bookmarkStart w:id="7" w:name="COMPREHENSIVE"/>
      <w:bookmarkEnd w:id="7"/>
      <w:r>
        <w:rPr>
          <w:rFonts w:ascii="Times New Roman" w:hAnsi="Times New Roman"/>
          <w:b/>
          <w:color w:val="000000"/>
          <w:sz w:val="20"/>
          <w:shd w:fill="FFFFFF" w:val="clear"/>
        </w:rPr>
        <w:t xml:space="preserve">COMPREHENSIVE LOSS </w:t>
      </w:r>
    </w:p>
    <w:p>
      <w:pPr>
        <w:pStyle w:val="HorizontalLine"/>
        <w:bidi w:val="0"/>
        <w:jc w:val="both"/>
        <w:rPr/>
      </w:pPr>
      <w:r>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U.S. dollars in thousands</w:t>
      </w:r>
    </w:p>
    <w:p>
      <w:pPr>
        <w:pStyle w:val="TextBody"/>
        <w:bidi w:val="0"/>
        <w:spacing w:before="0" w:after="0"/>
        <w:jc w:val="both"/>
        <w:rPr/>
      </w:pPr>
      <w:r>
        <w:rPr/>
      </w:r>
    </w:p>
    <w:tbl>
      <w:tblPr>
        <w:tblW w:w="9191" w:type="dxa"/>
        <w:jc w:val="left"/>
        <w:tblInd w:w="0" w:type="dxa"/>
        <w:tblLayout w:type="fixed"/>
        <w:tblCellMar>
          <w:top w:w="0" w:type="dxa"/>
          <w:left w:w="0" w:type="dxa"/>
          <w:bottom w:w="0" w:type="dxa"/>
          <w:right w:w="0" w:type="dxa"/>
        </w:tblCellMar>
      </w:tblPr>
      <w:tblGrid>
        <w:gridCol w:w="5495"/>
        <w:gridCol w:w="60"/>
        <w:gridCol w:w="127"/>
        <w:gridCol w:w="665"/>
        <w:gridCol w:w="81"/>
        <w:gridCol w:w="61"/>
        <w:gridCol w:w="127"/>
        <w:gridCol w:w="665"/>
        <w:gridCol w:w="80"/>
        <w:gridCol w:w="60"/>
        <w:gridCol w:w="125"/>
        <w:gridCol w:w="650"/>
        <w:gridCol w:w="80"/>
        <w:gridCol w:w="60"/>
        <w:gridCol w:w="125"/>
        <w:gridCol w:w="650"/>
        <w:gridCol w:w="80"/>
      </w:tblGrid>
      <w:tr>
        <w:trPr/>
        <w:tc>
          <w:tcPr>
            <w:tcW w:w="54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26" w:type="dxa"/>
            <w:gridSpan w:val="6"/>
            <w:tcBorders>
              <w:bottom w:val="single" w:sz="12" w:space="0" w:color="000000"/>
            </w:tcBorders>
            <w:tcMar>
              <w:bottom w:w="28" w:type="dxa"/>
            </w:tcMar>
            <w:vAlign w:val="bottom"/>
          </w:tcPr>
          <w:p>
            <w:pPr>
              <w:pStyle w:val="TableContents"/>
              <w:bidi w:val="0"/>
              <w:spacing w:before="0" w:after="0"/>
              <w:jc w:val="center"/>
              <w:rPr>
                <w:b/>
                <w:sz w:val="20"/>
              </w:rPr>
            </w:pPr>
            <w:r>
              <w:rPr>
                <w:b/>
                <w:sz w:val="20"/>
              </w:rPr>
              <w:t>Three months ended</w:t>
            </w:r>
          </w:p>
          <w:p>
            <w:pPr>
              <w:pStyle w:val="TableContents"/>
              <w:bidi w:val="0"/>
              <w:spacing w:before="0" w:after="0"/>
              <w:jc w:val="center"/>
              <w:rPr>
                <w:b/>
                <w:sz w:val="20"/>
              </w:rPr>
            </w:pPr>
            <w:r>
              <w:rPr>
                <w:b/>
                <w:sz w:val="20"/>
              </w:rPr>
              <w:t>September 30,</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90" w:type="dxa"/>
            <w:gridSpan w:val="6"/>
            <w:tcBorders>
              <w:bottom w:val="single" w:sz="12" w:space="0" w:color="000000"/>
            </w:tcBorders>
            <w:tcMar>
              <w:bottom w:w="28" w:type="dxa"/>
            </w:tcMar>
            <w:vAlign w:val="bottom"/>
          </w:tcPr>
          <w:p>
            <w:pPr>
              <w:pStyle w:val="TableContents"/>
              <w:bidi w:val="0"/>
              <w:spacing w:before="0" w:after="0"/>
              <w:jc w:val="center"/>
              <w:rPr>
                <w:b/>
                <w:sz w:val="20"/>
              </w:rPr>
            </w:pPr>
            <w:r>
              <w:rPr>
                <w:b/>
                <w:sz w:val="20"/>
              </w:rPr>
              <w:t>Nine months ended</w:t>
            </w:r>
          </w:p>
          <w:p>
            <w:pPr>
              <w:pStyle w:val="TableContents"/>
              <w:bidi w:val="0"/>
              <w:spacing w:before="0" w:after="0"/>
              <w:jc w:val="center"/>
              <w:rPr>
                <w:b/>
                <w:sz w:val="20"/>
              </w:rPr>
            </w:pPr>
            <w:r>
              <w:rPr>
                <w:b/>
                <w:sz w:val="20"/>
              </w:rPr>
              <w:t>September 30,</w:t>
            </w:r>
          </w:p>
        </w:tc>
        <w:tc>
          <w:tcPr>
            <w:tcW w:w="80" w:type="dxa"/>
            <w:tcBorders/>
            <w:vAlign w:val="bottom"/>
          </w:tcPr>
          <w:p>
            <w:pPr>
              <w:pStyle w:val="TableContents"/>
              <w:bidi w:val="0"/>
              <w:spacing w:before="0" w:after="283"/>
              <w:jc w:val="left"/>
              <w:rPr/>
            </w:pPr>
            <w:r>
              <w:rPr/>
              <w:t> </w:t>
            </w:r>
          </w:p>
        </w:tc>
      </w:tr>
      <w:tr>
        <w:trPr/>
        <w:tc>
          <w:tcPr>
            <w:tcW w:w="54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92" w:type="dxa"/>
            <w:gridSpan w:val="2"/>
            <w:tcBorders>
              <w:bottom w:val="single" w:sz="12" w:space="0" w:color="000000"/>
            </w:tcBorders>
            <w:tcMar>
              <w:bottom w:w="28" w:type="dxa"/>
            </w:tcMar>
            <w:vAlign w:val="bottom"/>
          </w:tcPr>
          <w:p>
            <w:pPr>
              <w:pStyle w:val="TableContents"/>
              <w:bidi w:val="0"/>
              <w:spacing w:before="0" w:after="0"/>
              <w:jc w:val="center"/>
              <w:rPr>
                <w:b/>
                <w:sz w:val="20"/>
              </w:rPr>
            </w:pPr>
            <w:r>
              <w:rPr>
                <w:b/>
                <w:sz w:val="20"/>
              </w:rPr>
              <w:t>2023</w:t>
            </w:r>
          </w:p>
        </w:tc>
        <w:tc>
          <w:tcPr>
            <w:tcW w:w="81"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792" w:type="dxa"/>
            <w:gridSpan w:val="2"/>
            <w:tcBorders>
              <w:bottom w:val="single" w:sz="12" w:space="0" w:color="000000"/>
            </w:tcBorders>
            <w:tcMar>
              <w:bottom w:w="28" w:type="dxa"/>
            </w:tcMar>
            <w:vAlign w:val="bottom"/>
          </w:tcPr>
          <w:p>
            <w:pPr>
              <w:pStyle w:val="TableContents"/>
              <w:bidi w:val="0"/>
              <w:spacing w:before="0" w:after="0"/>
              <w:jc w:val="center"/>
              <w:rPr>
                <w:b/>
                <w:sz w:val="20"/>
              </w:rPr>
            </w:pPr>
            <w:r>
              <w:rPr>
                <w:b/>
                <w:sz w:val="20"/>
              </w:rPr>
              <w:t>2022</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center"/>
              <w:rPr/>
            </w:pPr>
            <w:r>
              <w:rPr/>
              <w:t> </w:t>
            </w:r>
          </w:p>
        </w:tc>
        <w:tc>
          <w:tcPr>
            <w:tcW w:w="775" w:type="dxa"/>
            <w:gridSpan w:val="2"/>
            <w:tcBorders>
              <w:bottom w:val="single" w:sz="12" w:space="0" w:color="000000"/>
            </w:tcBorders>
            <w:tcMar>
              <w:bottom w:w="28" w:type="dxa"/>
            </w:tcMar>
            <w:vAlign w:val="bottom"/>
          </w:tcPr>
          <w:p>
            <w:pPr>
              <w:pStyle w:val="TableContents"/>
              <w:bidi w:val="0"/>
              <w:spacing w:before="0" w:after="283"/>
              <w:jc w:val="center"/>
              <w:rPr>
                <w:b/>
                <w:sz w:val="20"/>
              </w:rPr>
            </w:pPr>
            <w:r>
              <w:rPr>
                <w:b/>
                <w:sz w:val="20"/>
              </w:rPr>
              <w:t>2023</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center"/>
              <w:rPr/>
            </w:pPr>
            <w:r>
              <w:rPr/>
              <w:t> </w:t>
            </w:r>
          </w:p>
        </w:tc>
        <w:tc>
          <w:tcPr>
            <w:tcW w:w="775" w:type="dxa"/>
            <w:gridSpan w:val="2"/>
            <w:tcBorders>
              <w:bottom w:val="single" w:sz="12" w:space="0" w:color="000000"/>
            </w:tcBorders>
            <w:tcMar>
              <w:bottom w:w="28" w:type="dxa"/>
            </w:tcMar>
            <w:vAlign w:val="bottom"/>
          </w:tcPr>
          <w:p>
            <w:pPr>
              <w:pStyle w:val="TableContents"/>
              <w:bidi w:val="0"/>
              <w:spacing w:before="0" w:after="283"/>
              <w:jc w:val="center"/>
              <w:rPr>
                <w:b/>
                <w:sz w:val="20"/>
              </w:rPr>
            </w:pPr>
            <w:r>
              <w:rPr>
                <w:b/>
                <w:sz w:val="20"/>
              </w:rPr>
              <w:t>2022</w:t>
            </w:r>
          </w:p>
        </w:tc>
        <w:tc>
          <w:tcPr>
            <w:tcW w:w="80" w:type="dxa"/>
            <w:tcBorders/>
            <w:vAlign w:val="bottom"/>
          </w:tcPr>
          <w:p>
            <w:pPr>
              <w:pStyle w:val="TableContents"/>
              <w:bidi w:val="0"/>
              <w:spacing w:before="0" w:after="283"/>
              <w:jc w:val="left"/>
              <w:rPr/>
            </w:pPr>
            <w:r>
              <w:rPr/>
              <w:t> </w:t>
            </w:r>
          </w:p>
        </w:tc>
      </w:tr>
      <w:tr>
        <w:trPr/>
        <w:tc>
          <w:tcPr>
            <w:tcW w:w="54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556" w:type="dxa"/>
            <w:gridSpan w:val="14"/>
            <w:tcBorders>
              <w:bottom w:val="single" w:sz="12" w:space="0" w:color="000000"/>
            </w:tcBorders>
            <w:tcMar>
              <w:bottom w:w="28" w:type="dxa"/>
            </w:tcMar>
            <w:vAlign w:val="bottom"/>
          </w:tcPr>
          <w:p>
            <w:pPr>
              <w:pStyle w:val="TableContents"/>
              <w:bidi w:val="0"/>
              <w:spacing w:before="0" w:after="0"/>
              <w:jc w:val="center"/>
              <w:rPr>
                <w:b/>
                <w:sz w:val="20"/>
              </w:rPr>
            </w:pPr>
            <w:r>
              <w:rPr>
                <w:b/>
                <w:sz w:val="20"/>
              </w:rPr>
              <w:t>Unaudited</w:t>
            </w:r>
          </w:p>
        </w:tc>
        <w:tc>
          <w:tcPr>
            <w:tcW w:w="80" w:type="dxa"/>
            <w:tcBorders/>
            <w:vAlign w:val="bottom"/>
          </w:tcPr>
          <w:p>
            <w:pPr>
              <w:pStyle w:val="TableContents"/>
              <w:bidi w:val="0"/>
              <w:spacing w:before="0" w:after="283"/>
              <w:jc w:val="left"/>
              <w:rPr/>
            </w:pPr>
            <w:r>
              <w:rPr/>
              <w:t> </w:t>
            </w:r>
          </w:p>
        </w:tc>
      </w:tr>
      <w:tr>
        <w:trPr/>
        <w:tc>
          <w:tcPr>
            <w:tcW w:w="5495" w:type="dxa"/>
            <w:tcBorders/>
            <w:shd w:fill="CCEEFF" w:val="clear"/>
            <w:vAlign w:val="bottom"/>
          </w:tcPr>
          <w:p>
            <w:pPr>
              <w:pStyle w:val="TableContents"/>
              <w:bidi w:val="0"/>
              <w:spacing w:before="0" w:after="0"/>
              <w:jc w:val="left"/>
              <w:rPr>
                <w:sz w:val="20"/>
              </w:rPr>
            </w:pPr>
            <w:r>
              <w:rPr>
                <w:sz w:val="20"/>
              </w:rPr>
              <w:t>Net loss</w:t>
            </w:r>
          </w:p>
        </w:tc>
        <w:tc>
          <w:tcPr>
            <w:tcW w:w="60" w:type="dxa"/>
            <w:tcBorders/>
            <w:shd w:fill="CCEEFF" w:val="clear"/>
            <w:vAlign w:val="bottom"/>
          </w:tcPr>
          <w:p>
            <w:pPr>
              <w:pStyle w:val="TableContents"/>
              <w:bidi w:val="0"/>
              <w:spacing w:before="0" w:after="283"/>
              <w:jc w:val="right"/>
              <w:rPr/>
            </w:pPr>
            <w:r>
              <w:rPr/>
              <w:t> </w:t>
            </w:r>
          </w:p>
        </w:tc>
        <w:tc>
          <w:tcPr>
            <w:tcW w:w="127" w:type="dxa"/>
            <w:tcBorders/>
            <w:shd w:fill="CCEEFF" w:val="clear"/>
            <w:vAlign w:val="bottom"/>
          </w:tcPr>
          <w:p>
            <w:pPr>
              <w:pStyle w:val="TableContents"/>
              <w:bidi w:val="0"/>
              <w:spacing w:before="0" w:after="0"/>
              <w:jc w:val="left"/>
              <w:rPr>
                <w:sz w:val="20"/>
              </w:rPr>
            </w:pPr>
            <w:r>
              <w:rPr>
                <w:sz w:val="20"/>
              </w:rPr>
              <w:t>$</w:t>
            </w:r>
          </w:p>
        </w:tc>
        <w:tc>
          <w:tcPr>
            <w:tcW w:w="665" w:type="dxa"/>
            <w:tcBorders/>
            <w:shd w:fill="CCEEFF" w:val="clear"/>
            <w:vAlign w:val="bottom"/>
          </w:tcPr>
          <w:p>
            <w:pPr>
              <w:pStyle w:val="TableContents"/>
              <w:bidi w:val="0"/>
              <w:spacing w:before="0" w:after="0"/>
              <w:jc w:val="right"/>
              <w:rPr>
                <w:sz w:val="20"/>
              </w:rPr>
            </w:pPr>
            <w:r>
              <w:rPr>
                <w:sz w:val="20"/>
              </w:rPr>
              <w:t>(23,136</w:t>
            </w:r>
          </w:p>
        </w:tc>
        <w:tc>
          <w:tcPr>
            <w:tcW w:w="81" w:type="dxa"/>
            <w:tcBorders/>
            <w:shd w:fill="CCEEFF" w:val="clear"/>
            <w:vAlign w:val="bottom"/>
          </w:tcPr>
          <w:p>
            <w:pPr>
              <w:pStyle w:val="TableContents"/>
              <w:bidi w:val="0"/>
              <w:spacing w:before="0" w:after="0"/>
              <w:jc w:val="left"/>
              <w:rPr>
                <w:sz w:val="20"/>
              </w:rPr>
            </w:pPr>
            <w:r>
              <w:rPr>
                <w:sz w:val="20"/>
              </w:rPr>
              <w:t>)</w:t>
            </w:r>
          </w:p>
        </w:tc>
        <w:tc>
          <w:tcPr>
            <w:tcW w:w="61" w:type="dxa"/>
            <w:tcBorders/>
            <w:shd w:fill="CCEEFF" w:val="clear"/>
            <w:vAlign w:val="bottom"/>
          </w:tcPr>
          <w:p>
            <w:pPr>
              <w:pStyle w:val="TableContents"/>
              <w:bidi w:val="0"/>
              <w:spacing w:before="0" w:after="283"/>
              <w:jc w:val="right"/>
              <w:rPr/>
            </w:pPr>
            <w:r>
              <w:rPr/>
              <w:t> </w:t>
            </w:r>
          </w:p>
        </w:tc>
        <w:tc>
          <w:tcPr>
            <w:tcW w:w="127" w:type="dxa"/>
            <w:tcBorders/>
            <w:shd w:fill="CCEEFF" w:val="clear"/>
            <w:vAlign w:val="bottom"/>
          </w:tcPr>
          <w:p>
            <w:pPr>
              <w:pStyle w:val="TableContents"/>
              <w:bidi w:val="0"/>
              <w:spacing w:before="0" w:after="0"/>
              <w:jc w:val="left"/>
              <w:rPr>
                <w:sz w:val="20"/>
              </w:rPr>
            </w:pPr>
            <w:r>
              <w:rPr>
                <w:sz w:val="20"/>
              </w:rPr>
              <w:t>$</w:t>
            </w:r>
          </w:p>
        </w:tc>
        <w:tc>
          <w:tcPr>
            <w:tcW w:w="665" w:type="dxa"/>
            <w:tcBorders/>
            <w:shd w:fill="CCEEFF" w:val="clear"/>
            <w:vAlign w:val="bottom"/>
          </w:tcPr>
          <w:p>
            <w:pPr>
              <w:pStyle w:val="TableContents"/>
              <w:bidi w:val="0"/>
              <w:spacing w:before="0" w:after="0"/>
              <w:jc w:val="right"/>
              <w:rPr>
                <w:sz w:val="20"/>
              </w:rPr>
            </w:pPr>
            <w:r>
              <w:rPr>
                <w:sz w:val="20"/>
              </w:rPr>
              <w:t>(26,026</w:t>
            </w:r>
          </w:p>
        </w:tc>
        <w:tc>
          <w:tcPr>
            <w:tcW w:w="80" w:type="dxa"/>
            <w:tcBorders/>
            <w:shd w:fill="CCEEFF" w:val="clear"/>
            <w:vAlign w:val="bottom"/>
          </w:tcPr>
          <w:p>
            <w:pPr>
              <w:pStyle w:val="TableContents"/>
              <w:bidi w:val="0"/>
              <w:spacing w:before="0" w:after="0"/>
              <w:jc w:val="left"/>
              <w:rPr>
                <w:sz w:val="20"/>
              </w:rPr>
            </w:pPr>
            <w:r>
              <w:rPr>
                <w:sz w:val="20"/>
              </w:rPr>
              <w:t>)</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sz w:val="20"/>
              </w:rPr>
            </w:pPr>
            <w:r>
              <w:rPr>
                <w:sz w:val="20"/>
              </w:rPr>
              <w:t>$</w:t>
            </w:r>
          </w:p>
        </w:tc>
        <w:tc>
          <w:tcPr>
            <w:tcW w:w="650" w:type="dxa"/>
            <w:tcBorders/>
            <w:shd w:fill="CCEEFF" w:val="clear"/>
            <w:vAlign w:val="bottom"/>
          </w:tcPr>
          <w:p>
            <w:pPr>
              <w:pStyle w:val="TableContents"/>
              <w:bidi w:val="0"/>
              <w:spacing w:before="0" w:after="283"/>
              <w:jc w:val="right"/>
              <w:rPr>
                <w:sz w:val="20"/>
              </w:rPr>
            </w:pPr>
            <w:r>
              <w:rPr>
                <w:sz w:val="20"/>
              </w:rPr>
              <w:t>(85,763</w:t>
            </w:r>
          </w:p>
        </w:tc>
        <w:tc>
          <w:tcPr>
            <w:tcW w:w="80" w:type="dxa"/>
            <w:tcBorders/>
            <w:shd w:fill="CCEEFF" w:val="clear"/>
            <w:vAlign w:val="bottom"/>
          </w:tcPr>
          <w:p>
            <w:pPr>
              <w:pStyle w:val="TableContents"/>
              <w:bidi w:val="0"/>
              <w:spacing w:before="0" w:after="283"/>
              <w:jc w:val="left"/>
              <w:rPr>
                <w:sz w:val="20"/>
              </w:rPr>
            </w:pPr>
            <w:r>
              <w:rPr>
                <w:sz w:val="20"/>
              </w:rPr>
              <w:t>)</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sz w:val="20"/>
              </w:rPr>
            </w:pPr>
            <w:r>
              <w:rPr>
                <w:sz w:val="20"/>
              </w:rPr>
              <w:t>$</w:t>
            </w:r>
          </w:p>
        </w:tc>
        <w:tc>
          <w:tcPr>
            <w:tcW w:w="650" w:type="dxa"/>
            <w:tcBorders/>
            <w:shd w:fill="CCEEFF" w:val="clear"/>
            <w:vAlign w:val="bottom"/>
          </w:tcPr>
          <w:p>
            <w:pPr>
              <w:pStyle w:val="TableContents"/>
              <w:bidi w:val="0"/>
              <w:spacing w:before="0" w:after="283"/>
              <w:jc w:val="right"/>
              <w:rPr>
                <w:sz w:val="20"/>
              </w:rPr>
            </w:pPr>
            <w:r>
              <w:rPr>
                <w:sz w:val="20"/>
              </w:rPr>
              <w:t>(27,159</w:t>
            </w:r>
          </w:p>
        </w:tc>
        <w:tc>
          <w:tcPr>
            <w:tcW w:w="80" w:type="dxa"/>
            <w:tcBorders/>
            <w:shd w:fill="CCEEFF" w:val="clear"/>
            <w:vAlign w:val="bottom"/>
          </w:tcPr>
          <w:p>
            <w:pPr>
              <w:pStyle w:val="TableContents"/>
              <w:bidi w:val="0"/>
              <w:spacing w:before="0" w:after="283"/>
              <w:jc w:val="left"/>
              <w:rPr>
                <w:sz w:val="20"/>
              </w:rPr>
            </w:pPr>
            <w:r>
              <w:rPr>
                <w:sz w:val="20"/>
              </w:rPr>
              <w:t>)</w:t>
            </w:r>
          </w:p>
        </w:tc>
      </w:tr>
      <w:tr>
        <w:trPr/>
        <w:tc>
          <w:tcPr>
            <w:tcW w:w="5495" w:type="dxa"/>
            <w:tcBorders/>
            <w:vAlign w:val="bottom"/>
          </w:tcPr>
          <w:p>
            <w:pPr>
              <w:pStyle w:val="TableContents"/>
              <w:bidi w:val="0"/>
              <w:spacing w:before="0" w:after="0"/>
              <w:jc w:val="left"/>
              <w:rPr>
                <w:sz w:val="20"/>
              </w:rPr>
            </w:pPr>
            <w:r>
              <w:rPr>
                <w:sz w:val="20"/>
              </w:rPr>
              <w:t>Other comprehensive income (loss):</w:t>
            </w:r>
          </w:p>
        </w:tc>
        <w:tc>
          <w:tcPr>
            <w:tcW w:w="60" w:type="dxa"/>
            <w:tcBorders/>
            <w:vAlign w:val="bottom"/>
          </w:tcPr>
          <w:p>
            <w:pPr>
              <w:pStyle w:val="TableContents"/>
              <w:bidi w:val="0"/>
              <w:spacing w:before="0" w:after="283"/>
              <w:jc w:val="right"/>
              <w:rPr/>
            </w:pPr>
            <w:r>
              <w:rPr/>
              <w:t> </w:t>
            </w:r>
          </w:p>
        </w:tc>
        <w:tc>
          <w:tcPr>
            <w:tcW w:w="127" w:type="dxa"/>
            <w:tcBorders/>
            <w:vAlign w:val="bottom"/>
          </w:tcPr>
          <w:p>
            <w:pPr>
              <w:pStyle w:val="TableContents"/>
              <w:bidi w:val="0"/>
              <w:spacing w:before="0" w:after="283"/>
              <w:jc w:val="left"/>
              <w:rPr/>
            </w:pPr>
            <w:r>
              <w:rPr/>
              <w:t> </w:t>
            </w:r>
          </w:p>
        </w:tc>
        <w:tc>
          <w:tcPr>
            <w:tcW w:w="665" w:type="dxa"/>
            <w:tcBorders/>
            <w:vAlign w:val="bottom"/>
          </w:tcPr>
          <w:p>
            <w:pPr>
              <w:pStyle w:val="TableContents"/>
              <w:bidi w:val="0"/>
              <w:spacing w:before="0" w:after="283"/>
              <w:jc w:val="right"/>
              <w:rPr/>
            </w:pPr>
            <w:r>
              <w:rPr/>
              <w:t> </w:t>
            </w:r>
          </w:p>
        </w:tc>
        <w:tc>
          <w:tcPr>
            <w:tcW w:w="81"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right"/>
              <w:rPr/>
            </w:pPr>
            <w:r>
              <w:rPr/>
              <w:t> </w:t>
            </w:r>
          </w:p>
        </w:tc>
        <w:tc>
          <w:tcPr>
            <w:tcW w:w="127" w:type="dxa"/>
            <w:tcBorders/>
            <w:vAlign w:val="bottom"/>
          </w:tcPr>
          <w:p>
            <w:pPr>
              <w:pStyle w:val="TableContents"/>
              <w:bidi w:val="0"/>
              <w:spacing w:before="0" w:after="283"/>
              <w:jc w:val="left"/>
              <w:rPr/>
            </w:pPr>
            <w:r>
              <w:rPr/>
              <w:t> </w:t>
            </w:r>
          </w:p>
        </w:tc>
        <w:tc>
          <w:tcPr>
            <w:tcW w:w="665"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50"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50"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r>
      <w:tr>
        <w:trPr/>
        <w:tc>
          <w:tcPr>
            <w:tcW w:w="5495" w:type="dxa"/>
            <w:tcBorders/>
            <w:shd w:fill="CCEEFF" w:val="clear"/>
            <w:vAlign w:val="bottom"/>
          </w:tcPr>
          <w:p>
            <w:pPr>
              <w:pStyle w:val="TableContents"/>
              <w:bidi w:val="0"/>
              <w:spacing w:before="0" w:after="0"/>
              <w:ind w:left="360" w:right="0" w:hanging="180"/>
              <w:jc w:val="left"/>
              <w:rPr>
                <w:sz w:val="20"/>
              </w:rPr>
            </w:pPr>
            <w:r>
              <w:rPr>
                <w:sz w:val="20"/>
              </w:rPr>
              <w:t>Unrealized gains (losses) on available-for-sale marketable securities</w:t>
            </w:r>
          </w:p>
        </w:tc>
        <w:tc>
          <w:tcPr>
            <w:tcW w:w="60" w:type="dxa"/>
            <w:tcBorders/>
            <w:shd w:fill="CCEEFF" w:val="clear"/>
            <w:vAlign w:val="bottom"/>
          </w:tcPr>
          <w:p>
            <w:pPr>
              <w:pStyle w:val="TableContents"/>
              <w:bidi w:val="0"/>
              <w:spacing w:before="0" w:after="283"/>
              <w:jc w:val="right"/>
              <w:rPr/>
            </w:pPr>
            <w:r>
              <w:rPr/>
              <w:t> </w:t>
            </w:r>
          </w:p>
        </w:tc>
        <w:tc>
          <w:tcPr>
            <w:tcW w:w="127" w:type="dxa"/>
            <w:tcBorders/>
            <w:shd w:fill="CCEEFF" w:val="clear"/>
            <w:vAlign w:val="bottom"/>
          </w:tcPr>
          <w:p>
            <w:pPr>
              <w:pStyle w:val="TableContents"/>
              <w:bidi w:val="0"/>
              <w:spacing w:before="0" w:after="283"/>
              <w:jc w:val="left"/>
              <w:rPr/>
            </w:pPr>
            <w:r>
              <w:rPr/>
              <w:t> </w:t>
            </w:r>
          </w:p>
        </w:tc>
        <w:tc>
          <w:tcPr>
            <w:tcW w:w="665" w:type="dxa"/>
            <w:tcBorders/>
            <w:shd w:fill="CCEEFF" w:val="clear"/>
            <w:vAlign w:val="bottom"/>
          </w:tcPr>
          <w:p>
            <w:pPr>
              <w:pStyle w:val="TableContents"/>
              <w:bidi w:val="0"/>
              <w:spacing w:before="0" w:after="0"/>
              <w:jc w:val="right"/>
              <w:rPr>
                <w:sz w:val="20"/>
              </w:rPr>
            </w:pPr>
            <w:r>
              <w:rPr>
                <w:sz w:val="20"/>
              </w:rPr>
              <w:t>46</w:t>
            </w:r>
          </w:p>
        </w:tc>
        <w:tc>
          <w:tcPr>
            <w:tcW w:w="81"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right"/>
              <w:rPr/>
            </w:pPr>
            <w:r>
              <w:rPr/>
              <w:t> </w:t>
            </w:r>
          </w:p>
        </w:tc>
        <w:tc>
          <w:tcPr>
            <w:tcW w:w="127" w:type="dxa"/>
            <w:tcBorders/>
            <w:shd w:fill="CCEEFF" w:val="clear"/>
            <w:vAlign w:val="bottom"/>
          </w:tcPr>
          <w:p>
            <w:pPr>
              <w:pStyle w:val="TableContents"/>
              <w:bidi w:val="0"/>
              <w:spacing w:before="0" w:after="283"/>
              <w:jc w:val="left"/>
              <w:rPr/>
            </w:pPr>
            <w:r>
              <w:rPr/>
              <w:t> </w:t>
            </w:r>
          </w:p>
        </w:tc>
        <w:tc>
          <w:tcPr>
            <w:tcW w:w="665" w:type="dxa"/>
            <w:tcBorders/>
            <w:shd w:fill="CCEEFF" w:val="clear"/>
            <w:vAlign w:val="bottom"/>
          </w:tcPr>
          <w:p>
            <w:pPr>
              <w:pStyle w:val="TableContents"/>
              <w:bidi w:val="0"/>
              <w:spacing w:before="0" w:after="0"/>
              <w:jc w:val="right"/>
              <w:rPr>
                <w:sz w:val="20"/>
              </w:rPr>
            </w:pPr>
            <w:r>
              <w:rPr>
                <w:sz w:val="20"/>
              </w:rPr>
              <w:t>(445</w:t>
            </w:r>
          </w:p>
        </w:tc>
        <w:tc>
          <w:tcPr>
            <w:tcW w:w="80" w:type="dxa"/>
            <w:tcBorders/>
            <w:shd w:fill="CCEEFF" w:val="clear"/>
            <w:vAlign w:val="bottom"/>
          </w:tcPr>
          <w:p>
            <w:pPr>
              <w:pStyle w:val="TableContents"/>
              <w:bidi w:val="0"/>
              <w:spacing w:before="0" w:after="0"/>
              <w:jc w:val="left"/>
              <w:rPr>
                <w:sz w:val="20"/>
              </w:rPr>
            </w:pPr>
            <w:r>
              <w:rPr>
                <w:sz w:val="20"/>
              </w:rPr>
              <w:t>)</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50" w:type="dxa"/>
            <w:tcBorders/>
            <w:shd w:fill="CCEEFF" w:val="clear"/>
            <w:vAlign w:val="bottom"/>
          </w:tcPr>
          <w:p>
            <w:pPr>
              <w:pStyle w:val="TableContents"/>
              <w:bidi w:val="0"/>
              <w:spacing w:before="0" w:after="283"/>
              <w:jc w:val="right"/>
              <w:rPr>
                <w:sz w:val="20"/>
              </w:rPr>
            </w:pPr>
            <w:r>
              <w:rPr>
                <w:sz w:val="20"/>
              </w:rPr>
              <w:t>503</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50" w:type="dxa"/>
            <w:tcBorders/>
            <w:shd w:fill="CCEEFF" w:val="clear"/>
            <w:vAlign w:val="bottom"/>
          </w:tcPr>
          <w:p>
            <w:pPr>
              <w:pStyle w:val="TableContents"/>
              <w:bidi w:val="0"/>
              <w:spacing w:before="0" w:after="283"/>
              <w:jc w:val="right"/>
              <w:rPr>
                <w:sz w:val="20"/>
              </w:rPr>
            </w:pPr>
            <w:r>
              <w:rPr>
                <w:sz w:val="20"/>
              </w:rPr>
              <w:t>(704</w:t>
            </w:r>
          </w:p>
        </w:tc>
        <w:tc>
          <w:tcPr>
            <w:tcW w:w="80" w:type="dxa"/>
            <w:tcBorders/>
            <w:shd w:fill="CCEEFF" w:val="clear"/>
            <w:vAlign w:val="bottom"/>
          </w:tcPr>
          <w:p>
            <w:pPr>
              <w:pStyle w:val="TableContents"/>
              <w:bidi w:val="0"/>
              <w:spacing w:before="0" w:after="283"/>
              <w:jc w:val="left"/>
              <w:rPr>
                <w:sz w:val="20"/>
              </w:rPr>
            </w:pPr>
            <w:r>
              <w:rPr>
                <w:sz w:val="20"/>
              </w:rPr>
              <w:t>)</w:t>
            </w:r>
          </w:p>
        </w:tc>
      </w:tr>
      <w:tr>
        <w:trPr/>
        <w:tc>
          <w:tcPr>
            <w:tcW w:w="5495" w:type="dxa"/>
            <w:tcBorders/>
            <w:vAlign w:val="bottom"/>
          </w:tcPr>
          <w:p>
            <w:pPr>
              <w:pStyle w:val="TableContents"/>
              <w:bidi w:val="0"/>
              <w:spacing w:before="0" w:after="0"/>
              <w:ind w:left="360" w:right="0" w:hanging="180"/>
              <w:jc w:val="left"/>
              <w:rPr>
                <w:sz w:val="20"/>
              </w:rPr>
            </w:pPr>
            <w:r>
              <w:rPr>
                <w:sz w:val="20"/>
              </w:rPr>
              <w:t>Unrealized gains (losses) on derivative instruments, net</w:t>
            </w:r>
          </w:p>
        </w:tc>
        <w:tc>
          <w:tcPr>
            <w:tcW w:w="60" w:type="dxa"/>
            <w:tcBorders/>
            <w:vAlign w:val="bottom"/>
          </w:tcPr>
          <w:p>
            <w:pPr>
              <w:pStyle w:val="TableContents"/>
              <w:bidi w:val="0"/>
              <w:spacing w:before="0" w:after="283"/>
              <w:jc w:val="right"/>
              <w:rPr/>
            </w:pPr>
            <w:r>
              <w:rPr/>
              <w:t> </w:t>
            </w:r>
          </w:p>
        </w:tc>
        <w:tc>
          <w:tcPr>
            <w:tcW w:w="127" w:type="dxa"/>
            <w:tcBorders>
              <w:bottom w:val="single" w:sz="12" w:space="0" w:color="000000"/>
            </w:tcBorders>
            <w:tcMar>
              <w:bottom w:w="28" w:type="dxa"/>
            </w:tcMar>
            <w:vAlign w:val="bottom"/>
          </w:tcPr>
          <w:p>
            <w:pPr>
              <w:pStyle w:val="TableContents"/>
              <w:bidi w:val="0"/>
              <w:spacing w:before="0" w:after="283"/>
              <w:jc w:val="left"/>
              <w:rPr/>
            </w:pPr>
            <w:r>
              <w:rPr/>
              <w:t> </w:t>
            </w:r>
          </w:p>
        </w:tc>
        <w:tc>
          <w:tcPr>
            <w:tcW w:w="665" w:type="dxa"/>
            <w:tcBorders>
              <w:bottom w:val="single" w:sz="12" w:space="0" w:color="000000"/>
            </w:tcBorders>
            <w:tcMar>
              <w:bottom w:w="28" w:type="dxa"/>
            </w:tcMar>
            <w:vAlign w:val="bottom"/>
          </w:tcPr>
          <w:p>
            <w:pPr>
              <w:pStyle w:val="TableContents"/>
              <w:bidi w:val="0"/>
              <w:spacing w:before="0" w:after="0"/>
              <w:jc w:val="right"/>
              <w:rPr>
                <w:sz w:val="20"/>
              </w:rPr>
            </w:pPr>
            <w:r>
              <w:rPr>
                <w:sz w:val="20"/>
              </w:rPr>
              <w:t>570</w:t>
            </w:r>
          </w:p>
        </w:tc>
        <w:tc>
          <w:tcPr>
            <w:tcW w:w="81"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right"/>
              <w:rPr/>
            </w:pPr>
            <w:r>
              <w:rPr/>
              <w:t> </w:t>
            </w:r>
          </w:p>
        </w:tc>
        <w:tc>
          <w:tcPr>
            <w:tcW w:w="127" w:type="dxa"/>
            <w:tcBorders>
              <w:bottom w:val="single" w:sz="12" w:space="0" w:color="000000"/>
            </w:tcBorders>
            <w:tcMar>
              <w:bottom w:w="28" w:type="dxa"/>
            </w:tcMar>
            <w:vAlign w:val="bottom"/>
          </w:tcPr>
          <w:p>
            <w:pPr>
              <w:pStyle w:val="TableContents"/>
              <w:bidi w:val="0"/>
              <w:spacing w:before="0" w:after="283"/>
              <w:jc w:val="left"/>
              <w:rPr/>
            </w:pPr>
            <w:r>
              <w:rPr/>
              <w:t> </w:t>
            </w:r>
          </w:p>
        </w:tc>
        <w:tc>
          <w:tcPr>
            <w:tcW w:w="665" w:type="dxa"/>
            <w:tcBorders>
              <w:bottom w:val="single" w:sz="12" w:space="0" w:color="000000"/>
            </w:tcBorders>
            <w:tcMar>
              <w:bottom w:w="28" w:type="dxa"/>
            </w:tcMar>
            <w:vAlign w:val="bottom"/>
          </w:tcPr>
          <w:p>
            <w:pPr>
              <w:pStyle w:val="TableContents"/>
              <w:bidi w:val="0"/>
              <w:spacing w:before="0" w:after="0"/>
              <w:jc w:val="right"/>
              <w:rPr>
                <w:sz w:val="20"/>
              </w:rPr>
            </w:pPr>
            <w:r>
              <w:rPr>
                <w:sz w:val="20"/>
              </w:rPr>
              <w:t>1,504</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650" w:type="dxa"/>
            <w:tcBorders>
              <w:bottom w:val="single" w:sz="12" w:space="0" w:color="000000"/>
            </w:tcBorders>
            <w:tcMar>
              <w:bottom w:w="28" w:type="dxa"/>
            </w:tcMar>
            <w:vAlign w:val="bottom"/>
          </w:tcPr>
          <w:p>
            <w:pPr>
              <w:pStyle w:val="TableContents"/>
              <w:bidi w:val="0"/>
              <w:spacing w:before="0" w:after="283"/>
              <w:jc w:val="right"/>
              <w:rPr>
                <w:sz w:val="20"/>
              </w:rPr>
            </w:pPr>
            <w:r>
              <w:rPr>
                <w:sz w:val="20"/>
              </w:rPr>
              <w:t>113</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650" w:type="dxa"/>
            <w:tcBorders>
              <w:bottom w:val="single" w:sz="12" w:space="0" w:color="000000"/>
            </w:tcBorders>
            <w:tcMar>
              <w:bottom w:w="28" w:type="dxa"/>
            </w:tcMar>
            <w:vAlign w:val="bottom"/>
          </w:tcPr>
          <w:p>
            <w:pPr>
              <w:pStyle w:val="TableContents"/>
              <w:bidi w:val="0"/>
              <w:spacing w:before="0" w:after="283"/>
              <w:jc w:val="right"/>
              <w:rPr>
                <w:sz w:val="20"/>
              </w:rPr>
            </w:pPr>
            <w:r>
              <w:rPr>
                <w:sz w:val="20"/>
              </w:rPr>
              <w:t>(2,020</w:t>
            </w:r>
          </w:p>
        </w:tc>
        <w:tc>
          <w:tcPr>
            <w:tcW w:w="80" w:type="dxa"/>
            <w:tcBorders/>
            <w:vAlign w:val="bottom"/>
          </w:tcPr>
          <w:p>
            <w:pPr>
              <w:pStyle w:val="TableContents"/>
              <w:bidi w:val="0"/>
              <w:spacing w:before="0" w:after="283"/>
              <w:jc w:val="left"/>
              <w:rPr>
                <w:sz w:val="20"/>
              </w:rPr>
            </w:pPr>
            <w:r>
              <w:rPr>
                <w:sz w:val="20"/>
              </w:rPr>
              <w:t>)</w:t>
            </w:r>
          </w:p>
        </w:tc>
      </w:tr>
      <w:tr>
        <w:trPr/>
        <w:tc>
          <w:tcPr>
            <w:tcW w:w="5495" w:type="dxa"/>
            <w:tcBorders/>
            <w:shd w:fill="CCEEFF" w:val="clear"/>
            <w:vAlign w:val="bottom"/>
          </w:tcPr>
          <w:p>
            <w:pPr>
              <w:pStyle w:val="TableContents"/>
              <w:bidi w:val="0"/>
              <w:spacing w:before="0" w:after="0"/>
              <w:jc w:val="left"/>
              <w:rPr>
                <w:sz w:val="20"/>
              </w:rPr>
            </w:pPr>
            <w:r>
              <w:rPr>
                <w:sz w:val="20"/>
              </w:rPr>
              <w:t>Other comprehensive income (loss)</w:t>
            </w:r>
          </w:p>
        </w:tc>
        <w:tc>
          <w:tcPr>
            <w:tcW w:w="60" w:type="dxa"/>
            <w:tcBorders/>
            <w:shd w:fill="CCEEFF" w:val="clear"/>
            <w:vAlign w:val="bottom"/>
          </w:tcPr>
          <w:p>
            <w:pPr>
              <w:pStyle w:val="TableContents"/>
              <w:bidi w:val="0"/>
              <w:spacing w:before="0" w:after="283"/>
              <w:jc w:val="right"/>
              <w:rPr/>
            </w:pPr>
            <w:r>
              <w:rPr/>
              <w:t> </w:t>
            </w:r>
          </w:p>
        </w:tc>
        <w:tc>
          <w:tcPr>
            <w:tcW w:w="127"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65" w:type="dxa"/>
            <w:tcBorders>
              <w:bottom w:val="single" w:sz="12" w:space="0" w:color="000000"/>
            </w:tcBorders>
            <w:shd w:fill="CCEEFF" w:val="clear"/>
            <w:tcMar>
              <w:bottom w:w="28" w:type="dxa"/>
            </w:tcMar>
            <w:vAlign w:val="bottom"/>
          </w:tcPr>
          <w:p>
            <w:pPr>
              <w:pStyle w:val="TableContents"/>
              <w:bidi w:val="0"/>
              <w:spacing w:before="0" w:after="0"/>
              <w:jc w:val="right"/>
              <w:rPr>
                <w:sz w:val="20"/>
              </w:rPr>
            </w:pPr>
            <w:r>
              <w:rPr>
                <w:sz w:val="20"/>
              </w:rPr>
              <w:t>616</w:t>
            </w:r>
          </w:p>
        </w:tc>
        <w:tc>
          <w:tcPr>
            <w:tcW w:w="81"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right"/>
              <w:rPr/>
            </w:pPr>
            <w:r>
              <w:rPr/>
              <w:t> </w:t>
            </w:r>
          </w:p>
        </w:tc>
        <w:tc>
          <w:tcPr>
            <w:tcW w:w="127"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65" w:type="dxa"/>
            <w:tcBorders>
              <w:bottom w:val="single" w:sz="12" w:space="0" w:color="000000"/>
            </w:tcBorders>
            <w:shd w:fill="CCEEFF" w:val="clear"/>
            <w:tcMar>
              <w:bottom w:w="28" w:type="dxa"/>
            </w:tcMar>
            <w:vAlign w:val="bottom"/>
          </w:tcPr>
          <w:p>
            <w:pPr>
              <w:pStyle w:val="TableContents"/>
              <w:bidi w:val="0"/>
              <w:spacing w:before="0" w:after="0"/>
              <w:jc w:val="right"/>
              <w:rPr>
                <w:sz w:val="20"/>
              </w:rPr>
            </w:pPr>
            <w:r>
              <w:rPr>
                <w:sz w:val="20"/>
              </w:rPr>
              <w:t>1,059</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50" w:type="dxa"/>
            <w:tcBorders>
              <w:bottom w:val="single" w:sz="12" w:space="0" w:color="000000"/>
            </w:tcBorders>
            <w:shd w:fill="CCEEFF" w:val="clear"/>
            <w:tcMar>
              <w:bottom w:w="28" w:type="dxa"/>
            </w:tcMar>
            <w:vAlign w:val="bottom"/>
          </w:tcPr>
          <w:p>
            <w:pPr>
              <w:pStyle w:val="TableContents"/>
              <w:bidi w:val="0"/>
              <w:spacing w:before="0" w:after="283"/>
              <w:jc w:val="right"/>
              <w:rPr>
                <w:sz w:val="20"/>
              </w:rPr>
            </w:pPr>
            <w:r>
              <w:rPr>
                <w:sz w:val="20"/>
              </w:rPr>
              <w:t>616</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50" w:type="dxa"/>
            <w:tcBorders>
              <w:bottom w:val="single" w:sz="12" w:space="0" w:color="000000"/>
            </w:tcBorders>
            <w:shd w:fill="CCEEFF" w:val="clear"/>
            <w:tcMar>
              <w:bottom w:w="28" w:type="dxa"/>
            </w:tcMar>
            <w:vAlign w:val="bottom"/>
          </w:tcPr>
          <w:p>
            <w:pPr>
              <w:pStyle w:val="TableContents"/>
              <w:bidi w:val="0"/>
              <w:spacing w:before="0" w:after="283"/>
              <w:jc w:val="right"/>
              <w:rPr>
                <w:sz w:val="20"/>
              </w:rPr>
            </w:pPr>
            <w:r>
              <w:rPr>
                <w:sz w:val="20"/>
              </w:rPr>
              <w:t>(2,724</w:t>
            </w:r>
          </w:p>
        </w:tc>
        <w:tc>
          <w:tcPr>
            <w:tcW w:w="80" w:type="dxa"/>
            <w:tcBorders/>
            <w:shd w:fill="CCEEFF" w:val="clear"/>
            <w:vAlign w:val="bottom"/>
          </w:tcPr>
          <w:p>
            <w:pPr>
              <w:pStyle w:val="TableContents"/>
              <w:bidi w:val="0"/>
              <w:spacing w:before="0" w:after="283"/>
              <w:jc w:val="left"/>
              <w:rPr>
                <w:sz w:val="20"/>
              </w:rPr>
            </w:pPr>
            <w:r>
              <w:rPr>
                <w:sz w:val="20"/>
              </w:rPr>
              <w:t>)</w:t>
            </w:r>
          </w:p>
        </w:tc>
      </w:tr>
      <w:tr>
        <w:trPr/>
        <w:tc>
          <w:tcPr>
            <w:tcW w:w="5495" w:type="dxa"/>
            <w:tcBorders/>
            <w:vAlign w:val="bottom"/>
          </w:tcPr>
          <w:p>
            <w:pPr>
              <w:pStyle w:val="TableContents"/>
              <w:bidi w:val="0"/>
              <w:spacing w:before="0" w:after="0"/>
              <w:jc w:val="left"/>
              <w:rPr>
                <w:sz w:val="20"/>
              </w:rPr>
            </w:pPr>
            <w:r>
              <w:rPr>
                <w:sz w:val="20"/>
              </w:rPr>
              <w:t>Comprehensive loss</w:t>
            </w:r>
          </w:p>
        </w:tc>
        <w:tc>
          <w:tcPr>
            <w:tcW w:w="60" w:type="dxa"/>
            <w:tcBorders/>
            <w:vAlign w:val="bottom"/>
          </w:tcPr>
          <w:p>
            <w:pPr>
              <w:pStyle w:val="TableContents"/>
              <w:bidi w:val="0"/>
              <w:spacing w:before="0" w:after="283"/>
              <w:jc w:val="right"/>
              <w:rPr/>
            </w:pPr>
            <w:r>
              <w:rPr/>
              <w:t> </w:t>
            </w:r>
          </w:p>
        </w:tc>
        <w:tc>
          <w:tcPr>
            <w:tcW w:w="127" w:type="dxa"/>
            <w:tcBorders>
              <w:bottom w:val="single" w:sz="12" w:space="0" w:color="000000"/>
            </w:tcBorders>
            <w:tcMar>
              <w:bottom w:w="28" w:type="dxa"/>
            </w:tcMar>
            <w:vAlign w:val="bottom"/>
          </w:tcPr>
          <w:p>
            <w:pPr>
              <w:pStyle w:val="TableContents"/>
              <w:bidi w:val="0"/>
              <w:spacing w:before="0" w:after="0"/>
              <w:jc w:val="left"/>
              <w:rPr>
                <w:sz w:val="20"/>
              </w:rPr>
            </w:pPr>
            <w:r>
              <w:rPr>
                <w:sz w:val="20"/>
              </w:rPr>
              <w:t>$</w:t>
            </w:r>
          </w:p>
        </w:tc>
        <w:tc>
          <w:tcPr>
            <w:tcW w:w="665" w:type="dxa"/>
            <w:tcBorders>
              <w:bottom w:val="single" w:sz="12" w:space="0" w:color="000000"/>
            </w:tcBorders>
            <w:tcMar>
              <w:bottom w:w="28" w:type="dxa"/>
            </w:tcMar>
            <w:vAlign w:val="bottom"/>
          </w:tcPr>
          <w:p>
            <w:pPr>
              <w:pStyle w:val="TableContents"/>
              <w:bidi w:val="0"/>
              <w:spacing w:before="0" w:after="0"/>
              <w:jc w:val="right"/>
              <w:rPr>
                <w:sz w:val="20"/>
              </w:rPr>
            </w:pPr>
            <w:r>
              <w:rPr>
                <w:sz w:val="20"/>
              </w:rPr>
              <w:t>(22,520</w:t>
            </w:r>
          </w:p>
        </w:tc>
        <w:tc>
          <w:tcPr>
            <w:tcW w:w="81" w:type="dxa"/>
            <w:tcBorders/>
            <w:vAlign w:val="bottom"/>
          </w:tcPr>
          <w:p>
            <w:pPr>
              <w:pStyle w:val="TableContents"/>
              <w:bidi w:val="0"/>
              <w:spacing w:before="0" w:after="0"/>
              <w:jc w:val="left"/>
              <w:rPr>
                <w:sz w:val="20"/>
              </w:rPr>
            </w:pPr>
            <w:r>
              <w:rPr>
                <w:sz w:val="20"/>
              </w:rPr>
              <w:t>)</w:t>
            </w:r>
          </w:p>
        </w:tc>
        <w:tc>
          <w:tcPr>
            <w:tcW w:w="61" w:type="dxa"/>
            <w:tcBorders/>
            <w:vAlign w:val="bottom"/>
          </w:tcPr>
          <w:p>
            <w:pPr>
              <w:pStyle w:val="TableContents"/>
              <w:bidi w:val="0"/>
              <w:spacing w:before="0" w:after="283"/>
              <w:jc w:val="right"/>
              <w:rPr/>
            </w:pPr>
            <w:r>
              <w:rPr/>
              <w:t> </w:t>
            </w:r>
          </w:p>
        </w:tc>
        <w:tc>
          <w:tcPr>
            <w:tcW w:w="127" w:type="dxa"/>
            <w:tcBorders>
              <w:bottom w:val="single" w:sz="12" w:space="0" w:color="000000"/>
            </w:tcBorders>
            <w:tcMar>
              <w:bottom w:w="28" w:type="dxa"/>
            </w:tcMar>
            <w:vAlign w:val="bottom"/>
          </w:tcPr>
          <w:p>
            <w:pPr>
              <w:pStyle w:val="TableContents"/>
              <w:bidi w:val="0"/>
              <w:spacing w:before="0" w:after="0"/>
              <w:jc w:val="left"/>
              <w:rPr>
                <w:sz w:val="20"/>
              </w:rPr>
            </w:pPr>
            <w:r>
              <w:rPr>
                <w:sz w:val="20"/>
              </w:rPr>
              <w:t>$</w:t>
            </w:r>
          </w:p>
        </w:tc>
        <w:tc>
          <w:tcPr>
            <w:tcW w:w="665" w:type="dxa"/>
            <w:tcBorders>
              <w:bottom w:val="single" w:sz="12" w:space="0" w:color="000000"/>
            </w:tcBorders>
            <w:tcMar>
              <w:bottom w:w="28" w:type="dxa"/>
            </w:tcMar>
            <w:vAlign w:val="bottom"/>
          </w:tcPr>
          <w:p>
            <w:pPr>
              <w:pStyle w:val="TableContents"/>
              <w:bidi w:val="0"/>
              <w:spacing w:before="0" w:after="0"/>
              <w:jc w:val="right"/>
              <w:rPr>
                <w:sz w:val="20"/>
              </w:rPr>
            </w:pPr>
            <w:r>
              <w:rPr>
                <w:sz w:val="20"/>
              </w:rPr>
              <w:t>(24,967</w:t>
            </w:r>
          </w:p>
        </w:tc>
        <w:tc>
          <w:tcPr>
            <w:tcW w:w="80" w:type="dxa"/>
            <w:tcBorders/>
            <w:vAlign w:val="bottom"/>
          </w:tcPr>
          <w:p>
            <w:pPr>
              <w:pStyle w:val="TableContents"/>
              <w:bidi w:val="0"/>
              <w:spacing w:before="0" w:after="0"/>
              <w:jc w:val="left"/>
              <w:rPr>
                <w:sz w:val="20"/>
              </w:rPr>
            </w:pPr>
            <w:r>
              <w:rPr>
                <w:sz w:val="20"/>
              </w:rPr>
              <w:t>)</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sz w:val="20"/>
              </w:rPr>
            </w:pPr>
            <w:r>
              <w:rPr>
                <w:sz w:val="20"/>
              </w:rPr>
              <w:t>$</w:t>
            </w:r>
          </w:p>
        </w:tc>
        <w:tc>
          <w:tcPr>
            <w:tcW w:w="650" w:type="dxa"/>
            <w:tcBorders>
              <w:bottom w:val="single" w:sz="12" w:space="0" w:color="000000"/>
            </w:tcBorders>
            <w:tcMar>
              <w:bottom w:w="28" w:type="dxa"/>
            </w:tcMar>
            <w:vAlign w:val="bottom"/>
          </w:tcPr>
          <w:p>
            <w:pPr>
              <w:pStyle w:val="TableContents"/>
              <w:bidi w:val="0"/>
              <w:spacing w:before="0" w:after="283"/>
              <w:jc w:val="right"/>
              <w:rPr>
                <w:sz w:val="20"/>
              </w:rPr>
            </w:pPr>
            <w:r>
              <w:rPr>
                <w:sz w:val="20"/>
              </w:rPr>
              <w:t>(85,147</w:t>
            </w:r>
          </w:p>
        </w:tc>
        <w:tc>
          <w:tcPr>
            <w:tcW w:w="80" w:type="dxa"/>
            <w:tcBorders/>
            <w:vAlign w:val="bottom"/>
          </w:tcPr>
          <w:p>
            <w:pPr>
              <w:pStyle w:val="TableContents"/>
              <w:bidi w:val="0"/>
              <w:spacing w:before="0" w:after="283"/>
              <w:jc w:val="left"/>
              <w:rPr>
                <w:sz w:val="20"/>
              </w:rPr>
            </w:pPr>
            <w:r>
              <w:rPr>
                <w:sz w:val="20"/>
              </w:rPr>
              <w:t>)</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sz w:val="20"/>
              </w:rPr>
            </w:pPr>
            <w:r>
              <w:rPr>
                <w:sz w:val="20"/>
              </w:rPr>
              <w:t>$</w:t>
            </w:r>
          </w:p>
        </w:tc>
        <w:tc>
          <w:tcPr>
            <w:tcW w:w="650" w:type="dxa"/>
            <w:tcBorders>
              <w:bottom w:val="single" w:sz="12" w:space="0" w:color="000000"/>
            </w:tcBorders>
            <w:tcMar>
              <w:bottom w:w="28" w:type="dxa"/>
            </w:tcMar>
            <w:vAlign w:val="bottom"/>
          </w:tcPr>
          <w:p>
            <w:pPr>
              <w:pStyle w:val="TableContents"/>
              <w:bidi w:val="0"/>
              <w:spacing w:before="0" w:after="283"/>
              <w:jc w:val="right"/>
              <w:rPr>
                <w:sz w:val="20"/>
              </w:rPr>
            </w:pPr>
            <w:r>
              <w:rPr>
                <w:sz w:val="20"/>
              </w:rPr>
              <w:t>(29,883</w:t>
            </w:r>
          </w:p>
        </w:tc>
        <w:tc>
          <w:tcPr>
            <w:tcW w:w="80" w:type="dxa"/>
            <w:tcBorders/>
            <w:vAlign w:val="bottom"/>
          </w:tcPr>
          <w:p>
            <w:pPr>
              <w:pStyle w:val="TableContents"/>
              <w:bidi w:val="0"/>
              <w:spacing w:before="0" w:after="283"/>
              <w:jc w:val="left"/>
              <w:rPr>
                <w:sz w:val="20"/>
              </w:rPr>
            </w:pPr>
            <w:r>
              <w:rPr>
                <w:sz w:val="20"/>
              </w:rPr>
              <w:t>)</w:t>
            </w:r>
          </w:p>
        </w:tc>
      </w:tr>
    </w:tbl>
    <w:p>
      <w:pPr>
        <w:pStyle w:val="TextBody"/>
        <w:bidi w:val="0"/>
        <w:spacing w:before="0" w:after="0"/>
        <w:jc w:val="both"/>
        <w:rPr/>
      </w:pPr>
      <w:r>
        <w:rPr/>
      </w:r>
    </w:p>
    <w:p>
      <w:pPr>
        <w:pStyle w:val="TextBody"/>
        <w:bidi w:val="0"/>
        <w:spacing w:before="0" w:after="0"/>
        <w:jc w:val="center"/>
        <w:rPr>
          <w:rFonts w:ascii="Times New Roman" w:hAnsi="Times New Roman"/>
          <w:b w:val="false"/>
          <w:color w:val="000000"/>
          <w:sz w:val="20"/>
          <w:shd w:fill="FFFFFF" w:val="clear"/>
        </w:rPr>
      </w:pPr>
      <w:r>
        <w:rPr>
          <w:rFonts w:ascii="Times New Roman" w:hAnsi="Times New Roman"/>
          <w:b w:val="false"/>
          <w:color w:val="000000"/>
          <w:sz w:val="20"/>
          <w:shd w:fill="FFFFFF" w:val="clear"/>
        </w:rPr>
        <w:t>The accompanying notes are an integral part of these unaudited consolidated interim financial statements.</w:t>
      </w:r>
    </w:p>
    <w:p>
      <w:pPr>
        <w:pStyle w:val="TextBody"/>
        <w:bidi w:val="0"/>
        <w:spacing w:before="0" w:after="0"/>
        <w:jc w:val="both"/>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6</w:t>
      </w:r>
    </w:p>
    <w:p>
      <w:pPr>
        <w:pStyle w:val="HorizontalLine"/>
        <w:bidi w:val="0"/>
        <w:spacing w:before="200" w:after="200"/>
        <w:jc w:val="both"/>
        <w:rPr/>
      </w:pPr>
      <w:r>
        <w:rPr/>
      </w:r>
    </w:p>
    <w:p>
      <w:pPr>
        <w:pStyle w:val="TextBody"/>
        <w:bidi w:val="0"/>
        <w:spacing w:before="200" w:after="200"/>
        <w:jc w:val="both"/>
        <w:rPr/>
      </w:pPr>
      <w:hyperlink w:anchor="Contents">
        <w:r>
          <w:rPr>
            <w:rStyle w:val="InternetLink"/>
            <w:rFonts w:ascii="Times New Roman" w:hAnsi="Times New Roman"/>
            <w:b w:val="false"/>
            <w:i/>
            <w:color w:val="000000"/>
            <w:sz w:val="16"/>
            <w:shd w:fill="FFFFFF" w:val="clear"/>
          </w:rPr>
          <w:t>Table of Contents</w:t>
        </w:r>
      </w:hyperlink>
    </w:p>
    <w:p>
      <w:pPr>
        <w:pStyle w:val="TextBody"/>
        <w:bidi w:val="0"/>
        <w:spacing w:before="0" w:after="0"/>
        <w:jc w:val="right"/>
        <w:rPr>
          <w:rFonts w:ascii="Times New Roman" w:hAnsi="Times New Roman"/>
          <w:b/>
          <w:color w:val="000000"/>
          <w:sz w:val="20"/>
          <w:shd w:fill="FFFFFF" w:val="clear"/>
        </w:rPr>
      </w:pPr>
      <w:r>
        <w:rPr>
          <w:rFonts w:ascii="Times New Roman" w:hAnsi="Times New Roman"/>
          <w:b/>
          <w:color w:val="000000"/>
          <w:sz w:val="20"/>
          <w:shd w:fill="FFFFFF" w:val="clear"/>
        </w:rPr>
        <w:t>TABOOLA.COM LTD.</w:t>
      </w:r>
    </w:p>
    <w:p>
      <w:pPr>
        <w:pStyle w:val="TextBody"/>
        <w:bidi w:val="0"/>
        <w:spacing w:before="0" w:after="0"/>
        <w:jc w:val="right"/>
        <w:rPr>
          <w:b/>
        </w:rPr>
      </w:pPr>
      <w:r>
        <w:rPr>
          <w:b/>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 xml:space="preserve">CONSOLIDATED INTERIM STATEMENTS OF SHAREHOLDERS’ </w:t>
      </w:r>
      <w:bookmarkStart w:id="8" w:name="EQUITY"/>
      <w:bookmarkEnd w:id="8"/>
      <w:r>
        <w:rPr>
          <w:rFonts w:ascii="Times New Roman" w:hAnsi="Times New Roman"/>
          <w:b/>
          <w:color w:val="000000"/>
          <w:sz w:val="20"/>
          <w:shd w:fill="FFFFFF" w:val="clear"/>
        </w:rPr>
        <w:t xml:space="preserve">EQUITY </w:t>
      </w:r>
    </w:p>
    <w:p>
      <w:pPr>
        <w:pStyle w:val="HorizontalLine"/>
        <w:bidi w:val="0"/>
        <w:jc w:val="left"/>
        <w:rPr/>
      </w:pPr>
      <w:r>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U.S. dollars in thousands, except share and per share data</w:t>
      </w:r>
    </w:p>
    <w:p>
      <w:pPr>
        <w:pStyle w:val="TextBody"/>
        <w:bidi w:val="0"/>
        <w:spacing w:before="0" w:after="0"/>
        <w:jc w:val="left"/>
        <w:rPr>
          <w:b/>
        </w:rPr>
      </w:pPr>
      <w:r>
        <w:rPr>
          <w:b/>
        </w:rPr>
      </w:r>
    </w:p>
    <w:tbl>
      <w:tblPr>
        <w:tblW w:w="11275" w:type="dxa"/>
        <w:jc w:val="left"/>
        <w:tblInd w:w="0" w:type="dxa"/>
        <w:tblLayout w:type="fixed"/>
        <w:tblCellMar>
          <w:top w:w="0" w:type="dxa"/>
          <w:left w:w="0" w:type="dxa"/>
          <w:bottom w:w="0" w:type="dxa"/>
          <w:right w:w="0" w:type="dxa"/>
        </w:tblCellMar>
      </w:tblPr>
      <w:tblGrid>
        <w:gridCol w:w="1070"/>
        <w:gridCol w:w="60"/>
        <w:gridCol w:w="60"/>
        <w:gridCol w:w="950"/>
        <w:gridCol w:w="60"/>
        <w:gridCol w:w="60"/>
        <w:gridCol w:w="225"/>
        <w:gridCol w:w="470"/>
        <w:gridCol w:w="60"/>
        <w:gridCol w:w="60"/>
        <w:gridCol w:w="60"/>
        <w:gridCol w:w="1055"/>
        <w:gridCol w:w="80"/>
        <w:gridCol w:w="60"/>
        <w:gridCol w:w="225"/>
        <w:gridCol w:w="470"/>
        <w:gridCol w:w="60"/>
        <w:gridCol w:w="60"/>
        <w:gridCol w:w="158"/>
        <w:gridCol w:w="822"/>
        <w:gridCol w:w="80"/>
        <w:gridCol w:w="60"/>
        <w:gridCol w:w="125"/>
        <w:gridCol w:w="845"/>
        <w:gridCol w:w="80"/>
        <w:gridCol w:w="60"/>
        <w:gridCol w:w="160"/>
        <w:gridCol w:w="970"/>
        <w:gridCol w:w="80"/>
        <w:gridCol w:w="60"/>
        <w:gridCol w:w="311"/>
        <w:gridCol w:w="984"/>
        <w:gridCol w:w="80"/>
        <w:gridCol w:w="60"/>
        <w:gridCol w:w="143"/>
        <w:gridCol w:w="972"/>
        <w:gridCol w:w="80"/>
      </w:tblGrid>
      <w:tr>
        <w:trPr/>
        <w:tc>
          <w:tcPr>
            <w:tcW w:w="10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25" w:type="dxa"/>
            <w:gridSpan w:val="6"/>
            <w:tcBorders>
              <w:bottom w:val="single" w:sz="12" w:space="0" w:color="000000"/>
            </w:tcBorders>
            <w:tcMar>
              <w:bottom w:w="28" w:type="dxa"/>
            </w:tcMar>
            <w:vAlign w:val="bottom"/>
          </w:tcPr>
          <w:p>
            <w:pPr>
              <w:pStyle w:val="TableContents"/>
              <w:bidi w:val="0"/>
              <w:spacing w:before="0" w:after="0"/>
              <w:jc w:val="center"/>
              <w:rPr>
                <w:b/>
                <w:sz w:val="20"/>
              </w:rPr>
            </w:pPr>
            <w:r>
              <w:rPr>
                <w:b/>
                <w:sz w:val="20"/>
              </w:rPr>
              <w:t>Non-voting Ordinary</w:t>
            </w:r>
          </w:p>
          <w:p>
            <w:pPr>
              <w:pStyle w:val="TableContents"/>
              <w:bidi w:val="0"/>
              <w:spacing w:before="0" w:after="0"/>
              <w:jc w:val="center"/>
              <w:rPr>
                <w:b/>
                <w:sz w:val="20"/>
              </w:rPr>
            </w:pPr>
            <w:r>
              <w:rPr>
                <w:b/>
                <w:sz w:val="20"/>
              </w:rPr>
              <w:t>shares</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60" w:type="dxa"/>
            <w:tcBorders>
              <w:left w:val="single" w:sz="12" w:space="0" w:color="000000"/>
              <w:bottom w:val="single" w:sz="12" w:space="0" w:color="000000"/>
            </w:tcBorders>
            <w:tcMar>
              <w:left w:w="28" w:type="dxa"/>
              <w:bottom w:w="28" w:type="dxa"/>
            </w:tcMar>
            <w:vAlign w:val="bottom"/>
          </w:tcPr>
          <w:p>
            <w:pPr>
              <w:pStyle w:val="TableContents"/>
              <w:bidi w:val="0"/>
              <w:spacing w:before="0" w:after="283"/>
              <w:jc w:val="left"/>
              <w:rPr/>
            </w:pPr>
            <w:r>
              <w:rPr/>
              <w:t> </w:t>
            </w:r>
          </w:p>
        </w:tc>
        <w:tc>
          <w:tcPr>
            <w:tcW w:w="1950" w:type="dxa"/>
            <w:gridSpan w:val="6"/>
            <w:tcBorders>
              <w:bottom w:val="single" w:sz="12" w:space="0" w:color="000000"/>
            </w:tcBorders>
            <w:tcMar>
              <w:bottom w:w="28" w:type="dxa"/>
            </w:tcMar>
            <w:vAlign w:val="bottom"/>
          </w:tcPr>
          <w:p>
            <w:pPr>
              <w:pStyle w:val="TableContents"/>
              <w:bidi w:val="0"/>
              <w:spacing w:before="0" w:after="0"/>
              <w:jc w:val="center"/>
              <w:rPr>
                <w:b/>
                <w:sz w:val="20"/>
              </w:rPr>
            </w:pPr>
            <w:r>
              <w:rPr>
                <w:b/>
                <w:sz w:val="20"/>
              </w:rPr>
              <w:t>Ordinary shares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gridSpan w:val="2"/>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70" w:type="dxa"/>
            <w:gridSpan w:val="2"/>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30" w:type="dxa"/>
            <w:gridSpan w:val="2"/>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95" w:type="dxa"/>
            <w:gridSpan w:val="2"/>
            <w:tcBorders/>
            <w:vAlign w:val="bottom"/>
          </w:tcPr>
          <w:p>
            <w:pPr>
              <w:pStyle w:val="TableContents"/>
              <w:bidi w:val="0"/>
              <w:spacing w:before="0" w:after="283"/>
              <w:jc w:val="center"/>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5" w:type="dxa"/>
            <w:gridSpan w:val="2"/>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r>
      <w:tr>
        <w:trPr/>
        <w:tc>
          <w:tcPr>
            <w:tcW w:w="10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10" w:type="dxa"/>
            <w:gridSpan w:val="2"/>
            <w:tcBorders>
              <w:bottom w:val="single" w:sz="12" w:space="0" w:color="000000"/>
            </w:tcBorders>
            <w:tcMar>
              <w:bottom w:w="28" w:type="dxa"/>
            </w:tcMar>
            <w:vAlign w:val="bottom"/>
          </w:tcPr>
          <w:p>
            <w:pPr>
              <w:pStyle w:val="TableContents"/>
              <w:bidi w:val="0"/>
              <w:spacing w:before="0" w:after="0"/>
              <w:jc w:val="center"/>
              <w:rPr>
                <w:b/>
                <w:sz w:val="20"/>
              </w:rPr>
            </w:pPr>
            <w:r>
              <w:rPr>
                <w:b/>
                <w:sz w:val="20"/>
              </w:rPr>
              <w:t>Number</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95" w:type="dxa"/>
            <w:gridSpan w:val="2"/>
            <w:tcBorders>
              <w:bottom w:val="single" w:sz="12" w:space="0" w:color="000000"/>
            </w:tcBorders>
            <w:tcMar>
              <w:bottom w:w="28" w:type="dxa"/>
            </w:tcMar>
            <w:vAlign w:val="bottom"/>
          </w:tcPr>
          <w:p>
            <w:pPr>
              <w:pStyle w:val="TableContents"/>
              <w:bidi w:val="0"/>
              <w:spacing w:before="0" w:after="0"/>
              <w:jc w:val="center"/>
              <w:rPr>
                <w:b/>
                <w:sz w:val="20"/>
              </w:rPr>
            </w:pPr>
            <w:r>
              <w:rPr>
                <w:b/>
                <w:sz w:val="20"/>
              </w:rPr>
              <w:t>Amount</w:t>
            </w:r>
          </w:p>
        </w:tc>
        <w:tc>
          <w:tcPr>
            <w:tcW w:w="60" w:type="dxa"/>
            <w:tcBorders/>
            <w:vAlign w:val="bottom"/>
          </w:tcPr>
          <w:p>
            <w:pPr>
              <w:pStyle w:val="TableContents"/>
              <w:bidi w:val="0"/>
              <w:spacing w:before="0" w:after="283"/>
              <w:jc w:val="left"/>
              <w:rPr/>
            </w:pPr>
            <w:r>
              <w:rPr/>
              <w:t> </w:t>
            </w:r>
          </w:p>
        </w:tc>
        <w:tc>
          <w:tcPr>
            <w:tcW w:w="60" w:type="dxa"/>
            <w:tcBorders>
              <w:left w:val="single" w:sz="12" w:space="0" w:color="000000"/>
            </w:tcBorders>
            <w:tcMar>
              <w:left w:w="28" w:type="dxa"/>
            </w:tcMar>
            <w:vAlign w:val="bottom"/>
          </w:tcPr>
          <w:p>
            <w:pPr>
              <w:pStyle w:val="TableContents"/>
              <w:bidi w:val="0"/>
              <w:spacing w:before="0" w:after="283"/>
              <w:jc w:val="left"/>
              <w:rPr/>
            </w:pPr>
            <w:r>
              <w:rPr/>
              <w:t> </w:t>
            </w:r>
          </w:p>
        </w:tc>
        <w:tc>
          <w:tcPr>
            <w:tcW w:w="1115" w:type="dxa"/>
            <w:gridSpan w:val="2"/>
            <w:tcBorders>
              <w:bottom w:val="single" w:sz="12" w:space="0" w:color="000000"/>
            </w:tcBorders>
            <w:tcMar>
              <w:bottom w:w="28" w:type="dxa"/>
            </w:tcMar>
            <w:vAlign w:val="bottom"/>
          </w:tcPr>
          <w:p>
            <w:pPr>
              <w:pStyle w:val="TableContents"/>
              <w:bidi w:val="0"/>
              <w:spacing w:before="0" w:after="0"/>
              <w:jc w:val="center"/>
              <w:rPr>
                <w:b/>
                <w:sz w:val="20"/>
              </w:rPr>
            </w:pPr>
            <w:r>
              <w:rPr>
                <w:b/>
                <w:sz w:val="20"/>
              </w:rPr>
              <w:t>Number</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95" w:type="dxa"/>
            <w:gridSpan w:val="2"/>
            <w:tcBorders>
              <w:bottom w:val="single" w:sz="12" w:space="0" w:color="000000"/>
            </w:tcBorders>
            <w:tcMar>
              <w:bottom w:w="28" w:type="dxa"/>
            </w:tcMar>
            <w:vAlign w:val="bottom"/>
          </w:tcPr>
          <w:p>
            <w:pPr>
              <w:pStyle w:val="TableContents"/>
              <w:bidi w:val="0"/>
              <w:spacing w:before="0" w:after="0"/>
              <w:jc w:val="center"/>
              <w:rPr>
                <w:b/>
                <w:sz w:val="20"/>
              </w:rPr>
            </w:pPr>
            <w:r>
              <w:rPr>
                <w:b/>
                <w:sz w:val="20"/>
              </w:rPr>
              <w:t>Amount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gridSpan w:val="2"/>
            <w:tcBorders>
              <w:bottom w:val="single" w:sz="12" w:space="0" w:color="000000"/>
            </w:tcBorders>
            <w:tcMar>
              <w:bottom w:w="28" w:type="dxa"/>
            </w:tcMar>
            <w:vAlign w:val="bottom"/>
          </w:tcPr>
          <w:p>
            <w:pPr>
              <w:pStyle w:val="TableContents"/>
              <w:bidi w:val="0"/>
              <w:spacing w:before="0" w:after="0"/>
              <w:jc w:val="center"/>
              <w:rPr>
                <w:b/>
              </w:rPr>
            </w:pPr>
            <w:r>
              <w:rPr>
                <w:b/>
              </w:rPr>
              <w:t>Treasury</w:t>
            </w:r>
          </w:p>
          <w:p>
            <w:pPr>
              <w:pStyle w:val="TableContents"/>
              <w:bidi w:val="0"/>
              <w:spacing w:before="0" w:after="0"/>
              <w:jc w:val="center"/>
              <w:rPr>
                <w:b/>
              </w:rPr>
            </w:pPr>
            <w:r>
              <w:rPr>
                <w:b/>
              </w:rPr>
              <w:t xml:space="preserve">Ordinary </w:t>
            </w:r>
          </w:p>
          <w:p>
            <w:pPr>
              <w:pStyle w:val="TableContents"/>
              <w:bidi w:val="0"/>
              <w:spacing w:before="0" w:after="0"/>
              <w:jc w:val="center"/>
              <w:rPr>
                <w:b/>
              </w:rPr>
            </w:pPr>
            <w:r>
              <w:rPr>
                <w:b/>
              </w:rPr>
              <w:t xml:space="preserve">shares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70" w:type="dxa"/>
            <w:gridSpan w:val="2"/>
            <w:tcBorders>
              <w:bottom w:val="single" w:sz="12" w:space="0" w:color="000000"/>
            </w:tcBorders>
            <w:tcMar>
              <w:bottom w:w="28" w:type="dxa"/>
            </w:tcMar>
            <w:vAlign w:val="bottom"/>
          </w:tcPr>
          <w:p>
            <w:pPr>
              <w:pStyle w:val="TableContents"/>
              <w:bidi w:val="0"/>
              <w:spacing w:before="0" w:after="0"/>
              <w:jc w:val="center"/>
              <w:rPr>
                <w:b/>
                <w:sz w:val="20"/>
              </w:rPr>
            </w:pPr>
            <w:r>
              <w:rPr>
                <w:b/>
                <w:sz w:val="20"/>
              </w:rPr>
              <w:t>Additional</w:t>
            </w:r>
          </w:p>
          <w:p>
            <w:pPr>
              <w:pStyle w:val="TableContents"/>
              <w:bidi w:val="0"/>
              <w:spacing w:before="0" w:after="0"/>
              <w:jc w:val="center"/>
              <w:rPr>
                <w:b/>
                <w:sz w:val="20"/>
              </w:rPr>
            </w:pPr>
            <w:r>
              <w:rPr>
                <w:b/>
                <w:sz w:val="20"/>
              </w:rPr>
              <w:t>paid-in</w:t>
            </w:r>
          </w:p>
          <w:p>
            <w:pPr>
              <w:pStyle w:val="TableContents"/>
              <w:bidi w:val="0"/>
              <w:spacing w:before="0" w:after="0"/>
              <w:jc w:val="center"/>
              <w:rPr>
                <w:b/>
                <w:sz w:val="20"/>
              </w:rPr>
            </w:pPr>
            <w:r>
              <w:rPr>
                <w:b/>
                <w:sz w:val="20"/>
              </w:rPr>
              <w:t>capital</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30" w:type="dxa"/>
            <w:gridSpan w:val="2"/>
            <w:tcBorders>
              <w:bottom w:val="single" w:sz="12" w:space="0" w:color="000000"/>
            </w:tcBorders>
            <w:tcMar>
              <w:bottom w:w="28" w:type="dxa"/>
            </w:tcMar>
            <w:vAlign w:val="bottom"/>
          </w:tcPr>
          <w:p>
            <w:pPr>
              <w:pStyle w:val="TableContents"/>
              <w:bidi w:val="0"/>
              <w:spacing w:before="0" w:after="0"/>
              <w:jc w:val="center"/>
              <w:rPr>
                <w:b/>
                <w:sz w:val="20"/>
              </w:rPr>
            </w:pPr>
            <w:r>
              <w:rPr>
                <w:b/>
                <w:sz w:val="20"/>
              </w:rPr>
              <w:t>Accumulated</w:t>
            </w:r>
          </w:p>
          <w:p>
            <w:pPr>
              <w:pStyle w:val="TableContents"/>
              <w:bidi w:val="0"/>
              <w:spacing w:before="0" w:after="0"/>
              <w:jc w:val="center"/>
              <w:rPr>
                <w:b/>
                <w:sz w:val="20"/>
              </w:rPr>
            </w:pPr>
            <w:r>
              <w:rPr>
                <w:b/>
                <w:sz w:val="20"/>
              </w:rPr>
              <w:t>deficit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95" w:type="dxa"/>
            <w:gridSpan w:val="2"/>
            <w:tcBorders>
              <w:bottom w:val="single" w:sz="12" w:space="0" w:color="000000"/>
            </w:tcBorders>
            <w:tcMar>
              <w:bottom w:w="28" w:type="dxa"/>
            </w:tcMar>
            <w:vAlign w:val="bottom"/>
          </w:tcPr>
          <w:p>
            <w:pPr>
              <w:pStyle w:val="TableContents"/>
              <w:bidi w:val="0"/>
              <w:spacing w:before="0" w:after="0"/>
              <w:jc w:val="center"/>
              <w:rPr>
                <w:b/>
                <w:sz w:val="20"/>
              </w:rPr>
            </w:pPr>
            <w:r>
              <w:rPr>
                <w:b/>
                <w:sz w:val="20"/>
              </w:rPr>
              <w:t>Accumulated</w:t>
            </w:r>
          </w:p>
          <w:p>
            <w:pPr>
              <w:pStyle w:val="TableContents"/>
              <w:bidi w:val="0"/>
              <w:spacing w:before="0" w:after="0"/>
              <w:jc w:val="center"/>
              <w:rPr>
                <w:b/>
                <w:sz w:val="20"/>
              </w:rPr>
            </w:pPr>
            <w:r>
              <w:rPr>
                <w:b/>
                <w:sz w:val="20"/>
              </w:rPr>
              <w:t>other</w:t>
            </w:r>
          </w:p>
          <w:p>
            <w:pPr>
              <w:pStyle w:val="TableContents"/>
              <w:bidi w:val="0"/>
              <w:spacing w:before="0" w:after="0"/>
              <w:jc w:val="center"/>
              <w:rPr>
                <w:b/>
                <w:sz w:val="20"/>
              </w:rPr>
            </w:pPr>
            <w:r>
              <w:rPr>
                <w:b/>
                <w:sz w:val="20"/>
              </w:rPr>
              <w:t>comprehensive</w:t>
            </w:r>
          </w:p>
          <w:p>
            <w:pPr>
              <w:pStyle w:val="TableContents"/>
              <w:bidi w:val="0"/>
              <w:spacing w:before="0" w:after="0"/>
              <w:jc w:val="center"/>
              <w:rPr>
                <w:b/>
                <w:sz w:val="20"/>
              </w:rPr>
            </w:pPr>
            <w:r>
              <w:rPr>
                <w:b/>
                <w:sz w:val="20"/>
              </w:rPr>
              <w:t>loss</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5" w:type="dxa"/>
            <w:gridSpan w:val="2"/>
            <w:tcBorders>
              <w:bottom w:val="single" w:sz="12" w:space="0" w:color="000000"/>
            </w:tcBorders>
            <w:tcMar>
              <w:bottom w:w="28" w:type="dxa"/>
            </w:tcMar>
            <w:vAlign w:val="bottom"/>
          </w:tcPr>
          <w:p>
            <w:pPr>
              <w:pStyle w:val="TableContents"/>
              <w:bidi w:val="0"/>
              <w:spacing w:before="0" w:after="0"/>
              <w:jc w:val="center"/>
              <w:rPr>
                <w:b/>
                <w:sz w:val="20"/>
              </w:rPr>
            </w:pPr>
            <w:r>
              <w:rPr>
                <w:b/>
                <w:sz w:val="20"/>
              </w:rPr>
              <w:t>Total</w:t>
            </w:r>
          </w:p>
          <w:p>
            <w:pPr>
              <w:pStyle w:val="TableContents"/>
              <w:bidi w:val="0"/>
              <w:spacing w:before="0" w:after="0"/>
              <w:jc w:val="center"/>
              <w:rPr>
                <w:b/>
                <w:sz w:val="20"/>
              </w:rPr>
            </w:pPr>
            <w:r>
              <w:rPr>
                <w:b/>
                <w:sz w:val="20"/>
              </w:rPr>
              <w:t>shareholders’</w:t>
            </w:r>
          </w:p>
          <w:p>
            <w:pPr>
              <w:pStyle w:val="TableContents"/>
              <w:bidi w:val="0"/>
              <w:spacing w:before="0" w:after="0"/>
              <w:jc w:val="center"/>
              <w:rPr>
                <w:b/>
                <w:sz w:val="20"/>
              </w:rPr>
            </w:pPr>
            <w:r>
              <w:rPr>
                <w:b/>
                <w:sz w:val="20"/>
              </w:rPr>
              <w:t>equity</w:t>
            </w:r>
          </w:p>
        </w:tc>
        <w:tc>
          <w:tcPr>
            <w:tcW w:w="80" w:type="dxa"/>
            <w:tcBorders/>
            <w:vAlign w:val="bottom"/>
          </w:tcPr>
          <w:p>
            <w:pPr>
              <w:pStyle w:val="TableContents"/>
              <w:bidi w:val="0"/>
              <w:spacing w:before="0" w:after="283"/>
              <w:jc w:val="left"/>
              <w:rPr/>
            </w:pPr>
            <w:r>
              <w:rPr/>
              <w:t> </w:t>
            </w:r>
          </w:p>
        </w:tc>
      </w:tr>
      <w:tr>
        <w:trPr/>
        <w:tc>
          <w:tcPr>
            <w:tcW w:w="10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1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95"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left w:val="single" w:sz="12" w:space="0" w:color="000000"/>
            </w:tcBorders>
            <w:tcMar>
              <w:left w:w="28" w:type="dxa"/>
            </w:tcMar>
            <w:vAlign w:val="bottom"/>
          </w:tcPr>
          <w:p>
            <w:pPr>
              <w:pStyle w:val="TableContents"/>
              <w:bidi w:val="0"/>
              <w:spacing w:before="0" w:after="283"/>
              <w:jc w:val="left"/>
              <w:rPr/>
            </w:pPr>
            <w:r>
              <w:rPr/>
              <w:t> </w:t>
            </w:r>
          </w:p>
        </w:tc>
        <w:tc>
          <w:tcPr>
            <w:tcW w:w="1115" w:type="dxa"/>
            <w:gridSpan w:val="2"/>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95"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gridSpan w:val="2"/>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70" w:type="dxa"/>
            <w:gridSpan w:val="2"/>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30" w:type="dxa"/>
            <w:gridSpan w:val="2"/>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95" w:type="dxa"/>
            <w:gridSpan w:val="2"/>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5" w:type="dxa"/>
            <w:gridSpan w:val="2"/>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r>
      <w:tr>
        <w:trPr/>
        <w:tc>
          <w:tcPr>
            <w:tcW w:w="1070" w:type="dxa"/>
            <w:tcBorders/>
            <w:shd w:fill="CCEEFF" w:val="clear"/>
            <w:vAlign w:val="bottom"/>
          </w:tcPr>
          <w:p>
            <w:pPr>
              <w:pStyle w:val="TableContents"/>
              <w:bidi w:val="0"/>
              <w:spacing w:before="0" w:after="0"/>
              <w:ind w:left="180" w:right="0" w:hanging="0"/>
              <w:jc w:val="left"/>
              <w:rPr>
                <w:sz w:val="20"/>
              </w:rPr>
            </w:pPr>
            <w:r>
              <w:rPr>
                <w:sz w:val="20"/>
              </w:rPr>
              <w:t>Balance as of June 30, 2023 (unaudited)</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0"/>
              <w:jc w:val="right"/>
              <w:rPr>
                <w:sz w:val="20"/>
              </w:rPr>
            </w:pPr>
            <w:r>
              <w:rPr>
                <w:sz w:val="20"/>
              </w:rPr>
              <w:t>45,198,702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25" w:type="dxa"/>
            <w:tcBorders/>
            <w:shd w:fill="CCEEFF" w:val="clear"/>
            <w:vAlign w:val="bottom"/>
          </w:tcPr>
          <w:p>
            <w:pPr>
              <w:pStyle w:val="TableContents"/>
              <w:bidi w:val="0"/>
              <w:spacing w:before="0" w:after="0"/>
              <w:jc w:val="left"/>
              <w:rPr>
                <w:sz w:val="20"/>
              </w:rPr>
            </w:pPr>
            <w:r>
              <w:rPr>
                <w:sz w:val="20"/>
              </w:rPr>
              <w:t>$</w:t>
            </w:r>
          </w:p>
        </w:tc>
        <w:tc>
          <w:tcPr>
            <w:tcW w:w="470" w:type="dxa"/>
            <w:tcBorders/>
            <w:shd w:fill="CCEEFF" w:val="clear"/>
            <w:vAlign w:val="bottom"/>
          </w:tcPr>
          <w:p>
            <w:pPr>
              <w:pStyle w:val="TableContents"/>
              <w:bidi w:val="0"/>
              <w:spacing w:before="0" w:after="0"/>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left w:val="single" w:sz="12" w:space="0" w:color="000000"/>
            </w:tcBorders>
            <w:shd w:fill="CCEEFF" w:val="clear"/>
            <w:tcMar>
              <w:left w:w="28" w:type="dxa"/>
            </w:tcM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055" w:type="dxa"/>
            <w:tcBorders/>
            <w:shd w:fill="CCEEFF" w:val="clear"/>
            <w:vAlign w:val="bottom"/>
          </w:tcPr>
          <w:p>
            <w:pPr>
              <w:pStyle w:val="TableContents"/>
              <w:bidi w:val="0"/>
              <w:spacing w:before="0" w:after="0"/>
              <w:jc w:val="right"/>
              <w:rPr>
                <w:sz w:val="20"/>
              </w:rPr>
            </w:pPr>
            <w:r>
              <w:rPr>
                <w:sz w:val="20"/>
              </w:rPr>
              <w:t>300,637,035</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25" w:type="dxa"/>
            <w:tcBorders/>
            <w:shd w:fill="CCEEFF" w:val="clear"/>
            <w:vAlign w:val="bottom"/>
          </w:tcPr>
          <w:p>
            <w:pPr>
              <w:pStyle w:val="TableContents"/>
              <w:bidi w:val="0"/>
              <w:spacing w:before="0" w:after="0"/>
              <w:jc w:val="left"/>
              <w:rPr>
                <w:sz w:val="20"/>
              </w:rPr>
            </w:pPr>
            <w:r>
              <w:rPr>
                <w:sz w:val="20"/>
              </w:rPr>
              <w:t>$</w:t>
            </w:r>
          </w:p>
        </w:tc>
        <w:tc>
          <w:tcPr>
            <w:tcW w:w="470" w:type="dxa"/>
            <w:tcBorders/>
            <w:shd w:fill="CCEEFF" w:val="clear"/>
            <w:vAlign w:val="bottom"/>
          </w:tcPr>
          <w:p>
            <w:pPr>
              <w:pStyle w:val="TableContents"/>
              <w:bidi w:val="0"/>
              <w:spacing w:before="0" w:after="0"/>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8" w:type="dxa"/>
            <w:tcBorders/>
            <w:shd w:fill="CCEEFF" w:val="clear"/>
            <w:vAlign w:val="bottom"/>
          </w:tcPr>
          <w:p>
            <w:pPr>
              <w:pStyle w:val="TableContents"/>
              <w:bidi w:val="0"/>
              <w:spacing w:before="0" w:after="283"/>
              <w:jc w:val="left"/>
              <w:rPr>
                <w:sz w:val="20"/>
              </w:rPr>
            </w:pPr>
            <w:r>
              <w:rPr>
                <w:sz w:val="20"/>
              </w:rPr>
              <w:t>$</w:t>
            </w:r>
          </w:p>
        </w:tc>
        <w:tc>
          <w:tcPr>
            <w:tcW w:w="822" w:type="dxa"/>
            <w:tcBorders/>
            <w:shd w:fill="CCEEFF" w:val="clear"/>
            <w:vAlign w:val="bottom"/>
          </w:tcPr>
          <w:p>
            <w:pPr>
              <w:pStyle w:val="TableContents"/>
              <w:bidi w:val="0"/>
              <w:spacing w:before="0" w:after="283"/>
              <w:jc w:val="right"/>
              <w:rPr>
                <w:sz w:val="20"/>
              </w:rPr>
            </w:pPr>
            <w:r>
              <w:rPr>
                <w:sz w:val="20"/>
              </w:rPr>
              <w:t>(4,358</w:t>
            </w:r>
          </w:p>
        </w:tc>
        <w:tc>
          <w:tcPr>
            <w:tcW w:w="80" w:type="dxa"/>
            <w:tcBorders/>
            <w:shd w:fill="CCEEFF" w:val="clear"/>
            <w:vAlign w:val="bottom"/>
          </w:tcPr>
          <w:p>
            <w:pPr>
              <w:pStyle w:val="TableContents"/>
              <w:bidi w:val="0"/>
              <w:spacing w:before="0" w:after="283"/>
              <w:jc w:val="left"/>
              <w:rPr>
                <w:sz w:val="20"/>
              </w:rPr>
            </w:pPr>
            <w:r>
              <w:rPr>
                <w:sz w:val="20"/>
              </w:rPr>
              <w:t>)</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sz w:val="20"/>
              </w:rPr>
            </w:pPr>
            <w:r>
              <w:rPr>
                <w:sz w:val="20"/>
              </w:rPr>
              <w:t>$</w:t>
            </w:r>
          </w:p>
        </w:tc>
        <w:tc>
          <w:tcPr>
            <w:tcW w:w="845" w:type="dxa"/>
            <w:tcBorders/>
            <w:shd w:fill="CCEEFF" w:val="clear"/>
            <w:vAlign w:val="bottom"/>
          </w:tcPr>
          <w:p>
            <w:pPr>
              <w:pStyle w:val="TableContents"/>
              <w:bidi w:val="0"/>
              <w:spacing w:before="0" w:after="0"/>
              <w:jc w:val="right"/>
              <w:rPr>
                <w:sz w:val="20"/>
              </w:rPr>
            </w:pPr>
            <w:r>
              <w:rPr>
                <w:sz w:val="20"/>
              </w:rPr>
              <w:t>1,226,572</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0" w:type="dxa"/>
            <w:tcBorders/>
            <w:shd w:fill="CCEEFF" w:val="clear"/>
            <w:vAlign w:val="bottom"/>
          </w:tcPr>
          <w:p>
            <w:pPr>
              <w:pStyle w:val="TableContents"/>
              <w:bidi w:val="0"/>
              <w:spacing w:before="0" w:after="0"/>
              <w:jc w:val="left"/>
              <w:rPr>
                <w:sz w:val="20"/>
              </w:rPr>
            </w:pPr>
            <w:r>
              <w:rPr>
                <w:sz w:val="20"/>
              </w:rPr>
              <w:t>$</w:t>
            </w:r>
          </w:p>
        </w:tc>
        <w:tc>
          <w:tcPr>
            <w:tcW w:w="970" w:type="dxa"/>
            <w:tcBorders/>
            <w:shd w:fill="CCEEFF" w:val="clear"/>
            <w:vAlign w:val="bottom"/>
          </w:tcPr>
          <w:p>
            <w:pPr>
              <w:pStyle w:val="TableContents"/>
              <w:bidi w:val="0"/>
              <w:spacing w:before="0" w:after="0"/>
              <w:jc w:val="right"/>
              <w:rPr>
                <w:sz w:val="20"/>
              </w:rPr>
            </w:pPr>
            <w:r>
              <w:rPr>
                <w:sz w:val="20"/>
              </w:rPr>
              <w:t>(131,047</w:t>
            </w:r>
          </w:p>
        </w:tc>
        <w:tc>
          <w:tcPr>
            <w:tcW w:w="80" w:type="dxa"/>
            <w:tcBorders/>
            <w:shd w:fill="CCEEFF" w:val="clear"/>
            <w:vAlign w:val="bottom"/>
          </w:tcPr>
          <w:p>
            <w:pPr>
              <w:pStyle w:val="TableContents"/>
              <w:bidi w:val="0"/>
              <w:spacing w:before="0" w:after="0"/>
              <w:jc w:val="left"/>
              <w:rPr>
                <w:sz w:val="20"/>
              </w:rPr>
            </w:pPr>
            <w:r>
              <w:rPr>
                <w:sz w:val="20"/>
              </w:rPr>
              <w:t>)</w:t>
            </w:r>
          </w:p>
        </w:tc>
        <w:tc>
          <w:tcPr>
            <w:tcW w:w="60" w:type="dxa"/>
            <w:tcBorders/>
            <w:shd w:fill="CCEEFF" w:val="clear"/>
            <w:vAlign w:val="bottom"/>
          </w:tcPr>
          <w:p>
            <w:pPr>
              <w:pStyle w:val="TableContents"/>
              <w:bidi w:val="0"/>
              <w:spacing w:before="0" w:after="283"/>
              <w:jc w:val="right"/>
              <w:rPr/>
            </w:pPr>
            <w:r>
              <w:rPr/>
              <w:t> </w:t>
            </w:r>
          </w:p>
        </w:tc>
        <w:tc>
          <w:tcPr>
            <w:tcW w:w="311" w:type="dxa"/>
            <w:tcBorders/>
            <w:shd w:fill="CCEEFF" w:val="clear"/>
            <w:vAlign w:val="bottom"/>
          </w:tcPr>
          <w:p>
            <w:pPr>
              <w:pStyle w:val="TableContents"/>
              <w:bidi w:val="0"/>
              <w:spacing w:before="0" w:after="0"/>
              <w:jc w:val="left"/>
              <w:rPr>
                <w:sz w:val="20"/>
              </w:rPr>
            </w:pPr>
            <w:r>
              <w:rPr>
                <w:sz w:val="20"/>
              </w:rPr>
              <w:t>$</w:t>
            </w:r>
          </w:p>
        </w:tc>
        <w:tc>
          <w:tcPr>
            <w:tcW w:w="984" w:type="dxa"/>
            <w:tcBorders/>
            <w:shd w:fill="CCEEFF" w:val="clear"/>
            <w:vAlign w:val="bottom"/>
          </w:tcPr>
          <w:p>
            <w:pPr>
              <w:pStyle w:val="TableContents"/>
              <w:bidi w:val="0"/>
              <w:spacing w:before="0" w:after="0"/>
              <w:jc w:val="right"/>
              <w:rPr>
                <w:sz w:val="20"/>
              </w:rPr>
            </w:pPr>
            <w:r>
              <w:rPr>
                <w:sz w:val="20"/>
              </w:rPr>
              <w:t>(834</w:t>
            </w:r>
          </w:p>
        </w:tc>
        <w:tc>
          <w:tcPr>
            <w:tcW w:w="80" w:type="dxa"/>
            <w:tcBorders/>
            <w:shd w:fill="CCEEFF" w:val="clear"/>
            <w:vAlign w:val="bottom"/>
          </w:tcPr>
          <w:p>
            <w:pPr>
              <w:pStyle w:val="TableContents"/>
              <w:bidi w:val="0"/>
              <w:spacing w:before="0" w:after="0"/>
              <w:jc w:val="left"/>
              <w:rPr>
                <w:sz w:val="20"/>
              </w:rPr>
            </w:pPr>
            <w:r>
              <w:rPr>
                <w:sz w:val="20"/>
              </w:rPr>
              <w:t>)</w:t>
            </w:r>
          </w:p>
        </w:tc>
        <w:tc>
          <w:tcPr>
            <w:tcW w:w="60" w:type="dxa"/>
            <w:tcBorders/>
            <w:shd w:fill="CCEEFF" w:val="clear"/>
            <w:vAlign w:val="bottom"/>
          </w:tcPr>
          <w:p>
            <w:pPr>
              <w:pStyle w:val="TableContents"/>
              <w:bidi w:val="0"/>
              <w:spacing w:before="0" w:after="283"/>
              <w:jc w:val="right"/>
              <w:rPr/>
            </w:pPr>
            <w:r>
              <w:rPr/>
              <w:t> </w:t>
            </w:r>
          </w:p>
        </w:tc>
        <w:tc>
          <w:tcPr>
            <w:tcW w:w="143" w:type="dxa"/>
            <w:tcBorders/>
            <w:shd w:fill="CCEEFF" w:val="clear"/>
            <w:vAlign w:val="bottom"/>
          </w:tcPr>
          <w:p>
            <w:pPr>
              <w:pStyle w:val="TableContents"/>
              <w:bidi w:val="0"/>
              <w:spacing w:before="0" w:after="0"/>
              <w:jc w:val="left"/>
              <w:rPr>
                <w:sz w:val="20"/>
              </w:rPr>
            </w:pPr>
            <w:r>
              <w:rPr>
                <w:sz w:val="20"/>
              </w:rPr>
              <w:t>$</w:t>
            </w:r>
          </w:p>
        </w:tc>
        <w:tc>
          <w:tcPr>
            <w:tcW w:w="972" w:type="dxa"/>
            <w:tcBorders/>
            <w:shd w:fill="CCEEFF" w:val="clear"/>
            <w:vAlign w:val="bottom"/>
          </w:tcPr>
          <w:p>
            <w:pPr>
              <w:pStyle w:val="TableContents"/>
              <w:bidi w:val="0"/>
              <w:spacing w:before="0" w:after="0"/>
              <w:jc w:val="right"/>
              <w:rPr>
                <w:sz w:val="20"/>
              </w:rPr>
            </w:pPr>
            <w:r>
              <w:rPr>
                <w:sz w:val="20"/>
              </w:rPr>
              <w:t>1,090,333</w:t>
            </w:r>
          </w:p>
        </w:tc>
        <w:tc>
          <w:tcPr>
            <w:tcW w:w="80" w:type="dxa"/>
            <w:tcBorders/>
            <w:shd w:fill="CCEEFF" w:val="clear"/>
            <w:vAlign w:val="bottom"/>
          </w:tcPr>
          <w:p>
            <w:pPr>
              <w:pStyle w:val="TableContents"/>
              <w:bidi w:val="0"/>
              <w:spacing w:before="0" w:after="283"/>
              <w:jc w:val="left"/>
              <w:rPr/>
            </w:pPr>
            <w:r>
              <w:rPr/>
              <w:t> </w:t>
            </w:r>
          </w:p>
        </w:tc>
      </w:tr>
      <w:tr>
        <w:trPr/>
        <w:tc>
          <w:tcPr>
            <w:tcW w:w="1070" w:type="dxa"/>
            <w:tcBorders/>
            <w:vAlign w:val="bottom"/>
          </w:tcPr>
          <w:p>
            <w:pPr>
              <w:pStyle w:val="TableContents"/>
              <w:bidi w:val="0"/>
              <w:spacing w:before="0" w:after="0"/>
              <w:ind w:left="360" w:right="0" w:hanging="360"/>
              <w:jc w:val="left"/>
              <w:rPr>
                <w:sz w:val="20"/>
              </w:rPr>
            </w:pPr>
            <w:r>
              <w:rPr>
                <w:sz w:val="20"/>
              </w:rPr>
              <w:t>Share-based compensation expenses</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25" w:type="dxa"/>
            <w:tcBorders/>
            <w:vAlign w:val="bottom"/>
          </w:tcPr>
          <w:p>
            <w:pPr>
              <w:pStyle w:val="TableContents"/>
              <w:bidi w:val="0"/>
              <w:spacing w:before="0" w:after="283"/>
              <w:jc w:val="left"/>
              <w:rPr/>
            </w:pPr>
            <w:r>
              <w:rPr/>
              <w:t> </w:t>
            </w:r>
          </w:p>
        </w:tc>
        <w:tc>
          <w:tcPr>
            <w:tcW w:w="470" w:type="dxa"/>
            <w:tcBorders/>
            <w:vAlign w:val="bottom"/>
          </w:tcPr>
          <w:p>
            <w:pPr>
              <w:pStyle w:val="TableContents"/>
              <w:bidi w:val="0"/>
              <w:spacing w:before="0" w:after="0"/>
              <w:jc w:val="right"/>
              <w:rPr/>
            </w:pPr>
            <w:r>
              <w:rPr/>
              <w:t>—</w:t>
            </w:r>
          </w:p>
        </w:tc>
        <w:tc>
          <w:tcPr>
            <w:tcW w:w="60" w:type="dxa"/>
            <w:tcBorders/>
            <w:vAlign w:val="bottom"/>
          </w:tcPr>
          <w:p>
            <w:pPr>
              <w:pStyle w:val="TableContents"/>
              <w:bidi w:val="0"/>
              <w:spacing w:before="0" w:after="283"/>
              <w:jc w:val="left"/>
              <w:rPr/>
            </w:pPr>
            <w:r>
              <w:rPr/>
              <w:t> </w:t>
            </w:r>
          </w:p>
        </w:tc>
        <w:tc>
          <w:tcPr>
            <w:tcW w:w="60" w:type="dxa"/>
            <w:tcBorders>
              <w:left w:val="single" w:sz="12" w:space="0" w:color="000000"/>
            </w:tcBorders>
            <w:tcMar>
              <w:left w:w="28" w:type="dxa"/>
            </w:tcMar>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055" w:type="dxa"/>
            <w:tcBorders/>
            <w:vAlign w:val="bottom"/>
          </w:tcPr>
          <w:p>
            <w:pPr>
              <w:pStyle w:val="TableContents"/>
              <w:bidi w:val="0"/>
              <w:spacing w:before="0" w:after="0"/>
              <w:jc w:val="right"/>
              <w:rPr/>
            </w:pPr>
            <w:r>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25" w:type="dxa"/>
            <w:tcBorders/>
            <w:vAlign w:val="bottom"/>
          </w:tcPr>
          <w:p>
            <w:pPr>
              <w:pStyle w:val="TableContents"/>
              <w:bidi w:val="0"/>
              <w:spacing w:before="0" w:after="283"/>
              <w:jc w:val="left"/>
              <w:rPr/>
            </w:pPr>
            <w:r>
              <w:rPr/>
              <w:t> </w:t>
            </w:r>
          </w:p>
        </w:tc>
        <w:tc>
          <w:tcPr>
            <w:tcW w:w="470" w:type="dxa"/>
            <w:tcBorders/>
            <w:vAlign w:val="bottom"/>
          </w:tcPr>
          <w:p>
            <w:pPr>
              <w:pStyle w:val="TableContents"/>
              <w:bidi w:val="0"/>
              <w:spacing w:before="0" w:after="0"/>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58" w:type="dxa"/>
            <w:tcBorders/>
            <w:vAlign w:val="bottom"/>
          </w:tcPr>
          <w:p>
            <w:pPr>
              <w:pStyle w:val="TableContents"/>
              <w:bidi w:val="0"/>
              <w:spacing w:before="0" w:after="283"/>
              <w:jc w:val="left"/>
              <w:rPr/>
            </w:pPr>
            <w:r>
              <w:rPr/>
              <w:t> </w:t>
            </w:r>
          </w:p>
        </w:tc>
        <w:tc>
          <w:tcPr>
            <w:tcW w:w="822" w:type="dxa"/>
            <w:tcBorders/>
            <w:vAlign w:val="bottom"/>
          </w:tcPr>
          <w:p>
            <w:pPr>
              <w:pStyle w:val="TableContents"/>
              <w:bidi w:val="0"/>
              <w:spacing w:before="0" w:after="283"/>
              <w:jc w:val="right"/>
              <w:rPr/>
            </w:pPr>
            <w:r>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sz w:val="20"/>
              </w:rPr>
            </w:pPr>
            <w:r>
              <w:rPr>
                <w:sz w:val="20"/>
              </w:rPr>
              <w:t>16,650</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60" w:type="dxa"/>
            <w:tcBorders/>
            <w:vAlign w:val="bottom"/>
          </w:tcPr>
          <w:p>
            <w:pPr>
              <w:pStyle w:val="TableContents"/>
              <w:bidi w:val="0"/>
              <w:spacing w:before="0" w:after="283"/>
              <w:jc w:val="left"/>
              <w:rPr/>
            </w:pPr>
            <w:r>
              <w:rPr/>
              <w:t> </w:t>
            </w:r>
          </w:p>
        </w:tc>
        <w:tc>
          <w:tcPr>
            <w:tcW w:w="970" w:type="dxa"/>
            <w:tcBorders/>
            <w:vAlign w:val="bottom"/>
          </w:tcPr>
          <w:p>
            <w:pPr>
              <w:pStyle w:val="TableContents"/>
              <w:bidi w:val="0"/>
              <w:spacing w:before="0" w:after="0"/>
              <w:jc w:val="right"/>
              <w:rPr/>
            </w:pPr>
            <w:r>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311" w:type="dxa"/>
            <w:tcBorders/>
            <w:vAlign w:val="bottom"/>
          </w:tcPr>
          <w:p>
            <w:pPr>
              <w:pStyle w:val="TableContents"/>
              <w:bidi w:val="0"/>
              <w:spacing w:before="0" w:after="283"/>
              <w:jc w:val="left"/>
              <w:rPr/>
            </w:pPr>
            <w:r>
              <w:rPr/>
              <w:t> </w:t>
            </w:r>
          </w:p>
        </w:tc>
        <w:tc>
          <w:tcPr>
            <w:tcW w:w="984" w:type="dxa"/>
            <w:tcBorders/>
            <w:vAlign w:val="bottom"/>
          </w:tcPr>
          <w:p>
            <w:pPr>
              <w:pStyle w:val="TableContents"/>
              <w:bidi w:val="0"/>
              <w:spacing w:before="0" w:after="0"/>
              <w:jc w:val="right"/>
              <w:rPr/>
            </w:pPr>
            <w:r>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3" w:type="dxa"/>
            <w:tcBorders/>
            <w:vAlign w:val="bottom"/>
          </w:tcPr>
          <w:p>
            <w:pPr>
              <w:pStyle w:val="TableContents"/>
              <w:bidi w:val="0"/>
              <w:spacing w:before="0" w:after="283"/>
              <w:jc w:val="left"/>
              <w:rPr/>
            </w:pPr>
            <w:r>
              <w:rPr/>
              <w:t> </w:t>
            </w:r>
          </w:p>
        </w:tc>
        <w:tc>
          <w:tcPr>
            <w:tcW w:w="972" w:type="dxa"/>
            <w:tcBorders/>
            <w:vAlign w:val="bottom"/>
          </w:tcPr>
          <w:p>
            <w:pPr>
              <w:pStyle w:val="TableContents"/>
              <w:bidi w:val="0"/>
              <w:spacing w:before="0" w:after="0"/>
              <w:jc w:val="right"/>
              <w:rPr>
                <w:sz w:val="20"/>
              </w:rPr>
            </w:pPr>
            <w:r>
              <w:rPr>
                <w:sz w:val="20"/>
              </w:rPr>
              <w:t>16,650</w:t>
            </w:r>
          </w:p>
        </w:tc>
        <w:tc>
          <w:tcPr>
            <w:tcW w:w="80" w:type="dxa"/>
            <w:tcBorders/>
            <w:vAlign w:val="bottom"/>
          </w:tcPr>
          <w:p>
            <w:pPr>
              <w:pStyle w:val="TableContents"/>
              <w:bidi w:val="0"/>
              <w:spacing w:before="0" w:after="283"/>
              <w:jc w:val="left"/>
              <w:rPr/>
            </w:pPr>
            <w:r>
              <w:rPr/>
              <w:t> </w:t>
            </w:r>
          </w:p>
        </w:tc>
      </w:tr>
      <w:tr>
        <w:trPr/>
        <w:tc>
          <w:tcPr>
            <w:tcW w:w="1070" w:type="dxa"/>
            <w:tcBorders/>
            <w:shd w:fill="CCEEFF" w:val="clear"/>
            <w:vAlign w:val="bottom"/>
          </w:tcPr>
          <w:p>
            <w:pPr>
              <w:pStyle w:val="TableContents"/>
              <w:bidi w:val="0"/>
              <w:spacing w:before="0" w:after="0"/>
              <w:ind w:left="180" w:right="0" w:hanging="180"/>
              <w:jc w:val="left"/>
              <w:rPr>
                <w:sz w:val="20"/>
              </w:rPr>
            </w:pPr>
            <w:r>
              <w:rPr>
                <w:sz w:val="20"/>
              </w:rPr>
              <w:t>Repurchase of Ordinary Shares</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25" w:type="dxa"/>
            <w:tcBorders/>
            <w:shd w:fill="CCEEFF" w:val="clear"/>
            <w:vAlign w:val="bottom"/>
          </w:tcPr>
          <w:p>
            <w:pPr>
              <w:pStyle w:val="TableContents"/>
              <w:bidi w:val="0"/>
              <w:spacing w:before="0" w:after="283"/>
              <w:jc w:val="left"/>
              <w:rPr/>
            </w:pPr>
            <w:r>
              <w:rPr/>
              <w:t> </w:t>
            </w:r>
          </w:p>
        </w:tc>
        <w:tc>
          <w:tcPr>
            <w:tcW w:w="47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left w:val="single" w:sz="12" w:space="0" w:color="000000"/>
            </w:tcBorders>
            <w:shd w:fill="CCEEFF" w:val="clear"/>
            <w:tcMar>
              <w:left w:w="28" w:type="dxa"/>
            </w:tcM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055" w:type="dxa"/>
            <w:tcBorders/>
            <w:shd w:fill="CCEEFF" w:val="clear"/>
            <w:vAlign w:val="bottom"/>
          </w:tcPr>
          <w:p>
            <w:pPr>
              <w:pStyle w:val="TableContents"/>
              <w:bidi w:val="0"/>
              <w:spacing w:before="0" w:after="283"/>
              <w:jc w:val="right"/>
              <w:rPr>
                <w:sz w:val="20"/>
              </w:rPr>
            </w:pPr>
            <w:r>
              <w:rPr>
                <w:sz w:val="20"/>
              </w:rPr>
              <w:t>(5,230,915</w:t>
            </w:r>
          </w:p>
        </w:tc>
        <w:tc>
          <w:tcPr>
            <w:tcW w:w="80" w:type="dxa"/>
            <w:tcBorders/>
            <w:shd w:fill="CCEEFF" w:val="clear"/>
            <w:vAlign w:val="bottom"/>
          </w:tcPr>
          <w:p>
            <w:pPr>
              <w:pStyle w:val="TableContents"/>
              <w:bidi w:val="0"/>
              <w:spacing w:before="0" w:after="283"/>
              <w:jc w:val="left"/>
              <w:rPr>
                <w:sz w:val="20"/>
              </w:rPr>
            </w:pPr>
            <w:r>
              <w:rPr>
                <w:sz w:val="20"/>
              </w:rPr>
              <w:t>)</w:t>
            </w:r>
          </w:p>
        </w:tc>
        <w:tc>
          <w:tcPr>
            <w:tcW w:w="60" w:type="dxa"/>
            <w:tcBorders/>
            <w:shd w:fill="CCEEFF" w:val="clear"/>
            <w:vAlign w:val="bottom"/>
          </w:tcPr>
          <w:p>
            <w:pPr>
              <w:pStyle w:val="TableContents"/>
              <w:bidi w:val="0"/>
              <w:spacing w:before="0" w:after="283"/>
              <w:jc w:val="right"/>
              <w:rPr/>
            </w:pPr>
            <w:r>
              <w:rPr/>
              <w:t> </w:t>
            </w:r>
          </w:p>
        </w:tc>
        <w:tc>
          <w:tcPr>
            <w:tcW w:w="225" w:type="dxa"/>
            <w:tcBorders/>
            <w:shd w:fill="CCEEFF" w:val="clear"/>
            <w:vAlign w:val="bottom"/>
          </w:tcPr>
          <w:p>
            <w:pPr>
              <w:pStyle w:val="TableContents"/>
              <w:bidi w:val="0"/>
              <w:spacing w:before="0" w:after="283"/>
              <w:jc w:val="left"/>
              <w:rPr/>
            </w:pPr>
            <w:r>
              <w:rPr/>
              <w:t> </w:t>
            </w:r>
          </w:p>
        </w:tc>
        <w:tc>
          <w:tcPr>
            <w:tcW w:w="47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8" w:type="dxa"/>
            <w:tcBorders/>
            <w:shd w:fill="CCEEFF" w:val="clear"/>
            <w:vAlign w:val="bottom"/>
          </w:tcPr>
          <w:p>
            <w:pPr>
              <w:pStyle w:val="TableContents"/>
              <w:bidi w:val="0"/>
              <w:spacing w:before="0" w:after="283"/>
              <w:jc w:val="left"/>
              <w:rPr/>
            </w:pPr>
            <w:r>
              <w:rPr/>
              <w:t> </w:t>
            </w:r>
          </w:p>
        </w:tc>
        <w:tc>
          <w:tcPr>
            <w:tcW w:w="822" w:type="dxa"/>
            <w:tcBorders/>
            <w:shd w:fill="CCEEFF" w:val="clear"/>
            <w:vAlign w:val="bottom"/>
          </w:tcPr>
          <w:p>
            <w:pPr>
              <w:pStyle w:val="TableContents"/>
              <w:bidi w:val="0"/>
              <w:spacing w:before="0" w:after="283"/>
              <w:jc w:val="right"/>
              <w:rPr>
                <w:sz w:val="20"/>
              </w:rPr>
            </w:pPr>
            <w:r>
              <w:rPr>
                <w:sz w:val="20"/>
              </w:rPr>
              <w:t>(18,799</w:t>
            </w:r>
          </w:p>
        </w:tc>
        <w:tc>
          <w:tcPr>
            <w:tcW w:w="80" w:type="dxa"/>
            <w:tcBorders/>
            <w:shd w:fill="CCEEFF" w:val="clear"/>
            <w:vAlign w:val="bottom"/>
          </w:tcPr>
          <w:p>
            <w:pPr>
              <w:pStyle w:val="TableContents"/>
              <w:bidi w:val="0"/>
              <w:spacing w:before="0" w:after="283"/>
              <w:jc w:val="left"/>
              <w:rPr>
                <w:sz w:val="20"/>
              </w:rPr>
            </w:pPr>
            <w:r>
              <w:rPr>
                <w:sz w:val="20"/>
              </w:rPr>
              <w:t>)</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283"/>
              <w:jc w:val="right"/>
              <w:rPr/>
            </w:pPr>
            <w:r>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0" w:type="dxa"/>
            <w:tcBorders/>
            <w:shd w:fill="CCEEFF" w:val="clear"/>
            <w:vAlign w:val="bottom"/>
          </w:tcPr>
          <w:p>
            <w:pPr>
              <w:pStyle w:val="TableContents"/>
              <w:bidi w:val="0"/>
              <w:spacing w:before="0" w:after="283"/>
              <w:jc w:val="left"/>
              <w:rPr/>
            </w:pPr>
            <w:r>
              <w:rPr/>
              <w:t> </w:t>
            </w:r>
          </w:p>
        </w:tc>
        <w:tc>
          <w:tcPr>
            <w:tcW w:w="970" w:type="dxa"/>
            <w:tcBorders/>
            <w:shd w:fill="CCEEFF" w:val="clear"/>
            <w:vAlign w:val="bottom"/>
          </w:tcPr>
          <w:p>
            <w:pPr>
              <w:pStyle w:val="TableContents"/>
              <w:bidi w:val="0"/>
              <w:spacing w:before="0" w:after="283"/>
              <w:jc w:val="right"/>
              <w:rPr/>
            </w:pPr>
            <w:r>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311" w:type="dxa"/>
            <w:tcBorders/>
            <w:shd w:fill="CCEEFF" w:val="clear"/>
            <w:vAlign w:val="bottom"/>
          </w:tcPr>
          <w:p>
            <w:pPr>
              <w:pStyle w:val="TableContents"/>
              <w:bidi w:val="0"/>
              <w:spacing w:before="0" w:after="283"/>
              <w:jc w:val="left"/>
              <w:rPr/>
            </w:pPr>
            <w:r>
              <w:rPr/>
              <w:t> </w:t>
            </w:r>
          </w:p>
        </w:tc>
        <w:tc>
          <w:tcPr>
            <w:tcW w:w="984" w:type="dxa"/>
            <w:tcBorders/>
            <w:shd w:fill="CCEEFF" w:val="clear"/>
            <w:vAlign w:val="bottom"/>
          </w:tcPr>
          <w:p>
            <w:pPr>
              <w:pStyle w:val="TableContents"/>
              <w:bidi w:val="0"/>
              <w:spacing w:before="0" w:after="283"/>
              <w:jc w:val="right"/>
              <w:rPr/>
            </w:pPr>
            <w:r>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3" w:type="dxa"/>
            <w:tcBorders/>
            <w:shd w:fill="CCEEFF" w:val="clear"/>
            <w:vAlign w:val="bottom"/>
          </w:tcPr>
          <w:p>
            <w:pPr>
              <w:pStyle w:val="TableContents"/>
              <w:bidi w:val="0"/>
              <w:spacing w:before="0" w:after="283"/>
              <w:jc w:val="left"/>
              <w:rPr/>
            </w:pPr>
            <w:r>
              <w:rPr/>
              <w:t> </w:t>
            </w:r>
          </w:p>
        </w:tc>
        <w:tc>
          <w:tcPr>
            <w:tcW w:w="972" w:type="dxa"/>
            <w:tcBorders/>
            <w:shd w:fill="CCEEFF" w:val="clear"/>
            <w:vAlign w:val="bottom"/>
          </w:tcPr>
          <w:p>
            <w:pPr>
              <w:pStyle w:val="TableContents"/>
              <w:bidi w:val="0"/>
              <w:spacing w:before="0" w:after="283"/>
              <w:jc w:val="right"/>
              <w:rPr>
                <w:sz w:val="20"/>
              </w:rPr>
            </w:pPr>
            <w:r>
              <w:rPr>
                <w:sz w:val="20"/>
              </w:rPr>
              <w:t>(18,799</w:t>
            </w:r>
          </w:p>
        </w:tc>
        <w:tc>
          <w:tcPr>
            <w:tcW w:w="80" w:type="dxa"/>
            <w:tcBorders/>
            <w:shd w:fill="CCEEFF" w:val="clear"/>
            <w:vAlign w:val="bottom"/>
          </w:tcPr>
          <w:p>
            <w:pPr>
              <w:pStyle w:val="TableContents"/>
              <w:bidi w:val="0"/>
              <w:spacing w:before="0" w:after="283"/>
              <w:jc w:val="left"/>
              <w:rPr>
                <w:sz w:val="20"/>
              </w:rPr>
            </w:pPr>
            <w:r>
              <w:rPr>
                <w:sz w:val="20"/>
              </w:rPr>
              <w:t>)</w:t>
            </w:r>
          </w:p>
        </w:tc>
      </w:tr>
      <w:tr>
        <w:trPr/>
        <w:tc>
          <w:tcPr>
            <w:tcW w:w="1070" w:type="dxa"/>
            <w:tcBorders/>
            <w:vAlign w:val="bottom"/>
          </w:tcPr>
          <w:p>
            <w:pPr>
              <w:pStyle w:val="TableContents"/>
              <w:bidi w:val="0"/>
              <w:spacing w:before="0" w:after="0"/>
              <w:ind w:left="0" w:right="0" w:hanging="0"/>
              <w:jc w:val="left"/>
              <w:rPr>
                <w:sz w:val="20"/>
              </w:rPr>
            </w:pPr>
            <w:r>
              <w:rPr>
                <w:sz w:val="20"/>
              </w:rPr>
              <w:t>Exercise of options and vested RSUs</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25" w:type="dxa"/>
            <w:tcBorders/>
            <w:vAlign w:val="bottom"/>
          </w:tcPr>
          <w:p>
            <w:pPr>
              <w:pStyle w:val="TableContents"/>
              <w:bidi w:val="0"/>
              <w:spacing w:before="0" w:after="283"/>
              <w:jc w:val="left"/>
              <w:rPr/>
            </w:pPr>
            <w:r>
              <w:rPr/>
              <w:t> </w:t>
            </w:r>
          </w:p>
        </w:tc>
        <w:tc>
          <w:tcPr>
            <w:tcW w:w="470" w:type="dxa"/>
            <w:tcBorders/>
            <w:vAlign w:val="bottom"/>
          </w:tcPr>
          <w:p>
            <w:pPr>
              <w:pStyle w:val="TableContents"/>
              <w:bidi w:val="0"/>
              <w:spacing w:before="0" w:after="0"/>
              <w:jc w:val="right"/>
              <w:rPr/>
            </w:pPr>
            <w:r>
              <w:rPr/>
              <w:t>—</w:t>
            </w:r>
          </w:p>
        </w:tc>
        <w:tc>
          <w:tcPr>
            <w:tcW w:w="60" w:type="dxa"/>
            <w:tcBorders/>
            <w:vAlign w:val="bottom"/>
          </w:tcPr>
          <w:p>
            <w:pPr>
              <w:pStyle w:val="TableContents"/>
              <w:bidi w:val="0"/>
              <w:spacing w:before="0" w:after="283"/>
              <w:jc w:val="left"/>
              <w:rPr/>
            </w:pPr>
            <w:r>
              <w:rPr/>
              <w:t> </w:t>
            </w:r>
          </w:p>
        </w:tc>
        <w:tc>
          <w:tcPr>
            <w:tcW w:w="60" w:type="dxa"/>
            <w:tcBorders>
              <w:left w:val="single" w:sz="12" w:space="0" w:color="000000"/>
            </w:tcBorders>
            <w:tcMar>
              <w:left w:w="28" w:type="dxa"/>
            </w:tcMar>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055" w:type="dxa"/>
            <w:tcBorders/>
            <w:vAlign w:val="bottom"/>
          </w:tcPr>
          <w:p>
            <w:pPr>
              <w:pStyle w:val="TableContents"/>
              <w:bidi w:val="0"/>
              <w:spacing w:before="0" w:after="0"/>
              <w:jc w:val="right"/>
              <w:rPr>
                <w:sz w:val="20"/>
              </w:rPr>
            </w:pPr>
            <w:r>
              <w:rPr>
                <w:sz w:val="20"/>
              </w:rPr>
              <w:t>4,705,408</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25" w:type="dxa"/>
            <w:tcBorders/>
            <w:vAlign w:val="bottom"/>
          </w:tcPr>
          <w:p>
            <w:pPr>
              <w:pStyle w:val="TableContents"/>
              <w:bidi w:val="0"/>
              <w:spacing w:before="0" w:after="283"/>
              <w:jc w:val="left"/>
              <w:rPr/>
            </w:pPr>
            <w:r>
              <w:rPr/>
              <w:t> </w:t>
            </w:r>
          </w:p>
        </w:tc>
        <w:tc>
          <w:tcPr>
            <w:tcW w:w="470" w:type="dxa"/>
            <w:tcBorders/>
            <w:vAlign w:val="bottom"/>
          </w:tcPr>
          <w:p>
            <w:pPr>
              <w:pStyle w:val="TableContents"/>
              <w:bidi w:val="0"/>
              <w:spacing w:before="0" w:after="0"/>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58" w:type="dxa"/>
            <w:tcBorders/>
            <w:vAlign w:val="bottom"/>
          </w:tcPr>
          <w:p>
            <w:pPr>
              <w:pStyle w:val="TableContents"/>
              <w:bidi w:val="0"/>
              <w:spacing w:before="0" w:after="283"/>
              <w:jc w:val="left"/>
              <w:rPr/>
            </w:pPr>
            <w:r>
              <w:rPr/>
              <w:t> </w:t>
            </w:r>
          </w:p>
        </w:tc>
        <w:tc>
          <w:tcPr>
            <w:tcW w:w="822" w:type="dxa"/>
            <w:tcBorders/>
            <w:vAlign w:val="bottom"/>
          </w:tcPr>
          <w:p>
            <w:pPr>
              <w:pStyle w:val="TableContents"/>
              <w:bidi w:val="0"/>
              <w:spacing w:before="0" w:after="283"/>
              <w:jc w:val="right"/>
              <w:rPr/>
            </w:pPr>
            <w:r>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sz w:val="20"/>
              </w:rPr>
            </w:pPr>
            <w:r>
              <w:rPr>
                <w:sz w:val="20"/>
              </w:rPr>
              <w:t>2,750</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60" w:type="dxa"/>
            <w:tcBorders/>
            <w:vAlign w:val="bottom"/>
          </w:tcPr>
          <w:p>
            <w:pPr>
              <w:pStyle w:val="TableContents"/>
              <w:bidi w:val="0"/>
              <w:spacing w:before="0" w:after="283"/>
              <w:jc w:val="left"/>
              <w:rPr/>
            </w:pPr>
            <w:r>
              <w:rPr/>
              <w:t> </w:t>
            </w:r>
          </w:p>
        </w:tc>
        <w:tc>
          <w:tcPr>
            <w:tcW w:w="970" w:type="dxa"/>
            <w:tcBorders/>
            <w:vAlign w:val="bottom"/>
          </w:tcPr>
          <w:p>
            <w:pPr>
              <w:pStyle w:val="TableContents"/>
              <w:bidi w:val="0"/>
              <w:spacing w:before="0" w:after="0"/>
              <w:jc w:val="right"/>
              <w:rPr/>
            </w:pPr>
            <w:r>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311" w:type="dxa"/>
            <w:tcBorders/>
            <w:vAlign w:val="bottom"/>
          </w:tcPr>
          <w:p>
            <w:pPr>
              <w:pStyle w:val="TableContents"/>
              <w:bidi w:val="0"/>
              <w:spacing w:before="0" w:after="283"/>
              <w:jc w:val="left"/>
              <w:rPr/>
            </w:pPr>
            <w:r>
              <w:rPr/>
              <w:t> </w:t>
            </w:r>
          </w:p>
        </w:tc>
        <w:tc>
          <w:tcPr>
            <w:tcW w:w="984" w:type="dxa"/>
            <w:tcBorders/>
            <w:vAlign w:val="bottom"/>
          </w:tcPr>
          <w:p>
            <w:pPr>
              <w:pStyle w:val="TableContents"/>
              <w:bidi w:val="0"/>
              <w:spacing w:before="0" w:after="0"/>
              <w:jc w:val="right"/>
              <w:rPr/>
            </w:pPr>
            <w:r>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3" w:type="dxa"/>
            <w:tcBorders/>
            <w:vAlign w:val="bottom"/>
          </w:tcPr>
          <w:p>
            <w:pPr>
              <w:pStyle w:val="TableContents"/>
              <w:bidi w:val="0"/>
              <w:spacing w:before="0" w:after="283"/>
              <w:jc w:val="left"/>
              <w:rPr/>
            </w:pPr>
            <w:r>
              <w:rPr/>
              <w:t> </w:t>
            </w:r>
          </w:p>
        </w:tc>
        <w:tc>
          <w:tcPr>
            <w:tcW w:w="972" w:type="dxa"/>
            <w:tcBorders/>
            <w:vAlign w:val="bottom"/>
          </w:tcPr>
          <w:p>
            <w:pPr>
              <w:pStyle w:val="TableContents"/>
              <w:bidi w:val="0"/>
              <w:spacing w:before="0" w:after="0"/>
              <w:jc w:val="right"/>
              <w:rPr>
                <w:sz w:val="20"/>
              </w:rPr>
            </w:pPr>
            <w:r>
              <w:rPr>
                <w:sz w:val="20"/>
              </w:rPr>
              <w:t>2,750</w:t>
            </w:r>
          </w:p>
        </w:tc>
        <w:tc>
          <w:tcPr>
            <w:tcW w:w="80" w:type="dxa"/>
            <w:tcBorders/>
            <w:vAlign w:val="bottom"/>
          </w:tcPr>
          <w:p>
            <w:pPr>
              <w:pStyle w:val="TableContents"/>
              <w:bidi w:val="0"/>
              <w:spacing w:before="0" w:after="283"/>
              <w:jc w:val="left"/>
              <w:rPr/>
            </w:pPr>
            <w:r>
              <w:rPr/>
              <w:t> </w:t>
            </w:r>
          </w:p>
        </w:tc>
      </w:tr>
      <w:tr>
        <w:trPr/>
        <w:tc>
          <w:tcPr>
            <w:tcW w:w="1070" w:type="dxa"/>
            <w:tcBorders/>
            <w:shd w:fill="CCEEFF" w:val="clear"/>
            <w:vAlign w:val="bottom"/>
          </w:tcPr>
          <w:p>
            <w:pPr>
              <w:pStyle w:val="TableContents"/>
              <w:bidi w:val="0"/>
              <w:spacing w:before="0" w:after="283"/>
              <w:jc w:val="left"/>
              <w:rPr>
                <w:sz w:val="20"/>
              </w:rPr>
            </w:pPr>
            <w:r>
              <w:rPr>
                <w:sz w:val="20"/>
              </w:rPr>
              <w:t xml:space="preserve">Connexity issuance of Holdback  </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25" w:type="dxa"/>
            <w:tcBorders/>
            <w:shd w:fill="CCEEFF" w:val="clear"/>
            <w:vAlign w:val="bottom"/>
          </w:tcPr>
          <w:p>
            <w:pPr>
              <w:pStyle w:val="TableContents"/>
              <w:bidi w:val="0"/>
              <w:spacing w:before="0" w:after="283"/>
              <w:jc w:val="left"/>
              <w:rPr/>
            </w:pPr>
            <w:r>
              <w:rPr/>
              <w:t> </w:t>
            </w:r>
          </w:p>
        </w:tc>
        <w:tc>
          <w:tcPr>
            <w:tcW w:w="47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left w:val="single" w:sz="12" w:space="0" w:color="000000"/>
            </w:tcBorders>
            <w:shd w:fill="CCEEFF" w:val="clear"/>
            <w:tcMar>
              <w:left w:w="28" w:type="dxa"/>
            </w:tcM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055" w:type="dxa"/>
            <w:tcBorders/>
            <w:shd w:fill="CCEEFF" w:val="clear"/>
            <w:vAlign w:val="bottom"/>
          </w:tcPr>
          <w:p>
            <w:pPr>
              <w:pStyle w:val="TableContents"/>
              <w:bidi w:val="0"/>
              <w:spacing w:before="0" w:after="283"/>
              <w:jc w:val="right"/>
              <w:rPr>
                <w:sz w:val="20"/>
              </w:rPr>
            </w:pPr>
            <w:r>
              <w:rPr>
                <w:sz w:val="20"/>
              </w:rPr>
              <w:t>581,400</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25" w:type="dxa"/>
            <w:tcBorders/>
            <w:shd w:fill="CCEEFF" w:val="clear"/>
            <w:vAlign w:val="bottom"/>
          </w:tcPr>
          <w:p>
            <w:pPr>
              <w:pStyle w:val="TableContents"/>
              <w:bidi w:val="0"/>
              <w:spacing w:before="0" w:after="283"/>
              <w:jc w:val="left"/>
              <w:rPr/>
            </w:pPr>
            <w:r>
              <w:rPr/>
              <w:t> </w:t>
            </w:r>
          </w:p>
        </w:tc>
        <w:tc>
          <w:tcPr>
            <w:tcW w:w="47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8" w:type="dxa"/>
            <w:tcBorders/>
            <w:shd w:fill="CCEEFF" w:val="clear"/>
            <w:vAlign w:val="bottom"/>
          </w:tcPr>
          <w:p>
            <w:pPr>
              <w:pStyle w:val="TableContents"/>
              <w:bidi w:val="0"/>
              <w:spacing w:before="0" w:after="283"/>
              <w:jc w:val="left"/>
              <w:rPr/>
            </w:pPr>
            <w:r>
              <w:rPr/>
              <w:t> </w:t>
            </w:r>
          </w:p>
        </w:tc>
        <w:tc>
          <w:tcPr>
            <w:tcW w:w="822" w:type="dxa"/>
            <w:tcBorders/>
            <w:shd w:fill="CCEEFF" w:val="clear"/>
            <w:vAlign w:val="bottom"/>
          </w:tcPr>
          <w:p>
            <w:pPr>
              <w:pStyle w:val="TableContents"/>
              <w:bidi w:val="0"/>
              <w:spacing w:before="0" w:after="283"/>
              <w:jc w:val="right"/>
              <w:rPr/>
            </w:pPr>
            <w:r>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283"/>
              <w:jc w:val="right"/>
              <w:rPr/>
            </w:pPr>
            <w:r>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0" w:type="dxa"/>
            <w:tcBorders/>
            <w:shd w:fill="CCEEFF" w:val="clear"/>
            <w:vAlign w:val="bottom"/>
          </w:tcPr>
          <w:p>
            <w:pPr>
              <w:pStyle w:val="TableContents"/>
              <w:bidi w:val="0"/>
              <w:spacing w:before="0" w:after="283"/>
              <w:jc w:val="left"/>
              <w:rPr/>
            </w:pPr>
            <w:r>
              <w:rPr/>
              <w:t> </w:t>
            </w:r>
          </w:p>
        </w:tc>
        <w:tc>
          <w:tcPr>
            <w:tcW w:w="970" w:type="dxa"/>
            <w:tcBorders/>
            <w:shd w:fill="CCEEFF" w:val="clear"/>
            <w:vAlign w:val="bottom"/>
          </w:tcPr>
          <w:p>
            <w:pPr>
              <w:pStyle w:val="TableContents"/>
              <w:bidi w:val="0"/>
              <w:spacing w:before="0" w:after="283"/>
              <w:jc w:val="right"/>
              <w:rPr/>
            </w:pPr>
            <w:r>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311" w:type="dxa"/>
            <w:tcBorders/>
            <w:shd w:fill="CCEEFF" w:val="clear"/>
            <w:vAlign w:val="bottom"/>
          </w:tcPr>
          <w:p>
            <w:pPr>
              <w:pStyle w:val="TableContents"/>
              <w:bidi w:val="0"/>
              <w:spacing w:before="0" w:after="283"/>
              <w:jc w:val="left"/>
              <w:rPr/>
            </w:pPr>
            <w:r>
              <w:rPr/>
              <w:t> </w:t>
            </w:r>
          </w:p>
        </w:tc>
        <w:tc>
          <w:tcPr>
            <w:tcW w:w="984" w:type="dxa"/>
            <w:tcBorders/>
            <w:shd w:fill="CCEEFF" w:val="clear"/>
            <w:vAlign w:val="bottom"/>
          </w:tcPr>
          <w:p>
            <w:pPr>
              <w:pStyle w:val="TableContents"/>
              <w:bidi w:val="0"/>
              <w:spacing w:before="0" w:after="283"/>
              <w:jc w:val="right"/>
              <w:rPr/>
            </w:pPr>
            <w:r>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3" w:type="dxa"/>
            <w:tcBorders/>
            <w:shd w:fill="CCEEFF" w:val="clear"/>
            <w:vAlign w:val="bottom"/>
          </w:tcPr>
          <w:p>
            <w:pPr>
              <w:pStyle w:val="TableContents"/>
              <w:bidi w:val="0"/>
              <w:spacing w:before="0" w:after="283"/>
              <w:jc w:val="left"/>
              <w:rPr/>
            </w:pPr>
            <w:r>
              <w:rPr/>
              <w:t> </w:t>
            </w:r>
          </w:p>
        </w:tc>
        <w:tc>
          <w:tcPr>
            <w:tcW w:w="972" w:type="dxa"/>
            <w:tcBorders/>
            <w:shd w:fill="CCEEFF" w:val="clear"/>
            <w:vAlign w:val="bottom"/>
          </w:tcPr>
          <w:p>
            <w:pPr>
              <w:pStyle w:val="TableContents"/>
              <w:bidi w:val="0"/>
              <w:spacing w:before="0" w:after="283"/>
              <w:jc w:val="right"/>
              <w:rPr/>
            </w:pPr>
            <w:r>
              <w:rPr/>
              <w:t>—</w:t>
            </w:r>
          </w:p>
        </w:tc>
        <w:tc>
          <w:tcPr>
            <w:tcW w:w="80" w:type="dxa"/>
            <w:tcBorders/>
            <w:shd w:fill="CCEEFF" w:val="clear"/>
            <w:vAlign w:val="bottom"/>
          </w:tcPr>
          <w:p>
            <w:pPr>
              <w:pStyle w:val="TableContents"/>
              <w:bidi w:val="0"/>
              <w:spacing w:before="0" w:after="283"/>
              <w:jc w:val="left"/>
              <w:rPr/>
            </w:pPr>
            <w:r>
              <w:rPr/>
              <w:t> </w:t>
            </w:r>
          </w:p>
        </w:tc>
      </w:tr>
      <w:tr>
        <w:trPr/>
        <w:tc>
          <w:tcPr>
            <w:tcW w:w="1070" w:type="dxa"/>
            <w:tcBorders/>
            <w:vAlign w:val="bottom"/>
          </w:tcPr>
          <w:p>
            <w:pPr>
              <w:pStyle w:val="TableContents"/>
              <w:bidi w:val="0"/>
              <w:spacing w:before="0" w:after="0"/>
              <w:ind w:left="180" w:right="0" w:hanging="180"/>
              <w:jc w:val="left"/>
              <w:rPr>
                <w:sz w:val="20"/>
              </w:rPr>
            </w:pPr>
            <w:r>
              <w:rPr>
                <w:sz w:val="20"/>
              </w:rPr>
              <w:t>Payments of tax withholding for share-based compensation</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25" w:type="dxa"/>
            <w:tcBorders/>
            <w:vAlign w:val="bottom"/>
          </w:tcPr>
          <w:p>
            <w:pPr>
              <w:pStyle w:val="TableContents"/>
              <w:bidi w:val="0"/>
              <w:spacing w:before="0" w:after="283"/>
              <w:jc w:val="left"/>
              <w:rPr/>
            </w:pPr>
            <w:r>
              <w:rPr/>
              <w:t> </w:t>
            </w:r>
          </w:p>
        </w:tc>
        <w:tc>
          <w:tcPr>
            <w:tcW w:w="470" w:type="dxa"/>
            <w:tcBorders/>
            <w:vAlign w:val="bottom"/>
          </w:tcPr>
          <w:p>
            <w:pPr>
              <w:pStyle w:val="TableContents"/>
              <w:bidi w:val="0"/>
              <w:spacing w:before="0" w:after="0"/>
              <w:jc w:val="right"/>
              <w:rPr/>
            </w:pPr>
            <w:r>
              <w:rPr/>
              <w:t>—</w:t>
            </w:r>
          </w:p>
        </w:tc>
        <w:tc>
          <w:tcPr>
            <w:tcW w:w="60" w:type="dxa"/>
            <w:tcBorders/>
            <w:vAlign w:val="bottom"/>
          </w:tcPr>
          <w:p>
            <w:pPr>
              <w:pStyle w:val="TableContents"/>
              <w:bidi w:val="0"/>
              <w:spacing w:before="0" w:after="283"/>
              <w:jc w:val="left"/>
              <w:rPr/>
            </w:pPr>
            <w:r>
              <w:rPr/>
              <w:t> </w:t>
            </w:r>
          </w:p>
        </w:tc>
        <w:tc>
          <w:tcPr>
            <w:tcW w:w="60" w:type="dxa"/>
            <w:tcBorders>
              <w:left w:val="single" w:sz="12" w:space="0" w:color="000000"/>
            </w:tcBorders>
            <w:tcMar>
              <w:left w:w="28" w:type="dxa"/>
            </w:tcMar>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055" w:type="dxa"/>
            <w:tcBorders/>
            <w:vAlign w:val="bottom"/>
          </w:tcPr>
          <w:p>
            <w:pPr>
              <w:pStyle w:val="TableContents"/>
              <w:bidi w:val="0"/>
              <w:spacing w:before="0" w:after="0"/>
              <w:jc w:val="right"/>
              <w:rPr/>
            </w:pPr>
            <w:r>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25" w:type="dxa"/>
            <w:tcBorders/>
            <w:vAlign w:val="bottom"/>
          </w:tcPr>
          <w:p>
            <w:pPr>
              <w:pStyle w:val="TableContents"/>
              <w:bidi w:val="0"/>
              <w:spacing w:before="0" w:after="283"/>
              <w:jc w:val="left"/>
              <w:rPr/>
            </w:pPr>
            <w:r>
              <w:rPr/>
              <w:t> </w:t>
            </w:r>
          </w:p>
        </w:tc>
        <w:tc>
          <w:tcPr>
            <w:tcW w:w="470" w:type="dxa"/>
            <w:tcBorders/>
            <w:vAlign w:val="bottom"/>
          </w:tcPr>
          <w:p>
            <w:pPr>
              <w:pStyle w:val="TableContents"/>
              <w:bidi w:val="0"/>
              <w:spacing w:before="0" w:after="0"/>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58" w:type="dxa"/>
            <w:tcBorders/>
            <w:vAlign w:val="bottom"/>
          </w:tcPr>
          <w:p>
            <w:pPr>
              <w:pStyle w:val="TableContents"/>
              <w:bidi w:val="0"/>
              <w:spacing w:before="0" w:after="283"/>
              <w:jc w:val="left"/>
              <w:rPr/>
            </w:pPr>
            <w:r>
              <w:rPr/>
              <w:t> </w:t>
            </w:r>
          </w:p>
        </w:tc>
        <w:tc>
          <w:tcPr>
            <w:tcW w:w="822" w:type="dxa"/>
            <w:tcBorders/>
            <w:vAlign w:val="bottom"/>
          </w:tcPr>
          <w:p>
            <w:pPr>
              <w:pStyle w:val="TableContents"/>
              <w:bidi w:val="0"/>
              <w:spacing w:before="0" w:after="283"/>
              <w:jc w:val="right"/>
              <w:rPr/>
            </w:pPr>
            <w:r>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sz w:val="20"/>
              </w:rPr>
            </w:pPr>
            <w:r>
              <w:rPr>
                <w:sz w:val="20"/>
              </w:rPr>
              <w:t>(1,305</w:t>
            </w:r>
          </w:p>
        </w:tc>
        <w:tc>
          <w:tcPr>
            <w:tcW w:w="80" w:type="dxa"/>
            <w:tcBorders/>
            <w:vAlign w:val="bottom"/>
          </w:tcPr>
          <w:p>
            <w:pPr>
              <w:pStyle w:val="TableContents"/>
              <w:bidi w:val="0"/>
              <w:spacing w:before="0" w:after="0"/>
              <w:jc w:val="left"/>
              <w:rPr>
                <w:sz w:val="20"/>
              </w:rPr>
            </w:pPr>
            <w:r>
              <w:rPr>
                <w:sz w:val="20"/>
              </w:rPr>
              <w:t>)</w:t>
            </w:r>
          </w:p>
        </w:tc>
        <w:tc>
          <w:tcPr>
            <w:tcW w:w="60" w:type="dxa"/>
            <w:tcBorders/>
            <w:vAlign w:val="bottom"/>
          </w:tcPr>
          <w:p>
            <w:pPr>
              <w:pStyle w:val="TableContents"/>
              <w:bidi w:val="0"/>
              <w:spacing w:before="0" w:after="283"/>
              <w:jc w:val="right"/>
              <w:rPr/>
            </w:pPr>
            <w:r>
              <w:rPr/>
              <w:t> </w:t>
            </w:r>
          </w:p>
        </w:tc>
        <w:tc>
          <w:tcPr>
            <w:tcW w:w="160" w:type="dxa"/>
            <w:tcBorders/>
            <w:vAlign w:val="bottom"/>
          </w:tcPr>
          <w:p>
            <w:pPr>
              <w:pStyle w:val="TableContents"/>
              <w:bidi w:val="0"/>
              <w:spacing w:before="0" w:after="283"/>
              <w:jc w:val="left"/>
              <w:rPr/>
            </w:pPr>
            <w:r>
              <w:rPr/>
              <w:t> </w:t>
            </w:r>
          </w:p>
        </w:tc>
        <w:tc>
          <w:tcPr>
            <w:tcW w:w="970" w:type="dxa"/>
            <w:tcBorders/>
            <w:vAlign w:val="bottom"/>
          </w:tcPr>
          <w:p>
            <w:pPr>
              <w:pStyle w:val="TableContents"/>
              <w:bidi w:val="0"/>
              <w:spacing w:before="0" w:after="0"/>
              <w:jc w:val="right"/>
              <w:rPr/>
            </w:pPr>
            <w:r>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311" w:type="dxa"/>
            <w:tcBorders/>
            <w:vAlign w:val="bottom"/>
          </w:tcPr>
          <w:p>
            <w:pPr>
              <w:pStyle w:val="TableContents"/>
              <w:bidi w:val="0"/>
              <w:spacing w:before="0" w:after="283"/>
              <w:jc w:val="left"/>
              <w:rPr/>
            </w:pPr>
            <w:r>
              <w:rPr/>
              <w:t> </w:t>
            </w:r>
          </w:p>
        </w:tc>
        <w:tc>
          <w:tcPr>
            <w:tcW w:w="984" w:type="dxa"/>
            <w:tcBorders/>
            <w:vAlign w:val="bottom"/>
          </w:tcPr>
          <w:p>
            <w:pPr>
              <w:pStyle w:val="TableContents"/>
              <w:bidi w:val="0"/>
              <w:spacing w:before="0" w:after="0"/>
              <w:jc w:val="right"/>
              <w:rPr/>
            </w:pPr>
            <w:r>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3" w:type="dxa"/>
            <w:tcBorders/>
            <w:vAlign w:val="bottom"/>
          </w:tcPr>
          <w:p>
            <w:pPr>
              <w:pStyle w:val="TableContents"/>
              <w:bidi w:val="0"/>
              <w:spacing w:before="0" w:after="283"/>
              <w:jc w:val="left"/>
              <w:rPr/>
            </w:pPr>
            <w:r>
              <w:rPr/>
              <w:t> </w:t>
            </w:r>
          </w:p>
        </w:tc>
        <w:tc>
          <w:tcPr>
            <w:tcW w:w="972" w:type="dxa"/>
            <w:tcBorders/>
            <w:vAlign w:val="bottom"/>
          </w:tcPr>
          <w:p>
            <w:pPr>
              <w:pStyle w:val="TableContents"/>
              <w:bidi w:val="0"/>
              <w:spacing w:before="0" w:after="0"/>
              <w:jc w:val="right"/>
              <w:rPr>
                <w:sz w:val="20"/>
              </w:rPr>
            </w:pPr>
            <w:r>
              <w:rPr>
                <w:sz w:val="20"/>
              </w:rPr>
              <w:t>(1,305</w:t>
            </w:r>
          </w:p>
        </w:tc>
        <w:tc>
          <w:tcPr>
            <w:tcW w:w="80" w:type="dxa"/>
            <w:tcBorders/>
            <w:vAlign w:val="bottom"/>
          </w:tcPr>
          <w:p>
            <w:pPr>
              <w:pStyle w:val="TableContents"/>
              <w:bidi w:val="0"/>
              <w:spacing w:before="0" w:after="0"/>
              <w:jc w:val="left"/>
              <w:rPr>
                <w:sz w:val="20"/>
              </w:rPr>
            </w:pPr>
            <w:r>
              <w:rPr>
                <w:sz w:val="20"/>
              </w:rPr>
              <w:t>)</w:t>
            </w:r>
          </w:p>
        </w:tc>
      </w:tr>
      <w:tr>
        <w:trPr/>
        <w:tc>
          <w:tcPr>
            <w:tcW w:w="1070" w:type="dxa"/>
            <w:tcBorders/>
            <w:shd w:fill="CCEEFF" w:val="clear"/>
            <w:vAlign w:val="bottom"/>
          </w:tcPr>
          <w:p>
            <w:pPr>
              <w:pStyle w:val="TableContents"/>
              <w:bidi w:val="0"/>
              <w:spacing w:before="0" w:after="0"/>
              <w:ind w:left="180" w:right="0" w:hanging="180"/>
              <w:jc w:val="left"/>
              <w:rPr>
                <w:sz w:val="20"/>
              </w:rPr>
            </w:pPr>
            <w:r>
              <w:rPr>
                <w:sz w:val="20"/>
              </w:rPr>
              <w:t>Other comprehensive income</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0"/>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25" w:type="dxa"/>
            <w:tcBorders/>
            <w:shd w:fill="CCEEFF" w:val="clear"/>
            <w:vAlign w:val="bottom"/>
          </w:tcPr>
          <w:p>
            <w:pPr>
              <w:pStyle w:val="TableContents"/>
              <w:bidi w:val="0"/>
              <w:spacing w:before="0" w:after="283"/>
              <w:jc w:val="left"/>
              <w:rPr/>
            </w:pPr>
            <w:r>
              <w:rPr/>
              <w:t> </w:t>
            </w:r>
          </w:p>
        </w:tc>
        <w:tc>
          <w:tcPr>
            <w:tcW w:w="470" w:type="dxa"/>
            <w:tcBorders/>
            <w:shd w:fill="CCEEFF" w:val="clear"/>
            <w:vAlign w:val="bottom"/>
          </w:tcPr>
          <w:p>
            <w:pPr>
              <w:pStyle w:val="TableContents"/>
              <w:bidi w:val="0"/>
              <w:spacing w:before="0" w:after="0"/>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left w:val="single" w:sz="12" w:space="0" w:color="000000"/>
            </w:tcBorders>
            <w:shd w:fill="CCEEFF" w:val="clear"/>
            <w:tcMar>
              <w:left w:w="28" w:type="dxa"/>
            </w:tcM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055" w:type="dxa"/>
            <w:tcBorders/>
            <w:shd w:fill="CCEEFF" w:val="clear"/>
            <w:vAlign w:val="bottom"/>
          </w:tcPr>
          <w:p>
            <w:pPr>
              <w:pStyle w:val="TableContents"/>
              <w:bidi w:val="0"/>
              <w:spacing w:before="0" w:after="0"/>
              <w:jc w:val="right"/>
              <w:rPr/>
            </w:pPr>
            <w:r>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25" w:type="dxa"/>
            <w:tcBorders/>
            <w:shd w:fill="CCEEFF" w:val="clear"/>
            <w:vAlign w:val="bottom"/>
          </w:tcPr>
          <w:p>
            <w:pPr>
              <w:pStyle w:val="TableContents"/>
              <w:bidi w:val="0"/>
              <w:spacing w:before="0" w:after="283"/>
              <w:jc w:val="left"/>
              <w:rPr/>
            </w:pPr>
            <w:r>
              <w:rPr/>
              <w:t> </w:t>
            </w:r>
          </w:p>
        </w:tc>
        <w:tc>
          <w:tcPr>
            <w:tcW w:w="470" w:type="dxa"/>
            <w:tcBorders/>
            <w:shd w:fill="CCEEFF" w:val="clear"/>
            <w:vAlign w:val="bottom"/>
          </w:tcPr>
          <w:p>
            <w:pPr>
              <w:pStyle w:val="TableContents"/>
              <w:bidi w:val="0"/>
              <w:spacing w:before="0" w:after="0"/>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8" w:type="dxa"/>
            <w:tcBorders/>
            <w:shd w:fill="CCEEFF" w:val="clear"/>
            <w:vAlign w:val="bottom"/>
          </w:tcPr>
          <w:p>
            <w:pPr>
              <w:pStyle w:val="TableContents"/>
              <w:bidi w:val="0"/>
              <w:spacing w:before="0" w:after="283"/>
              <w:jc w:val="left"/>
              <w:rPr/>
            </w:pPr>
            <w:r>
              <w:rPr/>
              <w:t> </w:t>
            </w:r>
          </w:p>
        </w:tc>
        <w:tc>
          <w:tcPr>
            <w:tcW w:w="822" w:type="dxa"/>
            <w:tcBorders/>
            <w:shd w:fill="CCEEFF" w:val="clear"/>
            <w:vAlign w:val="bottom"/>
          </w:tcPr>
          <w:p>
            <w:pPr>
              <w:pStyle w:val="TableContents"/>
              <w:bidi w:val="0"/>
              <w:spacing w:before="0" w:after="283"/>
              <w:jc w:val="right"/>
              <w:rPr/>
            </w:pPr>
            <w:r>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0"/>
              <w:jc w:val="right"/>
              <w:rPr/>
            </w:pPr>
            <w:r>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0" w:type="dxa"/>
            <w:tcBorders/>
            <w:shd w:fill="CCEEFF" w:val="clear"/>
            <w:vAlign w:val="bottom"/>
          </w:tcPr>
          <w:p>
            <w:pPr>
              <w:pStyle w:val="TableContents"/>
              <w:bidi w:val="0"/>
              <w:spacing w:before="0" w:after="283"/>
              <w:jc w:val="left"/>
              <w:rPr/>
            </w:pPr>
            <w:r>
              <w:rPr/>
              <w:t> </w:t>
            </w:r>
          </w:p>
        </w:tc>
        <w:tc>
          <w:tcPr>
            <w:tcW w:w="970" w:type="dxa"/>
            <w:tcBorders/>
            <w:shd w:fill="CCEEFF" w:val="clear"/>
            <w:vAlign w:val="bottom"/>
          </w:tcPr>
          <w:p>
            <w:pPr>
              <w:pStyle w:val="TableContents"/>
              <w:bidi w:val="0"/>
              <w:spacing w:before="0" w:after="0"/>
              <w:jc w:val="right"/>
              <w:rPr/>
            </w:pPr>
            <w:r>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311" w:type="dxa"/>
            <w:tcBorders/>
            <w:shd w:fill="CCEEFF" w:val="clear"/>
            <w:vAlign w:val="bottom"/>
          </w:tcPr>
          <w:p>
            <w:pPr>
              <w:pStyle w:val="TableContents"/>
              <w:bidi w:val="0"/>
              <w:spacing w:before="0" w:after="283"/>
              <w:jc w:val="left"/>
              <w:rPr/>
            </w:pPr>
            <w:r>
              <w:rPr/>
              <w:t> </w:t>
            </w:r>
          </w:p>
        </w:tc>
        <w:tc>
          <w:tcPr>
            <w:tcW w:w="984" w:type="dxa"/>
            <w:tcBorders/>
            <w:shd w:fill="CCEEFF" w:val="clear"/>
            <w:vAlign w:val="bottom"/>
          </w:tcPr>
          <w:p>
            <w:pPr>
              <w:pStyle w:val="TableContents"/>
              <w:bidi w:val="0"/>
              <w:spacing w:before="0" w:after="0"/>
              <w:jc w:val="right"/>
              <w:rPr>
                <w:sz w:val="20"/>
              </w:rPr>
            </w:pPr>
            <w:r>
              <w:rPr>
                <w:sz w:val="20"/>
              </w:rPr>
              <w:t>616</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3" w:type="dxa"/>
            <w:tcBorders/>
            <w:shd w:fill="CCEEFF" w:val="clear"/>
            <w:vAlign w:val="bottom"/>
          </w:tcPr>
          <w:p>
            <w:pPr>
              <w:pStyle w:val="TableContents"/>
              <w:bidi w:val="0"/>
              <w:spacing w:before="0" w:after="283"/>
              <w:jc w:val="left"/>
              <w:rPr/>
            </w:pPr>
            <w:r>
              <w:rPr/>
              <w:t> </w:t>
            </w:r>
          </w:p>
        </w:tc>
        <w:tc>
          <w:tcPr>
            <w:tcW w:w="972" w:type="dxa"/>
            <w:tcBorders/>
            <w:shd w:fill="CCEEFF" w:val="clear"/>
            <w:vAlign w:val="bottom"/>
          </w:tcPr>
          <w:p>
            <w:pPr>
              <w:pStyle w:val="TableContents"/>
              <w:bidi w:val="0"/>
              <w:spacing w:before="0" w:after="0"/>
              <w:jc w:val="right"/>
              <w:rPr>
                <w:sz w:val="20"/>
              </w:rPr>
            </w:pPr>
            <w:r>
              <w:rPr>
                <w:sz w:val="20"/>
              </w:rPr>
              <w:t>616</w:t>
            </w:r>
          </w:p>
        </w:tc>
        <w:tc>
          <w:tcPr>
            <w:tcW w:w="80" w:type="dxa"/>
            <w:tcBorders/>
            <w:shd w:fill="CCEEFF" w:val="clear"/>
            <w:vAlign w:val="bottom"/>
          </w:tcPr>
          <w:p>
            <w:pPr>
              <w:pStyle w:val="TableContents"/>
              <w:bidi w:val="0"/>
              <w:spacing w:before="0" w:after="283"/>
              <w:jc w:val="left"/>
              <w:rPr/>
            </w:pPr>
            <w:r>
              <w:rPr/>
              <w:t> </w:t>
            </w:r>
          </w:p>
        </w:tc>
      </w:tr>
      <w:tr>
        <w:trPr/>
        <w:tc>
          <w:tcPr>
            <w:tcW w:w="1070" w:type="dxa"/>
            <w:tcBorders/>
            <w:vAlign w:val="bottom"/>
          </w:tcPr>
          <w:p>
            <w:pPr>
              <w:pStyle w:val="TableContents"/>
              <w:bidi w:val="0"/>
              <w:spacing w:before="0" w:after="0"/>
              <w:ind w:left="180" w:right="0" w:hanging="180"/>
              <w:jc w:val="left"/>
              <w:rPr>
                <w:sz w:val="20"/>
              </w:rPr>
            </w:pPr>
            <w:r>
              <w:rPr>
                <w:sz w:val="20"/>
              </w:rPr>
              <w:t>Net loss</w:t>
            </w:r>
          </w:p>
        </w:tc>
        <w:tc>
          <w:tcPr>
            <w:tcW w:w="60" w:type="dxa"/>
            <w:tcBorders/>
            <w:vAlign w:val="bottom"/>
          </w:tcPr>
          <w:p>
            <w:pPr>
              <w:pStyle w:val="TableContents"/>
              <w:bidi w:val="0"/>
              <w:spacing w:before="0" w:after="283"/>
              <w:jc w:val="righ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950" w:type="dxa"/>
            <w:tcBorders>
              <w:bottom w:val="single" w:sz="12" w:space="0" w:color="000000"/>
            </w:tcBorders>
            <w:tcMar>
              <w:bottom w:w="28" w:type="dxa"/>
            </w:tcMar>
            <w:vAlign w:val="bottom"/>
          </w:tcPr>
          <w:p>
            <w:pPr>
              <w:pStyle w:val="TableContents"/>
              <w:bidi w:val="0"/>
              <w:spacing w:before="0" w:after="0"/>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25" w:type="dxa"/>
            <w:tcBorders>
              <w:bottom w:val="single" w:sz="12" w:space="0" w:color="000000"/>
            </w:tcBorders>
            <w:tcMar>
              <w:bottom w:w="28" w:type="dxa"/>
            </w:tcMar>
            <w:vAlign w:val="bottom"/>
          </w:tcPr>
          <w:p>
            <w:pPr>
              <w:pStyle w:val="TableContents"/>
              <w:bidi w:val="0"/>
              <w:spacing w:before="0" w:after="283"/>
              <w:jc w:val="left"/>
              <w:rPr/>
            </w:pPr>
            <w:r>
              <w:rPr/>
              <w:t> </w:t>
            </w:r>
          </w:p>
        </w:tc>
        <w:tc>
          <w:tcPr>
            <w:tcW w:w="470" w:type="dxa"/>
            <w:tcBorders>
              <w:bottom w:val="single" w:sz="12" w:space="0" w:color="000000"/>
            </w:tcBorders>
            <w:tcMar>
              <w:bottom w:w="28" w:type="dxa"/>
            </w:tcMar>
            <w:vAlign w:val="bottom"/>
          </w:tcPr>
          <w:p>
            <w:pPr>
              <w:pStyle w:val="TableContents"/>
              <w:bidi w:val="0"/>
              <w:spacing w:before="0" w:after="0"/>
              <w:jc w:val="right"/>
              <w:rPr/>
            </w:pPr>
            <w:r>
              <w:rPr/>
              <w:t>—</w:t>
            </w:r>
          </w:p>
        </w:tc>
        <w:tc>
          <w:tcPr>
            <w:tcW w:w="60" w:type="dxa"/>
            <w:tcBorders/>
            <w:vAlign w:val="bottom"/>
          </w:tcPr>
          <w:p>
            <w:pPr>
              <w:pStyle w:val="TableContents"/>
              <w:bidi w:val="0"/>
              <w:spacing w:before="0" w:after="283"/>
              <w:jc w:val="left"/>
              <w:rPr/>
            </w:pPr>
            <w:r>
              <w:rPr/>
              <w:t> </w:t>
            </w:r>
          </w:p>
        </w:tc>
        <w:tc>
          <w:tcPr>
            <w:tcW w:w="60" w:type="dxa"/>
            <w:tcBorders>
              <w:left w:val="single" w:sz="12" w:space="0" w:color="000000"/>
            </w:tcBorders>
            <w:tcMar>
              <w:left w:w="28" w:type="dxa"/>
            </w:tcMar>
            <w:vAlign w:val="bottom"/>
          </w:tcPr>
          <w:p>
            <w:pPr>
              <w:pStyle w:val="TableContents"/>
              <w:bidi w:val="0"/>
              <w:spacing w:before="0" w:after="283"/>
              <w:jc w:val="righ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1055" w:type="dxa"/>
            <w:tcBorders>
              <w:bottom w:val="single" w:sz="12" w:space="0" w:color="000000"/>
            </w:tcBorders>
            <w:tcMar>
              <w:bottom w:w="28" w:type="dxa"/>
            </w:tcMar>
            <w:vAlign w:val="bottom"/>
          </w:tcPr>
          <w:p>
            <w:pPr>
              <w:pStyle w:val="TableContents"/>
              <w:bidi w:val="0"/>
              <w:spacing w:before="0" w:after="0"/>
              <w:jc w:val="right"/>
              <w:rPr/>
            </w:pPr>
            <w:r>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25" w:type="dxa"/>
            <w:tcBorders>
              <w:bottom w:val="single" w:sz="12" w:space="0" w:color="000000"/>
            </w:tcBorders>
            <w:tcMar>
              <w:bottom w:w="28" w:type="dxa"/>
            </w:tcMar>
            <w:vAlign w:val="bottom"/>
          </w:tcPr>
          <w:p>
            <w:pPr>
              <w:pStyle w:val="TableContents"/>
              <w:bidi w:val="0"/>
              <w:spacing w:before="0" w:after="283"/>
              <w:jc w:val="left"/>
              <w:rPr/>
            </w:pPr>
            <w:r>
              <w:rPr/>
              <w:t> </w:t>
            </w:r>
          </w:p>
        </w:tc>
        <w:tc>
          <w:tcPr>
            <w:tcW w:w="470" w:type="dxa"/>
            <w:tcBorders>
              <w:bottom w:val="single" w:sz="12" w:space="0" w:color="000000"/>
            </w:tcBorders>
            <w:tcMar>
              <w:bottom w:w="28" w:type="dxa"/>
            </w:tcMar>
            <w:vAlign w:val="bottom"/>
          </w:tcPr>
          <w:p>
            <w:pPr>
              <w:pStyle w:val="TableContents"/>
              <w:bidi w:val="0"/>
              <w:spacing w:before="0" w:after="0"/>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58" w:type="dxa"/>
            <w:tcBorders>
              <w:bottom w:val="single" w:sz="12" w:space="0" w:color="000000"/>
            </w:tcBorders>
            <w:tcMar>
              <w:bottom w:w="28" w:type="dxa"/>
            </w:tcMar>
            <w:vAlign w:val="bottom"/>
          </w:tcPr>
          <w:p>
            <w:pPr>
              <w:pStyle w:val="TableContents"/>
              <w:bidi w:val="0"/>
              <w:spacing w:before="0" w:after="283"/>
              <w:jc w:val="left"/>
              <w:rPr/>
            </w:pPr>
            <w:r>
              <w:rPr/>
              <w:t> </w:t>
            </w:r>
          </w:p>
        </w:tc>
        <w:tc>
          <w:tcPr>
            <w:tcW w:w="822" w:type="dxa"/>
            <w:tcBorders>
              <w:bottom w:val="single" w:sz="12" w:space="0" w:color="000000"/>
            </w:tcBorders>
            <w:tcMar>
              <w:bottom w:w="28" w:type="dxa"/>
            </w:tcMar>
            <w:vAlign w:val="bottom"/>
          </w:tcPr>
          <w:p>
            <w:pPr>
              <w:pStyle w:val="TableContents"/>
              <w:bidi w:val="0"/>
              <w:spacing w:before="0" w:after="283"/>
              <w:jc w:val="right"/>
              <w:rPr/>
            </w:pPr>
            <w:r>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tcMar>
              <w:bottom w:w="28" w:type="dxa"/>
            </w:tcMar>
            <w:vAlign w:val="bottom"/>
          </w:tcPr>
          <w:p>
            <w:pPr>
              <w:pStyle w:val="TableContents"/>
              <w:bidi w:val="0"/>
              <w:spacing w:before="0" w:after="0"/>
              <w:jc w:val="right"/>
              <w:rPr/>
            </w:pPr>
            <w:r>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60" w:type="dxa"/>
            <w:tcBorders>
              <w:bottom w:val="single" w:sz="12" w:space="0" w:color="000000"/>
            </w:tcBorders>
            <w:tcMar>
              <w:bottom w:w="28" w:type="dxa"/>
            </w:tcMar>
            <w:vAlign w:val="bottom"/>
          </w:tcPr>
          <w:p>
            <w:pPr>
              <w:pStyle w:val="TableContents"/>
              <w:bidi w:val="0"/>
              <w:spacing w:before="0" w:after="283"/>
              <w:jc w:val="left"/>
              <w:rPr/>
            </w:pPr>
            <w:r>
              <w:rPr/>
              <w:t> </w:t>
            </w:r>
          </w:p>
        </w:tc>
        <w:tc>
          <w:tcPr>
            <w:tcW w:w="970" w:type="dxa"/>
            <w:tcBorders>
              <w:bottom w:val="single" w:sz="12" w:space="0" w:color="000000"/>
            </w:tcBorders>
            <w:tcMar>
              <w:bottom w:w="28" w:type="dxa"/>
            </w:tcMar>
            <w:vAlign w:val="bottom"/>
          </w:tcPr>
          <w:p>
            <w:pPr>
              <w:pStyle w:val="TableContents"/>
              <w:bidi w:val="0"/>
              <w:spacing w:before="0" w:after="0"/>
              <w:jc w:val="right"/>
              <w:rPr>
                <w:sz w:val="20"/>
              </w:rPr>
            </w:pPr>
            <w:r>
              <w:rPr>
                <w:sz w:val="20"/>
              </w:rPr>
              <w:t>(23,136</w:t>
            </w:r>
          </w:p>
        </w:tc>
        <w:tc>
          <w:tcPr>
            <w:tcW w:w="80" w:type="dxa"/>
            <w:tcBorders/>
            <w:vAlign w:val="bottom"/>
          </w:tcPr>
          <w:p>
            <w:pPr>
              <w:pStyle w:val="TableContents"/>
              <w:bidi w:val="0"/>
              <w:spacing w:before="0" w:after="0"/>
              <w:jc w:val="left"/>
              <w:rPr>
                <w:sz w:val="20"/>
              </w:rPr>
            </w:pPr>
            <w:r>
              <w:rPr>
                <w:sz w:val="20"/>
              </w:rPr>
              <w:t>)</w:t>
            </w:r>
          </w:p>
        </w:tc>
        <w:tc>
          <w:tcPr>
            <w:tcW w:w="60" w:type="dxa"/>
            <w:tcBorders/>
            <w:vAlign w:val="bottom"/>
          </w:tcPr>
          <w:p>
            <w:pPr>
              <w:pStyle w:val="TableContents"/>
              <w:bidi w:val="0"/>
              <w:spacing w:before="0" w:after="283"/>
              <w:jc w:val="right"/>
              <w:rPr/>
            </w:pPr>
            <w:r>
              <w:rPr/>
              <w:t> </w:t>
            </w:r>
          </w:p>
        </w:tc>
        <w:tc>
          <w:tcPr>
            <w:tcW w:w="311" w:type="dxa"/>
            <w:tcBorders>
              <w:bottom w:val="single" w:sz="12" w:space="0" w:color="000000"/>
            </w:tcBorders>
            <w:tcMar>
              <w:bottom w:w="28" w:type="dxa"/>
            </w:tcMar>
            <w:vAlign w:val="bottom"/>
          </w:tcPr>
          <w:p>
            <w:pPr>
              <w:pStyle w:val="TableContents"/>
              <w:bidi w:val="0"/>
              <w:spacing w:before="0" w:after="283"/>
              <w:jc w:val="left"/>
              <w:rPr/>
            </w:pPr>
            <w:r>
              <w:rPr/>
              <w:t> </w:t>
            </w:r>
          </w:p>
        </w:tc>
        <w:tc>
          <w:tcPr>
            <w:tcW w:w="984" w:type="dxa"/>
            <w:tcBorders>
              <w:bottom w:val="single" w:sz="12" w:space="0" w:color="000000"/>
            </w:tcBorders>
            <w:tcMar>
              <w:bottom w:w="28" w:type="dxa"/>
            </w:tcMar>
            <w:vAlign w:val="bottom"/>
          </w:tcPr>
          <w:p>
            <w:pPr>
              <w:pStyle w:val="TableContents"/>
              <w:bidi w:val="0"/>
              <w:spacing w:before="0" w:after="0"/>
              <w:jc w:val="right"/>
              <w:rPr/>
            </w:pPr>
            <w:r>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3" w:type="dxa"/>
            <w:tcBorders>
              <w:bottom w:val="single" w:sz="12" w:space="0" w:color="000000"/>
            </w:tcBorders>
            <w:tcMar>
              <w:bottom w:w="28" w:type="dxa"/>
            </w:tcMar>
            <w:vAlign w:val="bottom"/>
          </w:tcPr>
          <w:p>
            <w:pPr>
              <w:pStyle w:val="TableContents"/>
              <w:bidi w:val="0"/>
              <w:spacing w:before="0" w:after="283"/>
              <w:jc w:val="left"/>
              <w:rPr/>
            </w:pPr>
            <w:r>
              <w:rPr/>
              <w:t> </w:t>
            </w:r>
          </w:p>
        </w:tc>
        <w:tc>
          <w:tcPr>
            <w:tcW w:w="972" w:type="dxa"/>
            <w:tcBorders>
              <w:bottom w:val="single" w:sz="12" w:space="0" w:color="000000"/>
            </w:tcBorders>
            <w:tcMar>
              <w:bottom w:w="28" w:type="dxa"/>
            </w:tcMar>
            <w:vAlign w:val="bottom"/>
          </w:tcPr>
          <w:p>
            <w:pPr>
              <w:pStyle w:val="TableContents"/>
              <w:bidi w:val="0"/>
              <w:spacing w:before="0" w:after="0"/>
              <w:jc w:val="right"/>
              <w:rPr>
                <w:sz w:val="20"/>
              </w:rPr>
            </w:pPr>
            <w:r>
              <w:rPr>
                <w:sz w:val="20"/>
              </w:rPr>
              <w:t>(23,136</w:t>
            </w:r>
          </w:p>
        </w:tc>
        <w:tc>
          <w:tcPr>
            <w:tcW w:w="80" w:type="dxa"/>
            <w:tcBorders/>
            <w:vAlign w:val="bottom"/>
          </w:tcPr>
          <w:p>
            <w:pPr>
              <w:pStyle w:val="TableContents"/>
              <w:bidi w:val="0"/>
              <w:spacing w:before="0" w:after="0"/>
              <w:jc w:val="left"/>
              <w:rPr>
                <w:sz w:val="20"/>
              </w:rPr>
            </w:pPr>
            <w:r>
              <w:rPr>
                <w:sz w:val="20"/>
              </w:rPr>
              <w:t>)</w:t>
            </w:r>
          </w:p>
        </w:tc>
      </w:tr>
      <w:tr>
        <w:trPr/>
        <w:tc>
          <w:tcPr>
            <w:tcW w:w="1070" w:type="dxa"/>
            <w:tcBorders/>
            <w:shd w:fill="CCEEFF" w:val="clear"/>
            <w:vAlign w:val="bottom"/>
          </w:tcPr>
          <w:p>
            <w:pPr>
              <w:pStyle w:val="TableContents"/>
              <w:bidi w:val="0"/>
              <w:spacing w:before="0" w:after="0"/>
              <w:ind w:left="180" w:right="0" w:hanging="0"/>
              <w:jc w:val="left"/>
              <w:rPr>
                <w:sz w:val="20"/>
              </w:rPr>
            </w:pPr>
            <w:r>
              <w:rPr>
                <w:sz w:val="20"/>
              </w:rPr>
              <w:t>Balance as of September 30, 2023 (unaudited)</w:t>
            </w:r>
          </w:p>
        </w:tc>
        <w:tc>
          <w:tcPr>
            <w:tcW w:w="60" w:type="dxa"/>
            <w:tcBorders/>
            <w:shd w:fill="CCEEFF" w:val="clear"/>
            <w:vAlign w:val="bottom"/>
          </w:tcPr>
          <w:p>
            <w:pPr>
              <w:pStyle w:val="TableContents"/>
              <w:bidi w:val="0"/>
              <w:spacing w:before="0" w:after="283"/>
              <w:jc w:val="right"/>
              <w:rPr/>
            </w:pPr>
            <w:r>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50" w:type="dxa"/>
            <w:tcBorders>
              <w:bottom w:val="single" w:sz="12" w:space="0" w:color="000000"/>
            </w:tcBorders>
            <w:shd w:fill="CCEEFF" w:val="clear"/>
            <w:tcMar>
              <w:bottom w:w="28" w:type="dxa"/>
            </w:tcMar>
            <w:vAlign w:val="bottom"/>
          </w:tcPr>
          <w:p>
            <w:pPr>
              <w:pStyle w:val="TableContents"/>
              <w:bidi w:val="0"/>
              <w:spacing w:before="0" w:after="0"/>
              <w:jc w:val="right"/>
              <w:rPr>
                <w:sz w:val="20"/>
              </w:rPr>
            </w:pPr>
            <w:r>
              <w:rPr>
                <w:sz w:val="20"/>
              </w:rPr>
              <w:t>45,198,702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25" w:type="dxa"/>
            <w:tcBorders>
              <w:bottom w:val="single" w:sz="12" w:space="0" w:color="000000"/>
            </w:tcBorders>
            <w:shd w:fill="CCEEFF" w:val="clear"/>
            <w:tcMar>
              <w:bottom w:w="28" w:type="dxa"/>
            </w:tcMar>
            <w:vAlign w:val="bottom"/>
          </w:tcPr>
          <w:p>
            <w:pPr>
              <w:pStyle w:val="TableContents"/>
              <w:bidi w:val="0"/>
              <w:spacing w:before="0" w:after="0"/>
              <w:jc w:val="left"/>
              <w:rPr>
                <w:sz w:val="20"/>
              </w:rPr>
            </w:pPr>
            <w:r>
              <w:rPr>
                <w:sz w:val="20"/>
              </w:rPr>
              <w:t>$</w:t>
            </w:r>
          </w:p>
        </w:tc>
        <w:tc>
          <w:tcPr>
            <w:tcW w:w="470" w:type="dxa"/>
            <w:tcBorders>
              <w:bottom w:val="single" w:sz="12" w:space="0" w:color="000000"/>
            </w:tcBorders>
            <w:shd w:fill="CCEEFF" w:val="clear"/>
            <w:tcMar>
              <w:bottom w:w="28" w:type="dxa"/>
            </w:tcMar>
            <w:vAlign w:val="bottom"/>
          </w:tcPr>
          <w:p>
            <w:pPr>
              <w:pStyle w:val="TableContents"/>
              <w:bidi w:val="0"/>
              <w:spacing w:before="0" w:after="0"/>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left w:val="single" w:sz="12" w:space="0" w:color="000000"/>
            </w:tcBorders>
            <w:shd w:fill="CCEEFF" w:val="clear"/>
            <w:tcMar>
              <w:left w:w="28" w:type="dxa"/>
            </w:tcMar>
            <w:vAlign w:val="bottom"/>
          </w:tcPr>
          <w:p>
            <w:pPr>
              <w:pStyle w:val="TableContents"/>
              <w:bidi w:val="0"/>
              <w:spacing w:before="0" w:after="283"/>
              <w:jc w:val="right"/>
              <w:rPr/>
            </w:pPr>
            <w:r>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bottom"/>
          </w:tcPr>
          <w:p>
            <w:pPr>
              <w:pStyle w:val="TableContents"/>
              <w:bidi w:val="0"/>
              <w:spacing w:before="0" w:after="0"/>
              <w:jc w:val="right"/>
              <w:rPr>
                <w:sz w:val="20"/>
              </w:rPr>
            </w:pPr>
            <w:r>
              <w:rPr>
                <w:sz w:val="20"/>
              </w:rPr>
              <w:t>300,692,928</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25" w:type="dxa"/>
            <w:tcBorders>
              <w:bottom w:val="single" w:sz="12" w:space="0" w:color="000000"/>
            </w:tcBorders>
            <w:shd w:fill="CCEEFF" w:val="clear"/>
            <w:tcMar>
              <w:bottom w:w="28" w:type="dxa"/>
            </w:tcMar>
            <w:vAlign w:val="bottom"/>
          </w:tcPr>
          <w:p>
            <w:pPr>
              <w:pStyle w:val="TableContents"/>
              <w:bidi w:val="0"/>
              <w:spacing w:before="0" w:after="0"/>
              <w:jc w:val="left"/>
              <w:rPr>
                <w:sz w:val="20"/>
              </w:rPr>
            </w:pPr>
            <w:r>
              <w:rPr>
                <w:sz w:val="20"/>
              </w:rPr>
              <w:t>$</w:t>
            </w:r>
          </w:p>
        </w:tc>
        <w:tc>
          <w:tcPr>
            <w:tcW w:w="470" w:type="dxa"/>
            <w:tcBorders>
              <w:bottom w:val="single" w:sz="12" w:space="0" w:color="000000"/>
            </w:tcBorders>
            <w:shd w:fill="CCEEFF" w:val="clear"/>
            <w:tcMar>
              <w:bottom w:w="28" w:type="dxa"/>
            </w:tcMar>
            <w:vAlign w:val="bottom"/>
          </w:tcPr>
          <w:p>
            <w:pPr>
              <w:pStyle w:val="TableContents"/>
              <w:bidi w:val="0"/>
              <w:spacing w:before="0" w:after="0"/>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8" w:type="dxa"/>
            <w:tcBorders>
              <w:bottom w:val="single" w:sz="12" w:space="0" w:color="000000"/>
            </w:tcBorders>
            <w:shd w:fill="CCEEFF" w:val="clear"/>
            <w:tcMar>
              <w:bottom w:w="28" w:type="dxa"/>
            </w:tcMar>
            <w:vAlign w:val="bottom"/>
          </w:tcPr>
          <w:p>
            <w:pPr>
              <w:pStyle w:val="TableContents"/>
              <w:bidi w:val="0"/>
              <w:spacing w:before="0" w:after="283"/>
              <w:jc w:val="left"/>
              <w:rPr>
                <w:sz w:val="20"/>
              </w:rPr>
            </w:pPr>
            <w:r>
              <w:rPr>
                <w:sz w:val="20"/>
              </w:rPr>
              <w:t>$</w:t>
            </w:r>
          </w:p>
        </w:tc>
        <w:tc>
          <w:tcPr>
            <w:tcW w:w="822" w:type="dxa"/>
            <w:tcBorders>
              <w:bottom w:val="single" w:sz="12" w:space="0" w:color="000000"/>
            </w:tcBorders>
            <w:shd w:fill="CCEEFF" w:val="clear"/>
            <w:tcMar>
              <w:bottom w:w="28" w:type="dxa"/>
            </w:tcMar>
            <w:vAlign w:val="bottom"/>
          </w:tcPr>
          <w:p>
            <w:pPr>
              <w:pStyle w:val="TableContents"/>
              <w:bidi w:val="0"/>
              <w:spacing w:before="0" w:after="283"/>
              <w:jc w:val="right"/>
              <w:rPr>
                <w:sz w:val="20"/>
              </w:rPr>
            </w:pPr>
            <w:r>
              <w:rPr>
                <w:sz w:val="20"/>
              </w:rPr>
              <w:t>(23,157</w:t>
            </w:r>
          </w:p>
        </w:tc>
        <w:tc>
          <w:tcPr>
            <w:tcW w:w="80" w:type="dxa"/>
            <w:tcBorders/>
            <w:shd w:fill="CCEEFF" w:val="clear"/>
            <w:vAlign w:val="bottom"/>
          </w:tcPr>
          <w:p>
            <w:pPr>
              <w:pStyle w:val="TableContents"/>
              <w:bidi w:val="0"/>
              <w:spacing w:before="0" w:after="283"/>
              <w:jc w:val="left"/>
              <w:rPr>
                <w:sz w:val="20"/>
              </w:rPr>
            </w:pPr>
            <w:r>
              <w:rPr>
                <w:sz w:val="20"/>
              </w:rPr>
              <w:t>)</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0"/>
              <w:jc w:val="left"/>
              <w:rPr>
                <w:sz w:val="20"/>
              </w:rPr>
            </w:pPr>
            <w:r>
              <w:rPr>
                <w:sz w:val="20"/>
              </w:rPr>
              <w:t>$</w:t>
            </w:r>
          </w:p>
        </w:tc>
        <w:tc>
          <w:tcPr>
            <w:tcW w:w="845" w:type="dxa"/>
            <w:tcBorders>
              <w:bottom w:val="single" w:sz="12" w:space="0" w:color="000000"/>
            </w:tcBorders>
            <w:shd w:fill="CCEEFF" w:val="clear"/>
            <w:tcMar>
              <w:bottom w:w="28" w:type="dxa"/>
            </w:tcMar>
            <w:vAlign w:val="bottom"/>
          </w:tcPr>
          <w:p>
            <w:pPr>
              <w:pStyle w:val="TableContents"/>
              <w:bidi w:val="0"/>
              <w:spacing w:before="0" w:after="0"/>
              <w:jc w:val="right"/>
              <w:rPr>
                <w:sz w:val="20"/>
              </w:rPr>
            </w:pPr>
            <w:r>
              <w:rPr>
                <w:sz w:val="20"/>
              </w:rPr>
              <w:t>1,244,667</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0" w:type="dxa"/>
            <w:tcBorders>
              <w:bottom w:val="single" w:sz="12" w:space="0" w:color="000000"/>
            </w:tcBorders>
            <w:shd w:fill="CCEEFF" w:val="clear"/>
            <w:tcMar>
              <w:bottom w:w="28" w:type="dxa"/>
            </w:tcMar>
            <w:vAlign w:val="bottom"/>
          </w:tcPr>
          <w:p>
            <w:pPr>
              <w:pStyle w:val="TableContents"/>
              <w:bidi w:val="0"/>
              <w:spacing w:before="0" w:after="0"/>
              <w:jc w:val="left"/>
              <w:rPr>
                <w:sz w:val="20"/>
              </w:rPr>
            </w:pPr>
            <w:r>
              <w:rPr>
                <w:sz w:val="20"/>
              </w:rPr>
              <w:t>$</w:t>
            </w:r>
          </w:p>
        </w:tc>
        <w:tc>
          <w:tcPr>
            <w:tcW w:w="970" w:type="dxa"/>
            <w:tcBorders>
              <w:bottom w:val="single" w:sz="12" w:space="0" w:color="000000"/>
            </w:tcBorders>
            <w:shd w:fill="CCEEFF" w:val="clear"/>
            <w:tcMar>
              <w:bottom w:w="28" w:type="dxa"/>
            </w:tcMar>
            <w:vAlign w:val="bottom"/>
          </w:tcPr>
          <w:p>
            <w:pPr>
              <w:pStyle w:val="TableContents"/>
              <w:bidi w:val="0"/>
              <w:spacing w:before="0" w:after="0"/>
              <w:jc w:val="right"/>
              <w:rPr>
                <w:sz w:val="20"/>
              </w:rPr>
            </w:pPr>
            <w:r>
              <w:rPr>
                <w:sz w:val="20"/>
              </w:rPr>
              <w:t>(154,183</w:t>
            </w:r>
          </w:p>
        </w:tc>
        <w:tc>
          <w:tcPr>
            <w:tcW w:w="80" w:type="dxa"/>
            <w:tcBorders/>
            <w:shd w:fill="CCEEFF" w:val="clear"/>
            <w:vAlign w:val="bottom"/>
          </w:tcPr>
          <w:p>
            <w:pPr>
              <w:pStyle w:val="TableContents"/>
              <w:bidi w:val="0"/>
              <w:spacing w:before="0" w:after="0"/>
              <w:jc w:val="left"/>
              <w:rPr>
                <w:sz w:val="20"/>
              </w:rPr>
            </w:pPr>
            <w:r>
              <w:rPr>
                <w:sz w:val="20"/>
              </w:rPr>
              <w:t>)</w:t>
            </w:r>
          </w:p>
        </w:tc>
        <w:tc>
          <w:tcPr>
            <w:tcW w:w="60" w:type="dxa"/>
            <w:tcBorders/>
            <w:shd w:fill="CCEEFF" w:val="clear"/>
            <w:vAlign w:val="bottom"/>
          </w:tcPr>
          <w:p>
            <w:pPr>
              <w:pStyle w:val="TableContents"/>
              <w:bidi w:val="0"/>
              <w:spacing w:before="0" w:after="283"/>
              <w:jc w:val="right"/>
              <w:rPr/>
            </w:pPr>
            <w:r>
              <w:rPr/>
              <w:t> </w:t>
            </w:r>
          </w:p>
        </w:tc>
        <w:tc>
          <w:tcPr>
            <w:tcW w:w="311" w:type="dxa"/>
            <w:tcBorders>
              <w:bottom w:val="single" w:sz="12" w:space="0" w:color="000000"/>
            </w:tcBorders>
            <w:shd w:fill="CCEEFF" w:val="clear"/>
            <w:tcMar>
              <w:bottom w:w="28" w:type="dxa"/>
            </w:tcMar>
            <w:vAlign w:val="bottom"/>
          </w:tcPr>
          <w:p>
            <w:pPr>
              <w:pStyle w:val="TableContents"/>
              <w:bidi w:val="0"/>
              <w:spacing w:before="0" w:after="0"/>
              <w:jc w:val="left"/>
              <w:rPr>
                <w:sz w:val="20"/>
              </w:rPr>
            </w:pPr>
            <w:r>
              <w:rPr>
                <w:sz w:val="20"/>
              </w:rPr>
              <w:t>$</w:t>
            </w:r>
          </w:p>
        </w:tc>
        <w:tc>
          <w:tcPr>
            <w:tcW w:w="984" w:type="dxa"/>
            <w:tcBorders>
              <w:bottom w:val="single" w:sz="12" w:space="0" w:color="000000"/>
            </w:tcBorders>
            <w:shd w:fill="CCEEFF" w:val="clear"/>
            <w:tcMar>
              <w:bottom w:w="28" w:type="dxa"/>
            </w:tcMar>
            <w:vAlign w:val="bottom"/>
          </w:tcPr>
          <w:p>
            <w:pPr>
              <w:pStyle w:val="TableContents"/>
              <w:bidi w:val="0"/>
              <w:spacing w:before="0" w:after="0"/>
              <w:jc w:val="right"/>
              <w:rPr>
                <w:sz w:val="20"/>
              </w:rPr>
            </w:pPr>
            <w:r>
              <w:rPr>
                <w:sz w:val="20"/>
              </w:rPr>
              <w:t>(218</w:t>
            </w:r>
          </w:p>
        </w:tc>
        <w:tc>
          <w:tcPr>
            <w:tcW w:w="80" w:type="dxa"/>
            <w:tcBorders/>
            <w:shd w:fill="CCEEFF" w:val="clear"/>
            <w:vAlign w:val="bottom"/>
          </w:tcPr>
          <w:p>
            <w:pPr>
              <w:pStyle w:val="TableContents"/>
              <w:bidi w:val="0"/>
              <w:spacing w:before="0" w:after="0"/>
              <w:jc w:val="left"/>
              <w:rPr>
                <w:sz w:val="20"/>
              </w:rPr>
            </w:pPr>
            <w:r>
              <w:rPr>
                <w:sz w:val="20"/>
              </w:rPr>
              <w:t>)</w:t>
            </w:r>
          </w:p>
        </w:tc>
        <w:tc>
          <w:tcPr>
            <w:tcW w:w="60" w:type="dxa"/>
            <w:tcBorders/>
            <w:shd w:fill="CCEEFF" w:val="clear"/>
            <w:vAlign w:val="bottom"/>
          </w:tcPr>
          <w:p>
            <w:pPr>
              <w:pStyle w:val="TableContents"/>
              <w:bidi w:val="0"/>
              <w:spacing w:before="0" w:after="283"/>
              <w:jc w:val="right"/>
              <w:rPr/>
            </w:pPr>
            <w:r>
              <w:rPr/>
              <w:t> </w:t>
            </w:r>
          </w:p>
        </w:tc>
        <w:tc>
          <w:tcPr>
            <w:tcW w:w="143" w:type="dxa"/>
            <w:tcBorders>
              <w:bottom w:val="single" w:sz="12" w:space="0" w:color="000000"/>
            </w:tcBorders>
            <w:shd w:fill="CCEEFF" w:val="clear"/>
            <w:tcMar>
              <w:bottom w:w="28" w:type="dxa"/>
            </w:tcMar>
            <w:vAlign w:val="bottom"/>
          </w:tcPr>
          <w:p>
            <w:pPr>
              <w:pStyle w:val="TableContents"/>
              <w:bidi w:val="0"/>
              <w:spacing w:before="0" w:after="0"/>
              <w:jc w:val="left"/>
              <w:rPr>
                <w:sz w:val="20"/>
              </w:rPr>
            </w:pPr>
            <w:r>
              <w:rPr>
                <w:sz w:val="20"/>
              </w:rPr>
              <w:t>$</w:t>
            </w:r>
          </w:p>
        </w:tc>
        <w:tc>
          <w:tcPr>
            <w:tcW w:w="972" w:type="dxa"/>
            <w:tcBorders>
              <w:bottom w:val="single" w:sz="12" w:space="0" w:color="000000"/>
            </w:tcBorders>
            <w:shd w:fill="CCEEFF" w:val="clear"/>
            <w:tcMar>
              <w:bottom w:w="28" w:type="dxa"/>
            </w:tcMar>
            <w:vAlign w:val="bottom"/>
          </w:tcPr>
          <w:p>
            <w:pPr>
              <w:pStyle w:val="TableContents"/>
              <w:bidi w:val="0"/>
              <w:spacing w:before="0" w:after="0"/>
              <w:jc w:val="right"/>
              <w:rPr>
                <w:sz w:val="20"/>
              </w:rPr>
            </w:pPr>
            <w:r>
              <w:rPr>
                <w:sz w:val="20"/>
              </w:rPr>
              <w:t>1,067,109</w:t>
            </w:r>
          </w:p>
        </w:tc>
        <w:tc>
          <w:tcPr>
            <w:tcW w:w="80"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031"/>
        <w:gridCol w:w="60"/>
        <w:gridCol w:w="60"/>
        <w:gridCol w:w="1055"/>
        <w:gridCol w:w="60"/>
        <w:gridCol w:w="60"/>
        <w:gridCol w:w="225"/>
        <w:gridCol w:w="470"/>
        <w:gridCol w:w="60"/>
        <w:gridCol w:w="60"/>
        <w:gridCol w:w="140"/>
        <w:gridCol w:w="780"/>
        <w:gridCol w:w="80"/>
        <w:gridCol w:w="60"/>
        <w:gridCol w:w="185"/>
        <w:gridCol w:w="967"/>
        <w:gridCol w:w="80"/>
        <w:gridCol w:w="60"/>
        <w:gridCol w:w="245"/>
        <w:gridCol w:w="1073"/>
        <w:gridCol w:w="80"/>
        <w:gridCol w:w="60"/>
        <w:gridCol w:w="177"/>
        <w:gridCol w:w="993"/>
        <w:gridCol w:w="84"/>
      </w:tblGrid>
      <w:tr>
        <w:trPr/>
        <w:tc>
          <w:tcPr>
            <w:tcW w:w="30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center"/>
              <w:rPr/>
            </w:pPr>
            <w:r>
              <w:rPr/>
              <w:t> </w:t>
            </w:r>
          </w:p>
        </w:tc>
        <w:tc>
          <w:tcPr>
            <w:tcW w:w="1930" w:type="dxa"/>
            <w:gridSpan w:val="6"/>
            <w:tcBorders>
              <w:bottom w:val="single" w:sz="12" w:space="0" w:color="000000"/>
            </w:tcBorders>
            <w:tcMar>
              <w:bottom w:w="28" w:type="dxa"/>
            </w:tcMar>
            <w:vAlign w:val="bottom"/>
          </w:tcPr>
          <w:p>
            <w:pPr>
              <w:pStyle w:val="TableContents"/>
              <w:bidi w:val="0"/>
              <w:spacing w:before="0" w:after="283"/>
              <w:jc w:val="center"/>
              <w:rPr>
                <w:b/>
                <w:sz w:val="20"/>
              </w:rPr>
            </w:pPr>
            <w:r>
              <w:rPr>
                <w:b/>
                <w:sz w:val="20"/>
              </w:rPr>
              <w:t>Ordinary shares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20" w:type="dxa"/>
            <w:gridSpan w:val="2"/>
            <w:tcBorders/>
            <w:vAlign w:val="bottom"/>
          </w:tcPr>
          <w:p>
            <w:pPr>
              <w:pStyle w:val="TableContents"/>
              <w:bidi w:val="0"/>
              <w:spacing w:before="0" w:after="283"/>
              <w:jc w:val="left"/>
              <w:rPr>
                <w:sz w:val="4"/>
                <w:szCs w:val="4"/>
              </w:rPr>
            </w:pPr>
            <w:r>
              <w:rPr>
                <w:sz w:val="4"/>
                <w:szCs w:val="4"/>
              </w:rPr>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52" w:type="dxa"/>
            <w:gridSpan w:val="2"/>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18" w:type="dxa"/>
            <w:gridSpan w:val="2"/>
            <w:tcBorders/>
            <w:vAlign w:val="bottom"/>
          </w:tcPr>
          <w:p>
            <w:pPr>
              <w:pStyle w:val="TableContents"/>
              <w:bidi w:val="0"/>
              <w:spacing w:before="0" w:after="283"/>
              <w:jc w:val="left"/>
              <w:rPr/>
            </w:pPr>
            <w:r>
              <w:rPr/>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70" w:type="dxa"/>
            <w:gridSpan w:val="2"/>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r>
      <w:tr>
        <w:trPr/>
        <w:tc>
          <w:tcPr>
            <w:tcW w:w="30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5" w:type="dxa"/>
            <w:gridSpan w:val="2"/>
            <w:tcBorders>
              <w:bottom w:val="single" w:sz="12" w:space="0" w:color="000000"/>
            </w:tcBorders>
            <w:tcMar>
              <w:bottom w:w="28" w:type="dxa"/>
            </w:tcMar>
            <w:vAlign w:val="bottom"/>
          </w:tcPr>
          <w:p>
            <w:pPr>
              <w:pStyle w:val="TableContents"/>
              <w:bidi w:val="0"/>
              <w:spacing w:before="0" w:after="0"/>
              <w:jc w:val="center"/>
              <w:rPr>
                <w:b/>
                <w:sz w:val="20"/>
              </w:rPr>
            </w:pPr>
            <w:r>
              <w:rPr>
                <w:b/>
                <w:sz w:val="20"/>
              </w:rPr>
              <w:t>Number</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95" w:type="dxa"/>
            <w:gridSpan w:val="2"/>
            <w:tcBorders>
              <w:bottom w:val="single" w:sz="12" w:space="0" w:color="000000"/>
            </w:tcBorders>
            <w:tcMar>
              <w:bottom w:w="28" w:type="dxa"/>
            </w:tcMar>
            <w:vAlign w:val="bottom"/>
          </w:tcPr>
          <w:p>
            <w:pPr>
              <w:pStyle w:val="TableContents"/>
              <w:bidi w:val="0"/>
              <w:spacing w:before="0" w:after="0"/>
              <w:jc w:val="center"/>
              <w:rPr>
                <w:b/>
                <w:sz w:val="20"/>
              </w:rPr>
            </w:pPr>
            <w:r>
              <w:rPr>
                <w:b/>
                <w:sz w:val="20"/>
              </w:rPr>
              <w:t>Amount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20" w:type="dxa"/>
            <w:gridSpan w:val="2"/>
            <w:tcBorders>
              <w:bottom w:val="single" w:sz="12" w:space="0" w:color="000000"/>
            </w:tcBorders>
            <w:tcMar>
              <w:bottom w:w="28" w:type="dxa"/>
            </w:tcMar>
            <w:vAlign w:val="bottom"/>
          </w:tcPr>
          <w:p>
            <w:pPr>
              <w:pStyle w:val="TableContents"/>
              <w:bidi w:val="0"/>
              <w:spacing w:before="0" w:after="0"/>
              <w:jc w:val="center"/>
              <w:rPr>
                <w:b/>
                <w:sz w:val="20"/>
              </w:rPr>
            </w:pPr>
            <w:r>
              <w:rPr>
                <w:b/>
                <w:sz w:val="20"/>
              </w:rPr>
              <w:t>Additional</w:t>
            </w:r>
          </w:p>
          <w:p>
            <w:pPr>
              <w:pStyle w:val="TableContents"/>
              <w:bidi w:val="0"/>
              <w:spacing w:before="0" w:after="0"/>
              <w:jc w:val="center"/>
              <w:rPr>
                <w:b/>
                <w:sz w:val="20"/>
              </w:rPr>
            </w:pPr>
            <w:r>
              <w:rPr>
                <w:b/>
                <w:sz w:val="20"/>
              </w:rPr>
              <w:t>paid-in</w:t>
            </w:r>
          </w:p>
          <w:p>
            <w:pPr>
              <w:pStyle w:val="TableContents"/>
              <w:bidi w:val="0"/>
              <w:spacing w:before="0" w:after="0"/>
              <w:jc w:val="center"/>
              <w:rPr>
                <w:b/>
                <w:sz w:val="20"/>
              </w:rPr>
            </w:pPr>
            <w:r>
              <w:rPr>
                <w:b/>
                <w:sz w:val="20"/>
              </w:rPr>
              <w:t>capital</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52" w:type="dxa"/>
            <w:gridSpan w:val="2"/>
            <w:tcBorders>
              <w:bottom w:val="single" w:sz="12" w:space="0" w:color="000000"/>
            </w:tcBorders>
            <w:tcMar>
              <w:bottom w:w="28" w:type="dxa"/>
            </w:tcMar>
            <w:vAlign w:val="bottom"/>
          </w:tcPr>
          <w:p>
            <w:pPr>
              <w:pStyle w:val="TableContents"/>
              <w:bidi w:val="0"/>
              <w:spacing w:before="0" w:after="0"/>
              <w:jc w:val="center"/>
              <w:rPr>
                <w:b/>
                <w:sz w:val="20"/>
              </w:rPr>
            </w:pPr>
            <w:r>
              <w:rPr>
                <w:b/>
                <w:sz w:val="20"/>
              </w:rPr>
              <w:t xml:space="preserve">Accumulated </w:t>
            </w:r>
          </w:p>
          <w:p>
            <w:pPr>
              <w:pStyle w:val="TableContents"/>
              <w:bidi w:val="0"/>
              <w:spacing w:before="0" w:after="0"/>
              <w:jc w:val="center"/>
              <w:rPr>
                <w:b/>
                <w:sz w:val="20"/>
              </w:rPr>
            </w:pPr>
            <w:r>
              <w:rPr>
                <w:b/>
                <w:sz w:val="20"/>
              </w:rPr>
              <w:t>deficit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18" w:type="dxa"/>
            <w:gridSpan w:val="2"/>
            <w:tcBorders>
              <w:bottom w:val="single" w:sz="12" w:space="0" w:color="000000"/>
            </w:tcBorders>
            <w:tcMar>
              <w:bottom w:w="28" w:type="dxa"/>
            </w:tcMar>
            <w:vAlign w:val="bottom"/>
          </w:tcPr>
          <w:p>
            <w:pPr>
              <w:pStyle w:val="TableContents"/>
              <w:bidi w:val="0"/>
              <w:spacing w:before="0" w:after="0"/>
              <w:jc w:val="center"/>
              <w:rPr>
                <w:b/>
                <w:sz w:val="20"/>
              </w:rPr>
            </w:pPr>
            <w:r>
              <w:rPr>
                <w:b/>
                <w:sz w:val="20"/>
              </w:rPr>
              <w:t>Accumulated</w:t>
            </w:r>
          </w:p>
          <w:p>
            <w:pPr>
              <w:pStyle w:val="TableContents"/>
              <w:bidi w:val="0"/>
              <w:spacing w:before="0" w:after="0"/>
              <w:jc w:val="center"/>
              <w:rPr>
                <w:b/>
                <w:sz w:val="20"/>
              </w:rPr>
            </w:pPr>
            <w:r>
              <w:rPr>
                <w:b/>
                <w:sz w:val="20"/>
              </w:rPr>
              <w:t xml:space="preserve">other </w:t>
            </w:r>
          </w:p>
          <w:p>
            <w:pPr>
              <w:pStyle w:val="TableContents"/>
              <w:bidi w:val="0"/>
              <w:spacing w:before="0" w:after="0"/>
              <w:jc w:val="center"/>
              <w:rPr>
                <w:b/>
                <w:sz w:val="20"/>
              </w:rPr>
            </w:pPr>
            <w:r>
              <w:rPr>
                <w:b/>
                <w:sz w:val="20"/>
              </w:rPr>
              <w:t xml:space="preserve">comprehensive </w:t>
            </w:r>
          </w:p>
          <w:p>
            <w:pPr>
              <w:pStyle w:val="TableContents"/>
              <w:bidi w:val="0"/>
              <w:spacing w:before="0" w:after="0"/>
              <w:jc w:val="center"/>
              <w:rPr>
                <w:b/>
                <w:sz w:val="20"/>
              </w:rPr>
            </w:pPr>
            <w:r>
              <w:rPr>
                <w:b/>
                <w:sz w:val="20"/>
              </w:rPr>
              <w:t>loss</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70" w:type="dxa"/>
            <w:gridSpan w:val="2"/>
            <w:tcBorders>
              <w:bottom w:val="single" w:sz="12" w:space="0" w:color="000000"/>
            </w:tcBorders>
            <w:tcMar>
              <w:bottom w:w="28" w:type="dxa"/>
            </w:tcMar>
            <w:vAlign w:val="bottom"/>
          </w:tcPr>
          <w:p>
            <w:pPr>
              <w:pStyle w:val="TableContents"/>
              <w:bidi w:val="0"/>
              <w:spacing w:before="0" w:after="0"/>
              <w:jc w:val="center"/>
              <w:rPr>
                <w:b/>
                <w:sz w:val="20"/>
              </w:rPr>
            </w:pPr>
            <w:r>
              <w:rPr>
                <w:b/>
                <w:sz w:val="20"/>
              </w:rPr>
              <w:t>Total</w:t>
            </w:r>
          </w:p>
          <w:p>
            <w:pPr>
              <w:pStyle w:val="TableContents"/>
              <w:bidi w:val="0"/>
              <w:spacing w:before="0" w:after="0"/>
              <w:jc w:val="center"/>
              <w:rPr>
                <w:b/>
                <w:sz w:val="20"/>
              </w:rPr>
            </w:pPr>
            <w:r>
              <w:rPr>
                <w:b/>
                <w:sz w:val="20"/>
              </w:rPr>
              <w:t xml:space="preserve">shareholders’ </w:t>
            </w:r>
          </w:p>
          <w:p>
            <w:pPr>
              <w:pStyle w:val="TableContents"/>
              <w:bidi w:val="0"/>
              <w:spacing w:before="0" w:after="0"/>
              <w:jc w:val="center"/>
              <w:rPr>
                <w:b/>
                <w:sz w:val="20"/>
              </w:rPr>
            </w:pPr>
            <w:r>
              <w:rPr>
                <w:b/>
                <w:sz w:val="20"/>
              </w:rPr>
              <w:t>equity</w:t>
            </w:r>
          </w:p>
        </w:tc>
        <w:tc>
          <w:tcPr>
            <w:tcW w:w="84" w:type="dxa"/>
            <w:tcBorders/>
            <w:vAlign w:val="bottom"/>
          </w:tcPr>
          <w:p>
            <w:pPr>
              <w:pStyle w:val="TableContents"/>
              <w:bidi w:val="0"/>
              <w:spacing w:before="0" w:after="283"/>
              <w:jc w:val="left"/>
              <w:rPr/>
            </w:pPr>
            <w:r>
              <w:rPr/>
              <w:t> </w:t>
            </w:r>
          </w:p>
        </w:tc>
      </w:tr>
      <w:tr>
        <w:trPr/>
        <w:tc>
          <w:tcPr>
            <w:tcW w:w="3031" w:type="dxa"/>
            <w:tcBorders/>
            <w:vAlign w:val="bottom"/>
          </w:tcPr>
          <w:p>
            <w:pPr>
              <w:pStyle w:val="TableContents"/>
              <w:bidi w:val="0"/>
              <w:spacing w:before="0" w:after="0"/>
              <w:ind w:left="180" w:right="0" w:hanging="180"/>
              <w:jc w:val="left"/>
              <w:rPr/>
            </w:pPr>
            <w:r>
              <w:rPr/>
              <w:t> </w:t>
            </w:r>
          </w:p>
        </w:tc>
        <w:tc>
          <w:tcPr>
            <w:tcW w:w="60" w:type="dxa"/>
            <w:tcBorders/>
            <w:vAlign w:val="bottom"/>
          </w:tcPr>
          <w:p>
            <w:pPr>
              <w:pStyle w:val="TableContents"/>
              <w:bidi w:val="0"/>
              <w:spacing w:before="0" w:after="283"/>
              <w:jc w:val="left"/>
              <w:rPr/>
            </w:pPr>
            <w:r>
              <w:rPr/>
              <w:t> </w:t>
            </w:r>
          </w:p>
        </w:tc>
        <w:tc>
          <w:tcPr>
            <w:tcW w:w="1115"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95"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20" w:type="dxa"/>
            <w:gridSpan w:val="2"/>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52" w:type="dxa"/>
            <w:gridSpan w:val="2"/>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18" w:type="dxa"/>
            <w:gridSpan w:val="2"/>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70" w:type="dxa"/>
            <w:gridSpan w:val="2"/>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r>
      <w:tr>
        <w:trPr/>
        <w:tc>
          <w:tcPr>
            <w:tcW w:w="3031" w:type="dxa"/>
            <w:tcBorders/>
            <w:shd w:fill="CCEEFF" w:val="clear"/>
            <w:vAlign w:val="bottom"/>
          </w:tcPr>
          <w:p>
            <w:pPr>
              <w:pStyle w:val="TableContents"/>
              <w:bidi w:val="0"/>
              <w:spacing w:before="0" w:after="0"/>
              <w:ind w:left="180" w:right="0" w:hanging="0"/>
              <w:jc w:val="left"/>
              <w:rPr>
                <w:sz w:val="20"/>
              </w:rPr>
            </w:pPr>
            <w:r>
              <w:rPr>
                <w:sz w:val="20"/>
              </w:rPr>
              <w:t>Balance as of June 30, 2022 (unaudited)</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055" w:type="dxa"/>
            <w:tcBorders/>
            <w:shd w:fill="CCEEFF" w:val="clear"/>
            <w:vAlign w:val="bottom"/>
          </w:tcPr>
          <w:p>
            <w:pPr>
              <w:pStyle w:val="TableContents"/>
              <w:bidi w:val="0"/>
              <w:spacing w:before="0" w:after="0"/>
              <w:jc w:val="right"/>
              <w:rPr>
                <w:sz w:val="20"/>
              </w:rPr>
            </w:pPr>
            <w:r>
              <w:rPr>
                <w:sz w:val="20"/>
              </w:rPr>
              <w:t>240,679,908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25" w:type="dxa"/>
            <w:tcBorders/>
            <w:shd w:fill="CCEEFF" w:val="clear"/>
            <w:vAlign w:val="bottom"/>
          </w:tcPr>
          <w:p>
            <w:pPr>
              <w:pStyle w:val="TableContents"/>
              <w:bidi w:val="0"/>
              <w:spacing w:before="0" w:after="0"/>
              <w:jc w:val="left"/>
              <w:rPr>
                <w:sz w:val="20"/>
              </w:rPr>
            </w:pPr>
            <w:r>
              <w:rPr>
                <w:sz w:val="20"/>
              </w:rPr>
              <w:t>$</w:t>
            </w:r>
          </w:p>
        </w:tc>
        <w:tc>
          <w:tcPr>
            <w:tcW w:w="470" w:type="dxa"/>
            <w:tcBorders/>
            <w:shd w:fill="CCEEFF" w:val="clear"/>
            <w:vAlign w:val="bottom"/>
          </w:tcPr>
          <w:p>
            <w:pPr>
              <w:pStyle w:val="TableContents"/>
              <w:bidi w:val="0"/>
              <w:spacing w:before="0" w:after="0"/>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sz w:val="20"/>
              </w:rPr>
            </w:pPr>
            <w:r>
              <w:rPr>
                <w:sz w:val="20"/>
              </w:rPr>
              <w:t>$</w:t>
            </w:r>
          </w:p>
        </w:tc>
        <w:tc>
          <w:tcPr>
            <w:tcW w:w="780" w:type="dxa"/>
            <w:tcBorders/>
            <w:shd w:fill="CCEEFF" w:val="clear"/>
            <w:vAlign w:val="bottom"/>
          </w:tcPr>
          <w:p>
            <w:pPr>
              <w:pStyle w:val="TableContents"/>
              <w:bidi w:val="0"/>
              <w:spacing w:before="0" w:after="0"/>
              <w:jc w:val="right"/>
              <w:rPr>
                <w:sz w:val="20"/>
              </w:rPr>
            </w:pPr>
            <w:r>
              <w:rPr>
                <w:sz w:val="20"/>
              </w:rPr>
              <w:t>869,201</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85" w:type="dxa"/>
            <w:tcBorders/>
            <w:shd w:fill="CCEEFF" w:val="clear"/>
            <w:vAlign w:val="bottom"/>
          </w:tcPr>
          <w:p>
            <w:pPr>
              <w:pStyle w:val="TableContents"/>
              <w:bidi w:val="0"/>
              <w:spacing w:before="0" w:after="0"/>
              <w:jc w:val="left"/>
              <w:rPr>
                <w:sz w:val="20"/>
              </w:rPr>
            </w:pPr>
            <w:r>
              <w:rPr>
                <w:sz w:val="20"/>
              </w:rPr>
              <w:t>$</w:t>
            </w:r>
          </w:p>
        </w:tc>
        <w:tc>
          <w:tcPr>
            <w:tcW w:w="967" w:type="dxa"/>
            <w:tcBorders/>
            <w:shd w:fill="CCEEFF" w:val="clear"/>
            <w:vAlign w:val="bottom"/>
          </w:tcPr>
          <w:p>
            <w:pPr>
              <w:pStyle w:val="TableContents"/>
              <w:bidi w:val="0"/>
              <w:spacing w:before="0" w:after="0"/>
              <w:jc w:val="right"/>
              <w:rPr>
                <w:sz w:val="20"/>
              </w:rPr>
            </w:pPr>
            <w:r>
              <w:rPr>
                <w:sz w:val="20"/>
              </w:rPr>
              <w:t>(57,578</w:t>
            </w:r>
          </w:p>
        </w:tc>
        <w:tc>
          <w:tcPr>
            <w:tcW w:w="80" w:type="dxa"/>
            <w:tcBorders/>
            <w:shd w:fill="CCEEFF" w:val="clear"/>
            <w:vAlign w:val="bottom"/>
          </w:tcPr>
          <w:p>
            <w:pPr>
              <w:pStyle w:val="TableContents"/>
              <w:bidi w:val="0"/>
              <w:spacing w:before="0" w:after="0"/>
              <w:jc w:val="left"/>
              <w:rPr>
                <w:sz w:val="20"/>
              </w:rPr>
            </w:pPr>
            <w:r>
              <w:rPr>
                <w:sz w:val="20"/>
              </w:rPr>
              <w:t>)</w:t>
            </w:r>
          </w:p>
        </w:tc>
        <w:tc>
          <w:tcPr>
            <w:tcW w:w="60" w:type="dxa"/>
            <w:tcBorders/>
            <w:shd w:fill="CCEEFF" w:val="clear"/>
            <w:vAlign w:val="bottom"/>
          </w:tcPr>
          <w:p>
            <w:pPr>
              <w:pStyle w:val="TableContents"/>
              <w:bidi w:val="0"/>
              <w:spacing w:before="0" w:after="283"/>
              <w:jc w:val="right"/>
              <w:rPr/>
            </w:pPr>
            <w:r>
              <w:rPr/>
              <w:t> </w:t>
            </w:r>
          </w:p>
        </w:tc>
        <w:tc>
          <w:tcPr>
            <w:tcW w:w="245" w:type="dxa"/>
            <w:tcBorders/>
            <w:shd w:fill="CCEEFF" w:val="clear"/>
            <w:vAlign w:val="bottom"/>
          </w:tcPr>
          <w:p>
            <w:pPr>
              <w:pStyle w:val="TableContents"/>
              <w:bidi w:val="0"/>
              <w:spacing w:before="0" w:after="0"/>
              <w:jc w:val="left"/>
              <w:rPr>
                <w:sz w:val="20"/>
              </w:rPr>
            </w:pPr>
            <w:r>
              <w:rPr>
                <w:sz w:val="20"/>
              </w:rPr>
              <w:t>$</w:t>
            </w:r>
          </w:p>
        </w:tc>
        <w:tc>
          <w:tcPr>
            <w:tcW w:w="1073" w:type="dxa"/>
            <w:tcBorders/>
            <w:shd w:fill="CCEEFF" w:val="clear"/>
            <w:vAlign w:val="bottom"/>
          </w:tcPr>
          <w:p>
            <w:pPr>
              <w:pStyle w:val="TableContents"/>
              <w:bidi w:val="0"/>
              <w:spacing w:before="0" w:after="0"/>
              <w:jc w:val="right"/>
              <w:rPr>
                <w:sz w:val="20"/>
              </w:rPr>
            </w:pPr>
            <w:r>
              <w:rPr>
                <w:sz w:val="20"/>
              </w:rPr>
              <w:t>(3,783</w:t>
            </w:r>
          </w:p>
        </w:tc>
        <w:tc>
          <w:tcPr>
            <w:tcW w:w="80" w:type="dxa"/>
            <w:tcBorders/>
            <w:shd w:fill="CCEEFF" w:val="clear"/>
            <w:vAlign w:val="bottom"/>
          </w:tcPr>
          <w:p>
            <w:pPr>
              <w:pStyle w:val="TableContents"/>
              <w:bidi w:val="0"/>
              <w:spacing w:before="0" w:after="0"/>
              <w:jc w:val="left"/>
              <w:rPr>
                <w:sz w:val="20"/>
              </w:rPr>
            </w:pPr>
            <w:r>
              <w:rPr>
                <w:sz w:val="20"/>
              </w:rPr>
              <w:t>)</w:t>
            </w:r>
          </w:p>
        </w:tc>
        <w:tc>
          <w:tcPr>
            <w:tcW w:w="60" w:type="dxa"/>
            <w:tcBorders/>
            <w:shd w:fill="CCEEFF" w:val="clear"/>
            <w:vAlign w:val="bottom"/>
          </w:tcPr>
          <w:p>
            <w:pPr>
              <w:pStyle w:val="TableContents"/>
              <w:bidi w:val="0"/>
              <w:spacing w:before="0" w:after="283"/>
              <w:jc w:val="right"/>
              <w:rPr/>
            </w:pPr>
            <w:r>
              <w:rPr/>
              <w:t> </w:t>
            </w:r>
          </w:p>
        </w:tc>
        <w:tc>
          <w:tcPr>
            <w:tcW w:w="177" w:type="dxa"/>
            <w:tcBorders/>
            <w:shd w:fill="CCEEFF" w:val="clear"/>
            <w:vAlign w:val="bottom"/>
          </w:tcPr>
          <w:p>
            <w:pPr>
              <w:pStyle w:val="TableContents"/>
              <w:bidi w:val="0"/>
              <w:spacing w:before="0" w:after="0"/>
              <w:jc w:val="left"/>
              <w:rPr>
                <w:sz w:val="20"/>
              </w:rPr>
            </w:pPr>
            <w:r>
              <w:rPr>
                <w:sz w:val="20"/>
              </w:rPr>
              <w:t>$</w:t>
            </w:r>
          </w:p>
        </w:tc>
        <w:tc>
          <w:tcPr>
            <w:tcW w:w="993" w:type="dxa"/>
            <w:tcBorders/>
            <w:shd w:fill="CCEEFF" w:val="clear"/>
            <w:vAlign w:val="bottom"/>
          </w:tcPr>
          <w:p>
            <w:pPr>
              <w:pStyle w:val="TableContents"/>
              <w:bidi w:val="0"/>
              <w:spacing w:before="0" w:after="0"/>
              <w:jc w:val="right"/>
              <w:rPr>
                <w:sz w:val="20"/>
              </w:rPr>
            </w:pPr>
            <w:r>
              <w:rPr>
                <w:sz w:val="20"/>
              </w:rPr>
              <w:t>807,840</w:t>
            </w:r>
          </w:p>
        </w:tc>
        <w:tc>
          <w:tcPr>
            <w:tcW w:w="84" w:type="dxa"/>
            <w:tcBorders/>
            <w:shd w:fill="CCEEFF" w:val="clear"/>
            <w:vAlign w:val="bottom"/>
          </w:tcPr>
          <w:p>
            <w:pPr>
              <w:pStyle w:val="TableContents"/>
              <w:bidi w:val="0"/>
              <w:spacing w:before="0" w:after="283"/>
              <w:jc w:val="left"/>
              <w:rPr/>
            </w:pPr>
            <w:r>
              <w:rPr/>
              <w:t> </w:t>
            </w:r>
          </w:p>
        </w:tc>
      </w:tr>
      <w:tr>
        <w:trPr/>
        <w:tc>
          <w:tcPr>
            <w:tcW w:w="3031" w:type="dxa"/>
            <w:tcBorders/>
            <w:vAlign w:val="bottom"/>
          </w:tcPr>
          <w:p>
            <w:pPr>
              <w:pStyle w:val="TableContents"/>
              <w:bidi w:val="0"/>
              <w:spacing w:before="0" w:after="0"/>
              <w:ind w:left="360" w:right="0" w:hanging="360"/>
              <w:jc w:val="left"/>
              <w:rPr>
                <w:sz w:val="20"/>
              </w:rPr>
            </w:pPr>
            <w:r>
              <w:rPr>
                <w:sz w:val="20"/>
              </w:rPr>
              <w:t>Share-based compensation expenses</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055" w:type="dxa"/>
            <w:tcBorders/>
            <w:vAlign w:val="bottom"/>
          </w:tcPr>
          <w:p>
            <w:pPr>
              <w:pStyle w:val="TableContents"/>
              <w:bidi w:val="0"/>
              <w:spacing w:before="0" w:after="0"/>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25" w:type="dxa"/>
            <w:tcBorders/>
            <w:vAlign w:val="bottom"/>
          </w:tcPr>
          <w:p>
            <w:pPr>
              <w:pStyle w:val="TableContents"/>
              <w:bidi w:val="0"/>
              <w:spacing w:before="0" w:after="283"/>
              <w:jc w:val="left"/>
              <w:rPr/>
            </w:pPr>
            <w:r>
              <w:rPr/>
              <w:t> </w:t>
            </w:r>
          </w:p>
        </w:tc>
        <w:tc>
          <w:tcPr>
            <w:tcW w:w="470" w:type="dxa"/>
            <w:tcBorders/>
            <w:vAlign w:val="bottom"/>
          </w:tcPr>
          <w:p>
            <w:pPr>
              <w:pStyle w:val="TableContents"/>
              <w:bidi w:val="0"/>
              <w:spacing w:before="0" w:after="0"/>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780" w:type="dxa"/>
            <w:tcBorders/>
            <w:vAlign w:val="bottom"/>
          </w:tcPr>
          <w:p>
            <w:pPr>
              <w:pStyle w:val="TableContents"/>
              <w:bidi w:val="0"/>
              <w:spacing w:before="0" w:after="0"/>
              <w:jc w:val="right"/>
              <w:rPr>
                <w:sz w:val="20"/>
              </w:rPr>
            </w:pPr>
            <w:r>
              <w:rPr>
                <w:sz w:val="20"/>
              </w:rPr>
              <w:t>19,150</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c>
          <w:tcPr>
            <w:tcW w:w="967" w:type="dxa"/>
            <w:tcBorders/>
            <w:vAlign w:val="bottom"/>
          </w:tcPr>
          <w:p>
            <w:pPr>
              <w:pStyle w:val="TableContents"/>
              <w:bidi w:val="0"/>
              <w:spacing w:before="0" w:after="0"/>
              <w:jc w:val="right"/>
              <w:rPr/>
            </w:pPr>
            <w:r>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45" w:type="dxa"/>
            <w:tcBorders/>
            <w:vAlign w:val="bottom"/>
          </w:tcPr>
          <w:p>
            <w:pPr>
              <w:pStyle w:val="TableContents"/>
              <w:bidi w:val="0"/>
              <w:spacing w:before="0" w:after="283"/>
              <w:jc w:val="left"/>
              <w:rPr/>
            </w:pPr>
            <w:r>
              <w:rPr/>
              <w:t> </w:t>
            </w:r>
          </w:p>
        </w:tc>
        <w:tc>
          <w:tcPr>
            <w:tcW w:w="1073" w:type="dxa"/>
            <w:tcBorders/>
            <w:vAlign w:val="bottom"/>
          </w:tcPr>
          <w:p>
            <w:pPr>
              <w:pStyle w:val="TableContents"/>
              <w:bidi w:val="0"/>
              <w:spacing w:before="0" w:after="0"/>
              <w:jc w:val="right"/>
              <w:rPr/>
            </w:pPr>
            <w:r>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77" w:type="dxa"/>
            <w:tcBorders/>
            <w:vAlign w:val="bottom"/>
          </w:tcPr>
          <w:p>
            <w:pPr>
              <w:pStyle w:val="TableContents"/>
              <w:bidi w:val="0"/>
              <w:spacing w:before="0" w:after="283"/>
              <w:jc w:val="left"/>
              <w:rPr/>
            </w:pPr>
            <w:r>
              <w:rPr/>
              <w:t> </w:t>
            </w:r>
          </w:p>
        </w:tc>
        <w:tc>
          <w:tcPr>
            <w:tcW w:w="993" w:type="dxa"/>
            <w:tcBorders/>
            <w:vAlign w:val="bottom"/>
          </w:tcPr>
          <w:p>
            <w:pPr>
              <w:pStyle w:val="TableContents"/>
              <w:bidi w:val="0"/>
              <w:spacing w:before="0" w:after="0"/>
              <w:jc w:val="right"/>
              <w:rPr>
                <w:sz w:val="20"/>
              </w:rPr>
            </w:pPr>
            <w:r>
              <w:rPr>
                <w:sz w:val="20"/>
              </w:rPr>
              <w:t>19,150</w:t>
            </w:r>
          </w:p>
        </w:tc>
        <w:tc>
          <w:tcPr>
            <w:tcW w:w="84" w:type="dxa"/>
            <w:tcBorders/>
            <w:vAlign w:val="bottom"/>
          </w:tcPr>
          <w:p>
            <w:pPr>
              <w:pStyle w:val="TableContents"/>
              <w:bidi w:val="0"/>
              <w:spacing w:before="0" w:after="283"/>
              <w:jc w:val="left"/>
              <w:rPr/>
            </w:pPr>
            <w:r>
              <w:rPr/>
              <w:t> </w:t>
            </w:r>
          </w:p>
        </w:tc>
      </w:tr>
      <w:tr>
        <w:trPr/>
        <w:tc>
          <w:tcPr>
            <w:tcW w:w="3031" w:type="dxa"/>
            <w:tcBorders/>
            <w:shd w:fill="CCEEFF" w:val="clear"/>
            <w:vAlign w:val="bottom"/>
          </w:tcPr>
          <w:p>
            <w:pPr>
              <w:pStyle w:val="TableContents"/>
              <w:bidi w:val="0"/>
              <w:spacing w:before="0" w:after="0"/>
              <w:ind w:left="360" w:right="0" w:hanging="360"/>
              <w:jc w:val="left"/>
              <w:rPr>
                <w:sz w:val="20"/>
              </w:rPr>
            </w:pPr>
            <w:r>
              <w:rPr>
                <w:sz w:val="20"/>
              </w:rPr>
              <w:t>Exercise of options and vested RSUs</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055" w:type="dxa"/>
            <w:tcBorders/>
            <w:shd w:fill="CCEEFF" w:val="clear"/>
            <w:vAlign w:val="bottom"/>
          </w:tcPr>
          <w:p>
            <w:pPr>
              <w:pStyle w:val="TableContents"/>
              <w:bidi w:val="0"/>
              <w:spacing w:before="0" w:after="0"/>
              <w:jc w:val="right"/>
              <w:rPr>
                <w:sz w:val="20"/>
              </w:rPr>
            </w:pPr>
            <w:r>
              <w:rPr>
                <w:sz w:val="20"/>
              </w:rPr>
              <w:t>5,441,506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25" w:type="dxa"/>
            <w:tcBorders/>
            <w:shd w:fill="CCEEFF" w:val="clear"/>
            <w:vAlign w:val="bottom"/>
          </w:tcPr>
          <w:p>
            <w:pPr>
              <w:pStyle w:val="TableContents"/>
              <w:bidi w:val="0"/>
              <w:spacing w:before="0" w:after="283"/>
              <w:jc w:val="left"/>
              <w:rPr/>
            </w:pPr>
            <w:r>
              <w:rPr/>
              <w:t> </w:t>
            </w:r>
          </w:p>
        </w:tc>
        <w:tc>
          <w:tcPr>
            <w:tcW w:w="470" w:type="dxa"/>
            <w:tcBorders/>
            <w:shd w:fill="CCEEFF" w:val="clear"/>
            <w:vAlign w:val="bottom"/>
          </w:tcPr>
          <w:p>
            <w:pPr>
              <w:pStyle w:val="TableContents"/>
              <w:bidi w:val="0"/>
              <w:spacing w:before="0" w:after="0"/>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780" w:type="dxa"/>
            <w:tcBorders/>
            <w:shd w:fill="CCEEFF" w:val="clear"/>
            <w:vAlign w:val="bottom"/>
          </w:tcPr>
          <w:p>
            <w:pPr>
              <w:pStyle w:val="TableContents"/>
              <w:bidi w:val="0"/>
              <w:spacing w:before="0" w:after="0"/>
              <w:jc w:val="right"/>
              <w:rPr>
                <w:sz w:val="20"/>
              </w:rPr>
            </w:pPr>
            <w:r>
              <w:rPr>
                <w:sz w:val="20"/>
              </w:rPr>
              <w:t>1,419</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85" w:type="dxa"/>
            <w:tcBorders/>
            <w:shd w:fill="CCEEFF" w:val="clear"/>
            <w:vAlign w:val="bottom"/>
          </w:tcPr>
          <w:p>
            <w:pPr>
              <w:pStyle w:val="TableContents"/>
              <w:bidi w:val="0"/>
              <w:spacing w:before="0" w:after="283"/>
              <w:jc w:val="left"/>
              <w:rPr/>
            </w:pPr>
            <w:r>
              <w:rPr/>
              <w:t> </w:t>
            </w:r>
          </w:p>
        </w:tc>
        <w:tc>
          <w:tcPr>
            <w:tcW w:w="967" w:type="dxa"/>
            <w:tcBorders/>
            <w:shd w:fill="CCEEFF" w:val="clear"/>
            <w:vAlign w:val="bottom"/>
          </w:tcPr>
          <w:p>
            <w:pPr>
              <w:pStyle w:val="TableContents"/>
              <w:bidi w:val="0"/>
              <w:spacing w:before="0" w:after="0"/>
              <w:jc w:val="right"/>
              <w:rPr/>
            </w:pPr>
            <w:r>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45" w:type="dxa"/>
            <w:tcBorders/>
            <w:shd w:fill="CCEEFF" w:val="clear"/>
            <w:vAlign w:val="bottom"/>
          </w:tcPr>
          <w:p>
            <w:pPr>
              <w:pStyle w:val="TableContents"/>
              <w:bidi w:val="0"/>
              <w:spacing w:before="0" w:after="283"/>
              <w:jc w:val="left"/>
              <w:rPr/>
            </w:pPr>
            <w:r>
              <w:rPr/>
              <w:t> </w:t>
            </w:r>
          </w:p>
        </w:tc>
        <w:tc>
          <w:tcPr>
            <w:tcW w:w="1073" w:type="dxa"/>
            <w:tcBorders/>
            <w:shd w:fill="CCEEFF" w:val="clear"/>
            <w:vAlign w:val="bottom"/>
          </w:tcPr>
          <w:p>
            <w:pPr>
              <w:pStyle w:val="TableContents"/>
              <w:bidi w:val="0"/>
              <w:spacing w:before="0" w:after="0"/>
              <w:jc w:val="right"/>
              <w:rPr/>
            </w:pPr>
            <w:r>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77" w:type="dxa"/>
            <w:tcBorders/>
            <w:shd w:fill="CCEEFF" w:val="clear"/>
            <w:vAlign w:val="bottom"/>
          </w:tcPr>
          <w:p>
            <w:pPr>
              <w:pStyle w:val="TableContents"/>
              <w:bidi w:val="0"/>
              <w:spacing w:before="0" w:after="283"/>
              <w:jc w:val="left"/>
              <w:rPr/>
            </w:pPr>
            <w:r>
              <w:rPr/>
              <w:t> </w:t>
            </w:r>
          </w:p>
        </w:tc>
        <w:tc>
          <w:tcPr>
            <w:tcW w:w="993" w:type="dxa"/>
            <w:tcBorders/>
            <w:shd w:fill="CCEEFF" w:val="clear"/>
            <w:vAlign w:val="bottom"/>
          </w:tcPr>
          <w:p>
            <w:pPr>
              <w:pStyle w:val="TableContents"/>
              <w:bidi w:val="0"/>
              <w:spacing w:before="0" w:after="0"/>
              <w:jc w:val="right"/>
              <w:rPr>
                <w:sz w:val="20"/>
              </w:rPr>
            </w:pPr>
            <w:r>
              <w:rPr>
                <w:sz w:val="20"/>
              </w:rPr>
              <w:t>1,419</w:t>
            </w:r>
          </w:p>
        </w:tc>
        <w:tc>
          <w:tcPr>
            <w:tcW w:w="84" w:type="dxa"/>
            <w:tcBorders/>
            <w:shd w:fill="CCEEFF" w:val="clear"/>
            <w:vAlign w:val="bottom"/>
          </w:tcPr>
          <w:p>
            <w:pPr>
              <w:pStyle w:val="TableContents"/>
              <w:bidi w:val="0"/>
              <w:spacing w:before="0" w:after="283"/>
              <w:jc w:val="left"/>
              <w:rPr/>
            </w:pPr>
            <w:r>
              <w:rPr/>
              <w:t> </w:t>
            </w:r>
          </w:p>
        </w:tc>
      </w:tr>
      <w:tr>
        <w:trPr/>
        <w:tc>
          <w:tcPr>
            <w:tcW w:w="3031" w:type="dxa"/>
            <w:tcBorders/>
            <w:vAlign w:val="bottom"/>
          </w:tcPr>
          <w:p>
            <w:pPr>
              <w:pStyle w:val="TableContents"/>
              <w:bidi w:val="0"/>
              <w:spacing w:before="0" w:after="283"/>
              <w:jc w:val="left"/>
              <w:rPr>
                <w:sz w:val="20"/>
              </w:rPr>
            </w:pPr>
            <w:r>
              <w:rPr>
                <w:sz w:val="20"/>
              </w:rPr>
              <w:t xml:space="preserve">Connexity issuance of Holdback  </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055" w:type="dxa"/>
            <w:tcBorders/>
            <w:vAlign w:val="bottom"/>
          </w:tcPr>
          <w:p>
            <w:pPr>
              <w:pStyle w:val="TableContents"/>
              <w:bidi w:val="0"/>
              <w:spacing w:before="0" w:after="283"/>
              <w:jc w:val="right"/>
              <w:rPr>
                <w:sz w:val="20"/>
              </w:rPr>
            </w:pPr>
            <w:r>
              <w:rPr>
                <w:sz w:val="20"/>
              </w:rPr>
              <w:t>1,227,010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25" w:type="dxa"/>
            <w:tcBorders/>
            <w:vAlign w:val="bottom"/>
          </w:tcPr>
          <w:p>
            <w:pPr>
              <w:pStyle w:val="TableContents"/>
              <w:bidi w:val="0"/>
              <w:spacing w:before="0" w:after="283"/>
              <w:jc w:val="left"/>
              <w:rPr/>
            </w:pPr>
            <w:r>
              <w:rPr/>
              <w:t> </w:t>
            </w:r>
          </w:p>
        </w:tc>
        <w:tc>
          <w:tcPr>
            <w:tcW w:w="47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780" w:type="dxa"/>
            <w:tcBorders/>
            <w:vAlign w:val="bottom"/>
          </w:tcPr>
          <w:p>
            <w:pPr>
              <w:pStyle w:val="TableContents"/>
              <w:bidi w:val="0"/>
              <w:spacing w:before="0" w:after="283"/>
              <w:jc w:val="right"/>
              <w:rPr/>
            </w:pPr>
            <w:r>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c>
          <w:tcPr>
            <w:tcW w:w="967" w:type="dxa"/>
            <w:tcBorders/>
            <w:vAlign w:val="bottom"/>
          </w:tcPr>
          <w:p>
            <w:pPr>
              <w:pStyle w:val="TableContents"/>
              <w:bidi w:val="0"/>
              <w:spacing w:before="0" w:after="283"/>
              <w:jc w:val="right"/>
              <w:rPr/>
            </w:pPr>
            <w:r>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45" w:type="dxa"/>
            <w:tcBorders/>
            <w:vAlign w:val="bottom"/>
          </w:tcPr>
          <w:p>
            <w:pPr>
              <w:pStyle w:val="TableContents"/>
              <w:bidi w:val="0"/>
              <w:spacing w:before="0" w:after="283"/>
              <w:jc w:val="left"/>
              <w:rPr/>
            </w:pPr>
            <w:r>
              <w:rPr/>
              <w:t> </w:t>
            </w:r>
          </w:p>
        </w:tc>
        <w:tc>
          <w:tcPr>
            <w:tcW w:w="1073" w:type="dxa"/>
            <w:tcBorders/>
            <w:vAlign w:val="bottom"/>
          </w:tcPr>
          <w:p>
            <w:pPr>
              <w:pStyle w:val="TableContents"/>
              <w:bidi w:val="0"/>
              <w:spacing w:before="0" w:after="283"/>
              <w:jc w:val="right"/>
              <w:rPr/>
            </w:pPr>
            <w:r>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77" w:type="dxa"/>
            <w:tcBorders/>
            <w:vAlign w:val="bottom"/>
          </w:tcPr>
          <w:p>
            <w:pPr>
              <w:pStyle w:val="TableContents"/>
              <w:bidi w:val="0"/>
              <w:spacing w:before="0" w:after="283"/>
              <w:jc w:val="left"/>
              <w:rPr/>
            </w:pPr>
            <w:r>
              <w:rPr/>
              <w:t> </w:t>
            </w:r>
          </w:p>
        </w:tc>
        <w:tc>
          <w:tcPr>
            <w:tcW w:w="993" w:type="dxa"/>
            <w:tcBorders/>
            <w:vAlign w:val="bottom"/>
          </w:tcPr>
          <w:p>
            <w:pPr>
              <w:pStyle w:val="TableContents"/>
              <w:bidi w:val="0"/>
              <w:spacing w:before="0" w:after="283"/>
              <w:jc w:val="right"/>
              <w:rPr/>
            </w:pPr>
            <w:r>
              <w:rPr/>
              <w:t>—</w:t>
            </w:r>
          </w:p>
        </w:tc>
        <w:tc>
          <w:tcPr>
            <w:tcW w:w="84" w:type="dxa"/>
            <w:tcBorders/>
            <w:vAlign w:val="bottom"/>
          </w:tcPr>
          <w:p>
            <w:pPr>
              <w:pStyle w:val="TableContents"/>
              <w:bidi w:val="0"/>
              <w:spacing w:before="0" w:after="283"/>
              <w:jc w:val="left"/>
              <w:rPr/>
            </w:pPr>
            <w:r>
              <w:rPr/>
              <w:t> </w:t>
            </w:r>
          </w:p>
        </w:tc>
      </w:tr>
      <w:tr>
        <w:trPr/>
        <w:tc>
          <w:tcPr>
            <w:tcW w:w="3031" w:type="dxa"/>
            <w:tcBorders/>
            <w:shd w:fill="CCEEFF" w:val="clear"/>
            <w:vAlign w:val="bottom"/>
          </w:tcPr>
          <w:p>
            <w:pPr>
              <w:pStyle w:val="TableContents"/>
              <w:bidi w:val="0"/>
              <w:spacing w:before="0" w:after="0"/>
              <w:ind w:left="180" w:right="0" w:hanging="180"/>
              <w:jc w:val="left"/>
              <w:rPr>
                <w:sz w:val="20"/>
              </w:rPr>
            </w:pPr>
            <w:r>
              <w:rPr>
                <w:sz w:val="20"/>
              </w:rPr>
              <w:t>Payments of tax withholding for share-based compensation</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055" w:type="dxa"/>
            <w:tcBorders/>
            <w:shd w:fill="CCEEFF" w:val="clear"/>
            <w:vAlign w:val="bottom"/>
          </w:tcPr>
          <w:p>
            <w:pPr>
              <w:pStyle w:val="TableContents"/>
              <w:bidi w:val="0"/>
              <w:spacing w:before="0" w:after="0"/>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25" w:type="dxa"/>
            <w:tcBorders/>
            <w:shd w:fill="CCEEFF" w:val="clear"/>
            <w:vAlign w:val="bottom"/>
          </w:tcPr>
          <w:p>
            <w:pPr>
              <w:pStyle w:val="TableContents"/>
              <w:bidi w:val="0"/>
              <w:spacing w:before="0" w:after="283"/>
              <w:jc w:val="left"/>
              <w:rPr/>
            </w:pPr>
            <w:r>
              <w:rPr/>
              <w:t> </w:t>
            </w:r>
          </w:p>
        </w:tc>
        <w:tc>
          <w:tcPr>
            <w:tcW w:w="470" w:type="dxa"/>
            <w:tcBorders/>
            <w:shd w:fill="CCEEFF" w:val="clear"/>
            <w:vAlign w:val="bottom"/>
          </w:tcPr>
          <w:p>
            <w:pPr>
              <w:pStyle w:val="TableContents"/>
              <w:bidi w:val="0"/>
              <w:spacing w:before="0" w:after="0"/>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780" w:type="dxa"/>
            <w:tcBorders/>
            <w:shd w:fill="CCEEFF" w:val="clear"/>
            <w:vAlign w:val="bottom"/>
          </w:tcPr>
          <w:p>
            <w:pPr>
              <w:pStyle w:val="TableContents"/>
              <w:bidi w:val="0"/>
              <w:spacing w:before="0" w:after="0"/>
              <w:jc w:val="right"/>
              <w:rPr>
                <w:sz w:val="20"/>
              </w:rPr>
            </w:pPr>
            <w:r>
              <w:rPr>
                <w:sz w:val="20"/>
              </w:rPr>
              <w:t>(1,925</w:t>
            </w:r>
          </w:p>
        </w:tc>
        <w:tc>
          <w:tcPr>
            <w:tcW w:w="80" w:type="dxa"/>
            <w:tcBorders/>
            <w:shd w:fill="CCEEFF" w:val="clear"/>
            <w:vAlign w:val="bottom"/>
          </w:tcPr>
          <w:p>
            <w:pPr>
              <w:pStyle w:val="TableContents"/>
              <w:bidi w:val="0"/>
              <w:spacing w:before="0" w:after="0"/>
              <w:jc w:val="left"/>
              <w:rPr>
                <w:sz w:val="20"/>
              </w:rPr>
            </w:pPr>
            <w:r>
              <w:rPr>
                <w:sz w:val="20"/>
              </w:rPr>
              <w:t>)</w:t>
            </w:r>
          </w:p>
        </w:tc>
        <w:tc>
          <w:tcPr>
            <w:tcW w:w="60" w:type="dxa"/>
            <w:tcBorders/>
            <w:shd w:fill="CCEEFF" w:val="clear"/>
            <w:vAlign w:val="bottom"/>
          </w:tcPr>
          <w:p>
            <w:pPr>
              <w:pStyle w:val="TableContents"/>
              <w:bidi w:val="0"/>
              <w:spacing w:before="0" w:after="283"/>
              <w:jc w:val="right"/>
              <w:rPr/>
            </w:pPr>
            <w:r>
              <w:rPr/>
              <w:t> </w:t>
            </w:r>
          </w:p>
        </w:tc>
        <w:tc>
          <w:tcPr>
            <w:tcW w:w="185" w:type="dxa"/>
            <w:tcBorders/>
            <w:shd w:fill="CCEEFF" w:val="clear"/>
            <w:vAlign w:val="bottom"/>
          </w:tcPr>
          <w:p>
            <w:pPr>
              <w:pStyle w:val="TableContents"/>
              <w:bidi w:val="0"/>
              <w:spacing w:before="0" w:after="283"/>
              <w:jc w:val="left"/>
              <w:rPr/>
            </w:pPr>
            <w:r>
              <w:rPr/>
              <w:t> </w:t>
            </w:r>
          </w:p>
        </w:tc>
        <w:tc>
          <w:tcPr>
            <w:tcW w:w="967" w:type="dxa"/>
            <w:tcBorders/>
            <w:shd w:fill="CCEEFF" w:val="clear"/>
            <w:vAlign w:val="bottom"/>
          </w:tcPr>
          <w:p>
            <w:pPr>
              <w:pStyle w:val="TableContents"/>
              <w:bidi w:val="0"/>
              <w:spacing w:before="0" w:after="0"/>
              <w:jc w:val="right"/>
              <w:rPr/>
            </w:pPr>
            <w:r>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45" w:type="dxa"/>
            <w:tcBorders/>
            <w:shd w:fill="CCEEFF" w:val="clear"/>
            <w:vAlign w:val="bottom"/>
          </w:tcPr>
          <w:p>
            <w:pPr>
              <w:pStyle w:val="TableContents"/>
              <w:bidi w:val="0"/>
              <w:spacing w:before="0" w:after="283"/>
              <w:jc w:val="left"/>
              <w:rPr/>
            </w:pPr>
            <w:r>
              <w:rPr/>
              <w:t> </w:t>
            </w:r>
          </w:p>
        </w:tc>
        <w:tc>
          <w:tcPr>
            <w:tcW w:w="1073" w:type="dxa"/>
            <w:tcBorders/>
            <w:shd w:fill="CCEEFF" w:val="clear"/>
            <w:vAlign w:val="bottom"/>
          </w:tcPr>
          <w:p>
            <w:pPr>
              <w:pStyle w:val="TableContents"/>
              <w:bidi w:val="0"/>
              <w:spacing w:before="0" w:after="0"/>
              <w:jc w:val="right"/>
              <w:rPr/>
            </w:pPr>
            <w:r>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77" w:type="dxa"/>
            <w:tcBorders/>
            <w:shd w:fill="CCEEFF" w:val="clear"/>
            <w:vAlign w:val="bottom"/>
          </w:tcPr>
          <w:p>
            <w:pPr>
              <w:pStyle w:val="TableContents"/>
              <w:bidi w:val="0"/>
              <w:spacing w:before="0" w:after="283"/>
              <w:jc w:val="left"/>
              <w:rPr/>
            </w:pPr>
            <w:r>
              <w:rPr/>
              <w:t> </w:t>
            </w:r>
          </w:p>
        </w:tc>
        <w:tc>
          <w:tcPr>
            <w:tcW w:w="993" w:type="dxa"/>
            <w:tcBorders/>
            <w:shd w:fill="CCEEFF" w:val="clear"/>
            <w:vAlign w:val="bottom"/>
          </w:tcPr>
          <w:p>
            <w:pPr>
              <w:pStyle w:val="TableContents"/>
              <w:bidi w:val="0"/>
              <w:spacing w:before="0" w:after="0"/>
              <w:jc w:val="right"/>
              <w:rPr>
                <w:sz w:val="20"/>
              </w:rPr>
            </w:pPr>
            <w:r>
              <w:rPr>
                <w:sz w:val="20"/>
              </w:rPr>
              <w:t>(1,925</w:t>
            </w:r>
          </w:p>
        </w:tc>
        <w:tc>
          <w:tcPr>
            <w:tcW w:w="84" w:type="dxa"/>
            <w:tcBorders/>
            <w:shd w:fill="CCEEFF" w:val="clear"/>
            <w:vAlign w:val="bottom"/>
          </w:tcPr>
          <w:p>
            <w:pPr>
              <w:pStyle w:val="TableContents"/>
              <w:bidi w:val="0"/>
              <w:spacing w:before="0" w:after="0"/>
              <w:jc w:val="left"/>
              <w:rPr>
                <w:sz w:val="20"/>
              </w:rPr>
            </w:pPr>
            <w:r>
              <w:rPr>
                <w:sz w:val="20"/>
              </w:rPr>
              <w:t>)</w:t>
            </w:r>
          </w:p>
        </w:tc>
      </w:tr>
      <w:tr>
        <w:trPr/>
        <w:tc>
          <w:tcPr>
            <w:tcW w:w="3031" w:type="dxa"/>
            <w:tcBorders/>
            <w:vAlign w:val="bottom"/>
          </w:tcPr>
          <w:p>
            <w:pPr>
              <w:pStyle w:val="TableContents"/>
              <w:bidi w:val="0"/>
              <w:spacing w:before="0" w:after="0"/>
              <w:ind w:left="360" w:right="0" w:hanging="360"/>
              <w:jc w:val="left"/>
              <w:rPr>
                <w:sz w:val="20"/>
              </w:rPr>
            </w:pPr>
            <w:r>
              <w:rPr>
                <w:sz w:val="20"/>
              </w:rPr>
              <w:t>Other comprehensive income</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055" w:type="dxa"/>
            <w:tcBorders/>
            <w:vAlign w:val="bottom"/>
          </w:tcPr>
          <w:p>
            <w:pPr>
              <w:pStyle w:val="TableContents"/>
              <w:bidi w:val="0"/>
              <w:spacing w:before="0" w:after="0"/>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25" w:type="dxa"/>
            <w:tcBorders/>
            <w:vAlign w:val="bottom"/>
          </w:tcPr>
          <w:p>
            <w:pPr>
              <w:pStyle w:val="TableContents"/>
              <w:bidi w:val="0"/>
              <w:spacing w:before="0" w:after="283"/>
              <w:jc w:val="left"/>
              <w:rPr/>
            </w:pPr>
            <w:r>
              <w:rPr/>
              <w:t> </w:t>
            </w:r>
          </w:p>
        </w:tc>
        <w:tc>
          <w:tcPr>
            <w:tcW w:w="470" w:type="dxa"/>
            <w:tcBorders/>
            <w:vAlign w:val="bottom"/>
          </w:tcPr>
          <w:p>
            <w:pPr>
              <w:pStyle w:val="TableContents"/>
              <w:bidi w:val="0"/>
              <w:spacing w:before="0" w:after="0"/>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780" w:type="dxa"/>
            <w:tcBorders/>
            <w:vAlign w:val="bottom"/>
          </w:tcPr>
          <w:p>
            <w:pPr>
              <w:pStyle w:val="TableContents"/>
              <w:bidi w:val="0"/>
              <w:spacing w:before="0" w:after="0"/>
              <w:jc w:val="right"/>
              <w:rPr/>
            </w:pPr>
            <w:r>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c>
          <w:tcPr>
            <w:tcW w:w="967" w:type="dxa"/>
            <w:tcBorders/>
            <w:vAlign w:val="bottom"/>
          </w:tcPr>
          <w:p>
            <w:pPr>
              <w:pStyle w:val="TableContents"/>
              <w:bidi w:val="0"/>
              <w:spacing w:before="0" w:after="0"/>
              <w:jc w:val="right"/>
              <w:rPr/>
            </w:pPr>
            <w:r>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45" w:type="dxa"/>
            <w:tcBorders/>
            <w:vAlign w:val="bottom"/>
          </w:tcPr>
          <w:p>
            <w:pPr>
              <w:pStyle w:val="TableContents"/>
              <w:bidi w:val="0"/>
              <w:spacing w:before="0" w:after="283"/>
              <w:jc w:val="left"/>
              <w:rPr/>
            </w:pPr>
            <w:r>
              <w:rPr/>
              <w:t> </w:t>
            </w:r>
          </w:p>
        </w:tc>
        <w:tc>
          <w:tcPr>
            <w:tcW w:w="1073" w:type="dxa"/>
            <w:tcBorders/>
            <w:vAlign w:val="bottom"/>
          </w:tcPr>
          <w:p>
            <w:pPr>
              <w:pStyle w:val="TableContents"/>
              <w:bidi w:val="0"/>
              <w:spacing w:before="0" w:after="0"/>
              <w:jc w:val="right"/>
              <w:rPr>
                <w:sz w:val="20"/>
              </w:rPr>
            </w:pPr>
            <w:r>
              <w:rPr>
                <w:sz w:val="20"/>
              </w:rPr>
              <w:t>1,059</w:t>
            </w:r>
          </w:p>
        </w:tc>
        <w:tc>
          <w:tcPr>
            <w:tcW w:w="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right"/>
              <w:rPr/>
            </w:pPr>
            <w:r>
              <w:rPr/>
              <w:t> </w:t>
            </w:r>
          </w:p>
        </w:tc>
        <w:tc>
          <w:tcPr>
            <w:tcW w:w="177" w:type="dxa"/>
            <w:tcBorders/>
            <w:vAlign w:val="bottom"/>
          </w:tcPr>
          <w:p>
            <w:pPr>
              <w:pStyle w:val="TableContents"/>
              <w:bidi w:val="0"/>
              <w:spacing w:before="0" w:after="283"/>
              <w:jc w:val="left"/>
              <w:rPr/>
            </w:pPr>
            <w:r>
              <w:rPr/>
              <w:t> </w:t>
            </w:r>
          </w:p>
        </w:tc>
        <w:tc>
          <w:tcPr>
            <w:tcW w:w="993" w:type="dxa"/>
            <w:tcBorders/>
            <w:vAlign w:val="bottom"/>
          </w:tcPr>
          <w:p>
            <w:pPr>
              <w:pStyle w:val="TableContents"/>
              <w:bidi w:val="0"/>
              <w:spacing w:before="0" w:after="0"/>
              <w:jc w:val="right"/>
              <w:rPr>
                <w:sz w:val="20"/>
              </w:rPr>
            </w:pPr>
            <w:r>
              <w:rPr>
                <w:sz w:val="20"/>
              </w:rPr>
              <w:t>1,059</w:t>
            </w:r>
          </w:p>
        </w:tc>
        <w:tc>
          <w:tcPr>
            <w:tcW w:w="84" w:type="dxa"/>
            <w:tcBorders/>
            <w:vAlign w:val="bottom"/>
          </w:tcPr>
          <w:p>
            <w:pPr>
              <w:pStyle w:val="TableContents"/>
              <w:bidi w:val="0"/>
              <w:spacing w:before="0" w:after="283"/>
              <w:jc w:val="left"/>
              <w:rPr>
                <w:sz w:val="4"/>
                <w:szCs w:val="4"/>
              </w:rPr>
            </w:pPr>
            <w:r>
              <w:rPr>
                <w:sz w:val="4"/>
                <w:szCs w:val="4"/>
              </w:rPr>
            </w:r>
          </w:p>
        </w:tc>
      </w:tr>
      <w:tr>
        <w:trPr/>
        <w:tc>
          <w:tcPr>
            <w:tcW w:w="3031" w:type="dxa"/>
            <w:tcBorders/>
            <w:shd w:fill="CCEEFF" w:val="clear"/>
            <w:vAlign w:val="bottom"/>
          </w:tcPr>
          <w:p>
            <w:pPr>
              <w:pStyle w:val="TableContents"/>
              <w:bidi w:val="0"/>
              <w:spacing w:before="0" w:after="0"/>
              <w:ind w:left="180" w:right="0" w:hanging="180"/>
              <w:jc w:val="left"/>
              <w:rPr>
                <w:sz w:val="20"/>
              </w:rPr>
            </w:pPr>
            <w:r>
              <w:rPr>
                <w:sz w:val="20"/>
              </w:rPr>
              <w:t>Net loss</w:t>
            </w:r>
          </w:p>
        </w:tc>
        <w:tc>
          <w:tcPr>
            <w:tcW w:w="60" w:type="dxa"/>
            <w:tcBorders/>
            <w:shd w:fill="CCEEFF" w:val="clear"/>
            <w:vAlign w:val="bottom"/>
          </w:tcPr>
          <w:p>
            <w:pPr>
              <w:pStyle w:val="TableContents"/>
              <w:bidi w:val="0"/>
              <w:spacing w:before="0" w:after="283"/>
              <w:jc w:val="right"/>
              <w:rPr/>
            </w:pPr>
            <w:r>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bottom"/>
          </w:tcPr>
          <w:p>
            <w:pPr>
              <w:pStyle w:val="TableContents"/>
              <w:bidi w:val="0"/>
              <w:spacing w:before="0" w:after="0"/>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470" w:type="dxa"/>
            <w:tcBorders>
              <w:bottom w:val="single" w:sz="12" w:space="0" w:color="000000"/>
            </w:tcBorders>
            <w:shd w:fill="CCEEFF" w:val="clear"/>
            <w:tcMar>
              <w:bottom w:w="28" w:type="dxa"/>
            </w:tcMar>
            <w:vAlign w:val="bottom"/>
          </w:tcPr>
          <w:p>
            <w:pPr>
              <w:pStyle w:val="TableContents"/>
              <w:bidi w:val="0"/>
              <w:spacing w:before="0" w:after="0"/>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80" w:type="dxa"/>
            <w:tcBorders>
              <w:bottom w:val="single" w:sz="12" w:space="0" w:color="000000"/>
            </w:tcBorders>
            <w:shd w:fill="CCEEFF" w:val="clear"/>
            <w:tcMar>
              <w:bottom w:w="28" w:type="dxa"/>
            </w:tcMar>
            <w:vAlign w:val="bottom"/>
          </w:tcPr>
          <w:p>
            <w:pPr>
              <w:pStyle w:val="TableContents"/>
              <w:bidi w:val="0"/>
              <w:spacing w:before="0" w:after="0"/>
              <w:jc w:val="right"/>
              <w:rPr/>
            </w:pPr>
            <w:r>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8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67" w:type="dxa"/>
            <w:tcBorders>
              <w:bottom w:val="single" w:sz="12" w:space="0" w:color="000000"/>
            </w:tcBorders>
            <w:shd w:fill="CCEEFF" w:val="clear"/>
            <w:tcMar>
              <w:bottom w:w="28" w:type="dxa"/>
            </w:tcMar>
            <w:vAlign w:val="bottom"/>
          </w:tcPr>
          <w:p>
            <w:pPr>
              <w:pStyle w:val="TableContents"/>
              <w:bidi w:val="0"/>
              <w:spacing w:before="0" w:after="0"/>
              <w:jc w:val="right"/>
              <w:rPr>
                <w:sz w:val="20"/>
              </w:rPr>
            </w:pPr>
            <w:r>
              <w:rPr>
                <w:sz w:val="20"/>
              </w:rPr>
              <w:t>(26,026</w:t>
            </w:r>
          </w:p>
        </w:tc>
        <w:tc>
          <w:tcPr>
            <w:tcW w:w="80" w:type="dxa"/>
            <w:tcBorders/>
            <w:shd w:fill="CCEEFF" w:val="clear"/>
            <w:vAlign w:val="bottom"/>
          </w:tcPr>
          <w:p>
            <w:pPr>
              <w:pStyle w:val="TableContents"/>
              <w:bidi w:val="0"/>
              <w:spacing w:before="0" w:after="0"/>
              <w:jc w:val="left"/>
              <w:rPr>
                <w:sz w:val="20"/>
              </w:rPr>
            </w:pPr>
            <w:r>
              <w:rPr>
                <w:sz w:val="20"/>
              </w:rPr>
              <w:t>)</w:t>
            </w:r>
          </w:p>
        </w:tc>
        <w:tc>
          <w:tcPr>
            <w:tcW w:w="60" w:type="dxa"/>
            <w:tcBorders/>
            <w:shd w:fill="CCEEFF" w:val="clear"/>
            <w:vAlign w:val="bottom"/>
          </w:tcPr>
          <w:p>
            <w:pPr>
              <w:pStyle w:val="TableContents"/>
              <w:bidi w:val="0"/>
              <w:spacing w:before="0" w:after="283"/>
              <w:jc w:val="right"/>
              <w:rPr/>
            </w:pPr>
            <w:r>
              <w:rPr/>
              <w:t> </w:t>
            </w:r>
          </w:p>
        </w:tc>
        <w:tc>
          <w:tcPr>
            <w:tcW w:w="24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73" w:type="dxa"/>
            <w:tcBorders>
              <w:bottom w:val="single" w:sz="12" w:space="0" w:color="000000"/>
            </w:tcBorders>
            <w:shd w:fill="CCEEFF" w:val="clear"/>
            <w:tcMar>
              <w:bottom w:w="28" w:type="dxa"/>
            </w:tcMar>
            <w:vAlign w:val="bottom"/>
          </w:tcPr>
          <w:p>
            <w:pPr>
              <w:pStyle w:val="TableContents"/>
              <w:bidi w:val="0"/>
              <w:spacing w:before="0" w:after="0"/>
              <w:jc w:val="right"/>
              <w:rPr/>
            </w:pPr>
            <w:r>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77"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93" w:type="dxa"/>
            <w:tcBorders>
              <w:bottom w:val="single" w:sz="12" w:space="0" w:color="000000"/>
            </w:tcBorders>
            <w:shd w:fill="CCEEFF" w:val="clear"/>
            <w:tcMar>
              <w:bottom w:w="28" w:type="dxa"/>
            </w:tcMar>
            <w:vAlign w:val="bottom"/>
          </w:tcPr>
          <w:p>
            <w:pPr>
              <w:pStyle w:val="TableContents"/>
              <w:bidi w:val="0"/>
              <w:spacing w:before="0" w:after="0"/>
              <w:jc w:val="right"/>
              <w:rPr>
                <w:sz w:val="20"/>
              </w:rPr>
            </w:pPr>
            <w:r>
              <w:rPr>
                <w:sz w:val="20"/>
              </w:rPr>
              <w:t>(26,026</w:t>
            </w:r>
          </w:p>
        </w:tc>
        <w:tc>
          <w:tcPr>
            <w:tcW w:w="84" w:type="dxa"/>
            <w:tcBorders/>
            <w:shd w:fill="CCEEFF" w:val="clear"/>
            <w:vAlign w:val="bottom"/>
          </w:tcPr>
          <w:p>
            <w:pPr>
              <w:pStyle w:val="TableContents"/>
              <w:bidi w:val="0"/>
              <w:spacing w:before="0" w:after="0"/>
              <w:jc w:val="left"/>
              <w:rPr>
                <w:sz w:val="20"/>
              </w:rPr>
            </w:pPr>
            <w:r>
              <w:rPr>
                <w:sz w:val="20"/>
              </w:rPr>
              <w:t>)</w:t>
            </w:r>
          </w:p>
        </w:tc>
      </w:tr>
      <w:tr>
        <w:trPr/>
        <w:tc>
          <w:tcPr>
            <w:tcW w:w="3031" w:type="dxa"/>
            <w:tcBorders/>
            <w:vAlign w:val="bottom"/>
          </w:tcPr>
          <w:p>
            <w:pPr>
              <w:pStyle w:val="TableContents"/>
              <w:bidi w:val="0"/>
              <w:spacing w:before="0" w:after="0"/>
              <w:ind w:left="360" w:right="0" w:hanging="0"/>
              <w:jc w:val="left"/>
              <w:rPr>
                <w:sz w:val="20"/>
              </w:rPr>
            </w:pPr>
            <w:r>
              <w:rPr>
                <w:sz w:val="20"/>
              </w:rPr>
              <w:t>Balance as of September 30, 2022 (unaudited)</w:t>
            </w:r>
          </w:p>
        </w:tc>
        <w:tc>
          <w:tcPr>
            <w:tcW w:w="60" w:type="dxa"/>
            <w:tcBorders/>
            <w:vAlign w:val="bottom"/>
          </w:tcPr>
          <w:p>
            <w:pPr>
              <w:pStyle w:val="TableContents"/>
              <w:bidi w:val="0"/>
              <w:spacing w:before="0" w:after="283"/>
              <w:jc w:val="righ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1055" w:type="dxa"/>
            <w:tcBorders>
              <w:bottom w:val="single" w:sz="12" w:space="0" w:color="000000"/>
            </w:tcBorders>
            <w:tcMar>
              <w:bottom w:w="28" w:type="dxa"/>
            </w:tcMar>
            <w:vAlign w:val="bottom"/>
          </w:tcPr>
          <w:p>
            <w:pPr>
              <w:pStyle w:val="TableContents"/>
              <w:bidi w:val="0"/>
              <w:spacing w:before="0" w:after="0"/>
              <w:jc w:val="right"/>
              <w:rPr>
                <w:sz w:val="20"/>
              </w:rPr>
            </w:pPr>
            <w:r>
              <w:rPr>
                <w:sz w:val="20"/>
              </w:rPr>
              <w:t>247,348,424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25" w:type="dxa"/>
            <w:tcBorders>
              <w:bottom w:val="single" w:sz="12" w:space="0" w:color="000000"/>
            </w:tcBorders>
            <w:tcMar>
              <w:bottom w:w="28" w:type="dxa"/>
            </w:tcMar>
            <w:vAlign w:val="bottom"/>
          </w:tcPr>
          <w:p>
            <w:pPr>
              <w:pStyle w:val="TableContents"/>
              <w:bidi w:val="0"/>
              <w:spacing w:before="0" w:after="0"/>
              <w:jc w:val="left"/>
              <w:rPr>
                <w:sz w:val="20"/>
              </w:rPr>
            </w:pPr>
            <w:r>
              <w:rPr>
                <w:sz w:val="20"/>
              </w:rPr>
              <w:t>$</w:t>
            </w:r>
          </w:p>
        </w:tc>
        <w:tc>
          <w:tcPr>
            <w:tcW w:w="470" w:type="dxa"/>
            <w:tcBorders>
              <w:bottom w:val="single" w:sz="12" w:space="0" w:color="000000"/>
            </w:tcBorders>
            <w:tcMar>
              <w:bottom w:w="28" w:type="dxa"/>
            </w:tcMar>
            <w:vAlign w:val="bottom"/>
          </w:tcPr>
          <w:p>
            <w:pPr>
              <w:pStyle w:val="TableContents"/>
              <w:bidi w:val="0"/>
              <w:spacing w:before="0" w:after="0"/>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0"/>
              <w:jc w:val="left"/>
              <w:rPr>
                <w:sz w:val="20"/>
              </w:rPr>
            </w:pPr>
            <w:r>
              <w:rPr>
                <w:sz w:val="20"/>
              </w:rPr>
              <w:t>$</w:t>
            </w:r>
          </w:p>
        </w:tc>
        <w:tc>
          <w:tcPr>
            <w:tcW w:w="780" w:type="dxa"/>
            <w:tcBorders>
              <w:bottom w:val="single" w:sz="12" w:space="0" w:color="000000"/>
            </w:tcBorders>
            <w:tcMar>
              <w:bottom w:w="28" w:type="dxa"/>
            </w:tcMar>
            <w:vAlign w:val="bottom"/>
          </w:tcPr>
          <w:p>
            <w:pPr>
              <w:pStyle w:val="TableContents"/>
              <w:bidi w:val="0"/>
              <w:spacing w:before="0" w:after="0"/>
              <w:jc w:val="right"/>
              <w:rPr>
                <w:sz w:val="20"/>
              </w:rPr>
            </w:pPr>
            <w:r>
              <w:rPr>
                <w:sz w:val="20"/>
              </w:rPr>
              <w:t>887,845</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85" w:type="dxa"/>
            <w:tcBorders>
              <w:bottom w:val="single" w:sz="12" w:space="0" w:color="000000"/>
            </w:tcBorders>
            <w:tcMar>
              <w:bottom w:w="28" w:type="dxa"/>
            </w:tcMar>
            <w:vAlign w:val="bottom"/>
          </w:tcPr>
          <w:p>
            <w:pPr>
              <w:pStyle w:val="TableContents"/>
              <w:bidi w:val="0"/>
              <w:spacing w:before="0" w:after="0"/>
              <w:jc w:val="left"/>
              <w:rPr>
                <w:sz w:val="20"/>
              </w:rPr>
            </w:pPr>
            <w:r>
              <w:rPr>
                <w:sz w:val="20"/>
              </w:rPr>
              <w:t>$</w:t>
            </w:r>
          </w:p>
        </w:tc>
        <w:tc>
          <w:tcPr>
            <w:tcW w:w="967" w:type="dxa"/>
            <w:tcBorders>
              <w:bottom w:val="single" w:sz="12" w:space="0" w:color="000000"/>
            </w:tcBorders>
            <w:tcMar>
              <w:bottom w:w="28" w:type="dxa"/>
            </w:tcMar>
            <w:vAlign w:val="bottom"/>
          </w:tcPr>
          <w:p>
            <w:pPr>
              <w:pStyle w:val="TableContents"/>
              <w:bidi w:val="0"/>
              <w:spacing w:before="0" w:after="0"/>
              <w:jc w:val="right"/>
              <w:rPr>
                <w:sz w:val="20"/>
              </w:rPr>
            </w:pPr>
            <w:r>
              <w:rPr>
                <w:sz w:val="20"/>
              </w:rPr>
              <w:t>(83,604</w:t>
            </w:r>
          </w:p>
        </w:tc>
        <w:tc>
          <w:tcPr>
            <w:tcW w:w="80" w:type="dxa"/>
            <w:tcBorders/>
            <w:vAlign w:val="bottom"/>
          </w:tcPr>
          <w:p>
            <w:pPr>
              <w:pStyle w:val="TableContents"/>
              <w:bidi w:val="0"/>
              <w:spacing w:before="0" w:after="0"/>
              <w:jc w:val="left"/>
              <w:rPr>
                <w:sz w:val="20"/>
              </w:rPr>
            </w:pPr>
            <w:r>
              <w:rPr>
                <w:sz w:val="20"/>
              </w:rPr>
              <w:t>)</w:t>
            </w:r>
          </w:p>
        </w:tc>
        <w:tc>
          <w:tcPr>
            <w:tcW w:w="60" w:type="dxa"/>
            <w:tcBorders/>
            <w:vAlign w:val="bottom"/>
          </w:tcPr>
          <w:p>
            <w:pPr>
              <w:pStyle w:val="TableContents"/>
              <w:bidi w:val="0"/>
              <w:spacing w:before="0" w:after="283"/>
              <w:jc w:val="right"/>
              <w:rPr/>
            </w:pPr>
            <w:r>
              <w:rPr/>
              <w:t> </w:t>
            </w:r>
          </w:p>
        </w:tc>
        <w:tc>
          <w:tcPr>
            <w:tcW w:w="245" w:type="dxa"/>
            <w:tcBorders>
              <w:bottom w:val="single" w:sz="12" w:space="0" w:color="000000"/>
            </w:tcBorders>
            <w:tcMar>
              <w:bottom w:w="28" w:type="dxa"/>
            </w:tcMar>
            <w:vAlign w:val="bottom"/>
          </w:tcPr>
          <w:p>
            <w:pPr>
              <w:pStyle w:val="TableContents"/>
              <w:bidi w:val="0"/>
              <w:spacing w:before="0" w:after="0"/>
              <w:jc w:val="left"/>
              <w:rPr>
                <w:sz w:val="20"/>
              </w:rPr>
            </w:pPr>
            <w:r>
              <w:rPr>
                <w:sz w:val="20"/>
              </w:rPr>
              <w:t>$</w:t>
            </w:r>
          </w:p>
        </w:tc>
        <w:tc>
          <w:tcPr>
            <w:tcW w:w="1073" w:type="dxa"/>
            <w:tcBorders>
              <w:bottom w:val="single" w:sz="12" w:space="0" w:color="000000"/>
            </w:tcBorders>
            <w:tcMar>
              <w:bottom w:w="28" w:type="dxa"/>
            </w:tcMar>
            <w:vAlign w:val="bottom"/>
          </w:tcPr>
          <w:p>
            <w:pPr>
              <w:pStyle w:val="TableContents"/>
              <w:bidi w:val="0"/>
              <w:spacing w:before="0" w:after="0"/>
              <w:jc w:val="right"/>
              <w:rPr>
                <w:sz w:val="20"/>
              </w:rPr>
            </w:pPr>
            <w:r>
              <w:rPr>
                <w:sz w:val="20"/>
              </w:rPr>
              <w:t>(2,724</w:t>
            </w:r>
          </w:p>
        </w:tc>
        <w:tc>
          <w:tcPr>
            <w:tcW w:w="80" w:type="dxa"/>
            <w:tcBorders/>
            <w:vAlign w:val="bottom"/>
          </w:tcPr>
          <w:p>
            <w:pPr>
              <w:pStyle w:val="TableContents"/>
              <w:bidi w:val="0"/>
              <w:spacing w:before="0" w:after="0"/>
              <w:jc w:val="left"/>
              <w:rPr>
                <w:sz w:val="20"/>
              </w:rPr>
            </w:pPr>
            <w:r>
              <w:rPr>
                <w:sz w:val="20"/>
              </w:rPr>
              <w:t>)</w:t>
            </w:r>
          </w:p>
        </w:tc>
        <w:tc>
          <w:tcPr>
            <w:tcW w:w="60" w:type="dxa"/>
            <w:tcBorders/>
            <w:vAlign w:val="bottom"/>
          </w:tcPr>
          <w:p>
            <w:pPr>
              <w:pStyle w:val="TableContents"/>
              <w:bidi w:val="0"/>
              <w:spacing w:before="0" w:after="283"/>
              <w:jc w:val="right"/>
              <w:rPr/>
            </w:pPr>
            <w:r>
              <w:rPr/>
              <w:t> </w:t>
            </w:r>
          </w:p>
        </w:tc>
        <w:tc>
          <w:tcPr>
            <w:tcW w:w="177" w:type="dxa"/>
            <w:tcBorders>
              <w:bottom w:val="single" w:sz="12" w:space="0" w:color="000000"/>
            </w:tcBorders>
            <w:tcMar>
              <w:bottom w:w="28" w:type="dxa"/>
            </w:tcMar>
            <w:vAlign w:val="bottom"/>
          </w:tcPr>
          <w:p>
            <w:pPr>
              <w:pStyle w:val="TableContents"/>
              <w:bidi w:val="0"/>
              <w:spacing w:before="0" w:after="0"/>
              <w:jc w:val="left"/>
              <w:rPr>
                <w:sz w:val="20"/>
              </w:rPr>
            </w:pPr>
            <w:r>
              <w:rPr>
                <w:sz w:val="20"/>
              </w:rPr>
              <w:t>$</w:t>
            </w:r>
          </w:p>
        </w:tc>
        <w:tc>
          <w:tcPr>
            <w:tcW w:w="993" w:type="dxa"/>
            <w:tcBorders>
              <w:bottom w:val="single" w:sz="12" w:space="0" w:color="000000"/>
            </w:tcBorders>
            <w:tcMar>
              <w:bottom w:w="28" w:type="dxa"/>
            </w:tcMar>
            <w:vAlign w:val="bottom"/>
          </w:tcPr>
          <w:p>
            <w:pPr>
              <w:pStyle w:val="TableContents"/>
              <w:bidi w:val="0"/>
              <w:spacing w:before="0" w:after="0"/>
              <w:jc w:val="right"/>
              <w:rPr>
                <w:sz w:val="20"/>
              </w:rPr>
            </w:pPr>
            <w:r>
              <w:rPr>
                <w:sz w:val="20"/>
              </w:rPr>
              <w:t>801,517</w:t>
            </w:r>
          </w:p>
        </w:tc>
        <w:tc>
          <w:tcPr>
            <w:tcW w:w="84" w:type="dxa"/>
            <w:tcBorders/>
            <w:vAlign w:val="bottom"/>
          </w:tcPr>
          <w:p>
            <w:pPr>
              <w:pStyle w:val="TableContents"/>
              <w:bidi w:val="0"/>
              <w:spacing w:before="0" w:after="283"/>
              <w:jc w:val="left"/>
              <w:rPr/>
            </w:pPr>
            <w:r>
              <w:rPr/>
              <w:t> </w:t>
            </w:r>
          </w:p>
        </w:tc>
      </w:tr>
    </w:tbl>
    <w:p>
      <w:pPr>
        <w:pStyle w:val="TextBody"/>
        <w:bidi w:val="0"/>
        <w:spacing w:before="0" w:after="0"/>
        <w:jc w:val="both"/>
        <w:rPr/>
      </w:pPr>
      <w:r>
        <w:rPr/>
      </w:r>
    </w:p>
    <w:p>
      <w:pPr>
        <w:pStyle w:val="TextBody"/>
        <w:bidi w:val="0"/>
        <w:spacing w:before="0" w:after="0"/>
        <w:jc w:val="center"/>
        <w:rPr>
          <w:rFonts w:ascii="Times New Roman" w:hAnsi="Times New Roman"/>
          <w:b w:val="false"/>
          <w:color w:val="000000"/>
          <w:sz w:val="20"/>
          <w:shd w:fill="FFFFFF" w:val="clear"/>
        </w:rPr>
      </w:pPr>
      <w:r>
        <w:rPr>
          <w:rFonts w:ascii="Times New Roman" w:hAnsi="Times New Roman"/>
          <w:b w:val="false"/>
          <w:color w:val="000000"/>
          <w:sz w:val="20"/>
          <w:shd w:fill="FFFFFF" w:val="clear"/>
        </w:rPr>
        <w:t>The accompanying notes are an integral part of these unaudited consolidated interim financial statements.</w:t>
      </w:r>
    </w:p>
    <w:p>
      <w:pPr>
        <w:pStyle w:val="TextBody"/>
        <w:bidi w:val="0"/>
        <w:spacing w:before="0" w:after="0"/>
        <w:jc w:val="both"/>
        <w:rPr>
          <w:b w:val="false"/>
        </w:rPr>
      </w:pPr>
      <w:r>
        <w:rPr>
          <w:b w:val="false"/>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7</w:t>
      </w:r>
    </w:p>
    <w:p>
      <w:pPr>
        <w:pStyle w:val="HorizontalLine"/>
        <w:bidi w:val="0"/>
        <w:spacing w:before="200" w:after="200"/>
        <w:jc w:val="both"/>
        <w:rPr/>
      </w:pPr>
      <w:r>
        <w:rPr/>
      </w:r>
    </w:p>
    <w:p>
      <w:pPr>
        <w:pStyle w:val="TextBody"/>
        <w:bidi w:val="0"/>
        <w:spacing w:before="200" w:after="200"/>
        <w:jc w:val="both"/>
        <w:rPr/>
      </w:pPr>
      <w:hyperlink w:anchor="Contents">
        <w:r>
          <w:rPr>
            <w:rStyle w:val="InternetLink"/>
            <w:rFonts w:ascii="Times New Roman" w:hAnsi="Times New Roman"/>
            <w:b w:val="false"/>
            <w:i/>
            <w:color w:val="000000"/>
            <w:sz w:val="16"/>
            <w:shd w:fill="FFFFFF" w:val="clear"/>
          </w:rPr>
          <w:t>Table of Contents</w:t>
        </w:r>
      </w:hyperlink>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 xml:space="preserve">CONSOLIDATED INTERIM STATEMENTS OF SHAREHOLDERS’ EQUITY </w:t>
      </w:r>
    </w:p>
    <w:p>
      <w:pPr>
        <w:pStyle w:val="HorizontalLine"/>
        <w:bidi w:val="0"/>
        <w:jc w:val="left"/>
        <w:rPr/>
      </w:pPr>
      <w:r>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U.S. dollars in thousands, except share and per share data</w:t>
      </w:r>
    </w:p>
    <w:p>
      <w:pPr>
        <w:pStyle w:val="TextBody"/>
        <w:bidi w:val="0"/>
        <w:spacing w:before="0" w:after="0"/>
        <w:jc w:val="left"/>
        <w:rPr>
          <w:b/>
        </w:rPr>
      </w:pPr>
      <w:r>
        <w:rPr>
          <w:b/>
        </w:rPr>
      </w:r>
    </w:p>
    <w:tbl>
      <w:tblPr>
        <w:tblW w:w="11185" w:type="dxa"/>
        <w:jc w:val="left"/>
        <w:tblInd w:w="0" w:type="dxa"/>
        <w:tblLayout w:type="fixed"/>
        <w:tblCellMar>
          <w:top w:w="0" w:type="dxa"/>
          <w:left w:w="0" w:type="dxa"/>
          <w:bottom w:w="0" w:type="dxa"/>
          <w:right w:w="0" w:type="dxa"/>
        </w:tblCellMar>
      </w:tblPr>
      <w:tblGrid>
        <w:gridCol w:w="980"/>
        <w:gridCol w:w="60"/>
        <w:gridCol w:w="60"/>
        <w:gridCol w:w="950"/>
        <w:gridCol w:w="60"/>
        <w:gridCol w:w="60"/>
        <w:gridCol w:w="225"/>
        <w:gridCol w:w="470"/>
        <w:gridCol w:w="60"/>
        <w:gridCol w:w="60"/>
        <w:gridCol w:w="60"/>
        <w:gridCol w:w="1055"/>
        <w:gridCol w:w="80"/>
        <w:gridCol w:w="60"/>
        <w:gridCol w:w="225"/>
        <w:gridCol w:w="470"/>
        <w:gridCol w:w="60"/>
        <w:gridCol w:w="60"/>
        <w:gridCol w:w="158"/>
        <w:gridCol w:w="822"/>
        <w:gridCol w:w="80"/>
        <w:gridCol w:w="60"/>
        <w:gridCol w:w="125"/>
        <w:gridCol w:w="845"/>
        <w:gridCol w:w="80"/>
        <w:gridCol w:w="60"/>
        <w:gridCol w:w="160"/>
        <w:gridCol w:w="970"/>
        <w:gridCol w:w="80"/>
        <w:gridCol w:w="60"/>
        <w:gridCol w:w="311"/>
        <w:gridCol w:w="984"/>
        <w:gridCol w:w="80"/>
        <w:gridCol w:w="60"/>
        <w:gridCol w:w="143"/>
        <w:gridCol w:w="972"/>
        <w:gridCol w:w="80"/>
      </w:tblGrid>
      <w:tr>
        <w:trPr/>
        <w:tc>
          <w:tcPr>
            <w:tcW w:w="9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25" w:type="dxa"/>
            <w:gridSpan w:val="6"/>
            <w:tcBorders>
              <w:bottom w:val="single" w:sz="12" w:space="0" w:color="000000"/>
            </w:tcBorders>
            <w:tcMar>
              <w:bottom w:w="28" w:type="dxa"/>
            </w:tcMar>
            <w:vAlign w:val="bottom"/>
          </w:tcPr>
          <w:p>
            <w:pPr>
              <w:pStyle w:val="TableContents"/>
              <w:bidi w:val="0"/>
              <w:spacing w:before="0" w:after="0"/>
              <w:jc w:val="center"/>
              <w:rPr>
                <w:b/>
                <w:sz w:val="20"/>
              </w:rPr>
            </w:pPr>
            <w:r>
              <w:rPr>
                <w:b/>
                <w:sz w:val="20"/>
              </w:rPr>
              <w:t>Non-voting Ordinary</w:t>
            </w:r>
          </w:p>
          <w:p>
            <w:pPr>
              <w:pStyle w:val="TableContents"/>
              <w:bidi w:val="0"/>
              <w:spacing w:before="0" w:after="0"/>
              <w:jc w:val="center"/>
              <w:rPr>
                <w:b/>
                <w:sz w:val="20"/>
              </w:rPr>
            </w:pPr>
            <w:r>
              <w:rPr>
                <w:b/>
                <w:sz w:val="20"/>
              </w:rPr>
              <w:t xml:space="preserve">shares </w:t>
            </w:r>
          </w:p>
        </w:tc>
        <w:tc>
          <w:tcPr>
            <w:tcW w:w="60" w:type="dxa"/>
            <w:tcBorders>
              <w:bottom w:val="single" w:sz="12" w:space="0" w:color="000000"/>
              <w:right w:val="single" w:sz="2" w:space="0" w:color="000000"/>
            </w:tcBorders>
            <w:tcMar>
              <w:bottom w:w="28" w:type="dxa"/>
              <w:right w:w="28" w:type="dxa"/>
            </w:tcMar>
            <w:vAlign w:val="bottom"/>
          </w:tcPr>
          <w:p>
            <w:pPr>
              <w:pStyle w:val="TableContents"/>
              <w:bidi w:val="0"/>
              <w:spacing w:before="0" w:after="283"/>
              <w:jc w:val="left"/>
              <w:rPr/>
            </w:pPr>
            <w:r>
              <w:rPr/>
              <w:t> </w:t>
            </w:r>
          </w:p>
        </w:tc>
        <w:tc>
          <w:tcPr>
            <w:tcW w:w="60" w:type="dxa"/>
            <w:tcBorders>
              <w:left w:val="single" w:sz="2" w:space="0" w:color="000000"/>
              <w:bottom w:val="single" w:sz="12" w:space="0" w:color="000000"/>
            </w:tcBorders>
            <w:tcMar>
              <w:left w:w="28" w:type="dxa"/>
              <w:bottom w:w="28" w:type="dxa"/>
            </w:tcMar>
            <w:vAlign w:val="bottom"/>
          </w:tcPr>
          <w:p>
            <w:pPr>
              <w:pStyle w:val="TableContents"/>
              <w:bidi w:val="0"/>
              <w:spacing w:before="0" w:after="283"/>
              <w:jc w:val="left"/>
              <w:rPr/>
            </w:pPr>
            <w:r>
              <w:rPr/>
              <w:t> </w:t>
            </w:r>
          </w:p>
        </w:tc>
        <w:tc>
          <w:tcPr>
            <w:tcW w:w="1950" w:type="dxa"/>
            <w:gridSpan w:val="6"/>
            <w:tcBorders>
              <w:bottom w:val="single" w:sz="12" w:space="0" w:color="000000"/>
            </w:tcBorders>
            <w:tcMar>
              <w:bottom w:w="28" w:type="dxa"/>
            </w:tcMar>
            <w:vAlign w:val="bottom"/>
          </w:tcPr>
          <w:p>
            <w:pPr>
              <w:pStyle w:val="TableContents"/>
              <w:bidi w:val="0"/>
              <w:spacing w:before="0" w:after="0"/>
              <w:jc w:val="center"/>
              <w:rPr>
                <w:b/>
                <w:sz w:val="20"/>
              </w:rPr>
            </w:pPr>
            <w:r>
              <w:rPr>
                <w:b/>
                <w:sz w:val="20"/>
              </w:rPr>
              <w:t>Ordinary shares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gridSpan w:val="2"/>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70" w:type="dxa"/>
            <w:gridSpan w:val="2"/>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30" w:type="dxa"/>
            <w:gridSpan w:val="2"/>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95" w:type="dxa"/>
            <w:gridSpan w:val="2"/>
            <w:tcBorders/>
            <w:vAlign w:val="bottom"/>
          </w:tcPr>
          <w:p>
            <w:pPr>
              <w:pStyle w:val="TableContents"/>
              <w:bidi w:val="0"/>
              <w:spacing w:before="0" w:after="283"/>
              <w:jc w:val="center"/>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5" w:type="dxa"/>
            <w:gridSpan w:val="2"/>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r>
      <w:tr>
        <w:trPr/>
        <w:tc>
          <w:tcPr>
            <w:tcW w:w="9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10" w:type="dxa"/>
            <w:gridSpan w:val="2"/>
            <w:tcBorders>
              <w:bottom w:val="single" w:sz="12" w:space="0" w:color="000000"/>
            </w:tcBorders>
            <w:tcMar>
              <w:bottom w:w="28" w:type="dxa"/>
            </w:tcMar>
            <w:vAlign w:val="bottom"/>
          </w:tcPr>
          <w:p>
            <w:pPr>
              <w:pStyle w:val="TableContents"/>
              <w:bidi w:val="0"/>
              <w:spacing w:before="0" w:after="0"/>
              <w:jc w:val="center"/>
              <w:rPr>
                <w:b/>
                <w:sz w:val="20"/>
              </w:rPr>
            </w:pPr>
            <w:r>
              <w:rPr>
                <w:b/>
                <w:sz w:val="20"/>
              </w:rPr>
              <w:t>Number</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95" w:type="dxa"/>
            <w:gridSpan w:val="2"/>
            <w:tcBorders>
              <w:bottom w:val="single" w:sz="12" w:space="0" w:color="000000"/>
            </w:tcBorders>
            <w:tcMar>
              <w:bottom w:w="28" w:type="dxa"/>
            </w:tcMar>
            <w:vAlign w:val="bottom"/>
          </w:tcPr>
          <w:p>
            <w:pPr>
              <w:pStyle w:val="TableContents"/>
              <w:bidi w:val="0"/>
              <w:spacing w:before="0" w:after="0"/>
              <w:jc w:val="center"/>
              <w:rPr>
                <w:b/>
                <w:sz w:val="20"/>
              </w:rPr>
            </w:pPr>
            <w:r>
              <w:rPr>
                <w:b/>
                <w:sz w:val="20"/>
              </w:rPr>
              <w:t>Amount</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15" w:type="dxa"/>
            <w:gridSpan w:val="2"/>
            <w:tcBorders>
              <w:bottom w:val="single" w:sz="12" w:space="0" w:color="000000"/>
            </w:tcBorders>
            <w:tcMar>
              <w:bottom w:w="28" w:type="dxa"/>
            </w:tcMar>
            <w:vAlign w:val="bottom"/>
          </w:tcPr>
          <w:p>
            <w:pPr>
              <w:pStyle w:val="TableContents"/>
              <w:bidi w:val="0"/>
              <w:spacing w:before="0" w:after="0"/>
              <w:jc w:val="center"/>
              <w:rPr>
                <w:b/>
                <w:sz w:val="20"/>
              </w:rPr>
            </w:pPr>
            <w:r>
              <w:rPr>
                <w:b/>
                <w:sz w:val="20"/>
              </w:rPr>
              <w:t>Number</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95" w:type="dxa"/>
            <w:gridSpan w:val="2"/>
            <w:tcBorders>
              <w:bottom w:val="single" w:sz="12" w:space="0" w:color="000000"/>
            </w:tcBorders>
            <w:tcMar>
              <w:bottom w:w="28" w:type="dxa"/>
            </w:tcMar>
            <w:vAlign w:val="bottom"/>
          </w:tcPr>
          <w:p>
            <w:pPr>
              <w:pStyle w:val="TableContents"/>
              <w:bidi w:val="0"/>
              <w:spacing w:before="0" w:after="0"/>
              <w:jc w:val="center"/>
              <w:rPr>
                <w:b/>
                <w:sz w:val="20"/>
              </w:rPr>
            </w:pPr>
            <w:r>
              <w:rPr>
                <w:b/>
                <w:sz w:val="20"/>
              </w:rPr>
              <w:t>Amount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gridSpan w:val="2"/>
            <w:tcBorders>
              <w:bottom w:val="single" w:sz="12" w:space="0" w:color="000000"/>
            </w:tcBorders>
            <w:tcMar>
              <w:bottom w:w="28" w:type="dxa"/>
            </w:tcMar>
            <w:vAlign w:val="bottom"/>
          </w:tcPr>
          <w:p>
            <w:pPr>
              <w:pStyle w:val="TableContents"/>
              <w:bidi w:val="0"/>
              <w:spacing w:before="0" w:after="0"/>
              <w:jc w:val="center"/>
              <w:rPr>
                <w:b/>
              </w:rPr>
            </w:pPr>
            <w:r>
              <w:rPr>
                <w:b/>
              </w:rPr>
              <w:t>Treasury</w:t>
            </w:r>
          </w:p>
          <w:p>
            <w:pPr>
              <w:pStyle w:val="TableContents"/>
              <w:bidi w:val="0"/>
              <w:spacing w:before="0" w:after="0"/>
              <w:jc w:val="center"/>
              <w:rPr>
                <w:b/>
              </w:rPr>
            </w:pPr>
            <w:r>
              <w:rPr>
                <w:b/>
              </w:rPr>
              <w:t xml:space="preserve">Ordinary </w:t>
            </w:r>
          </w:p>
          <w:p>
            <w:pPr>
              <w:pStyle w:val="TableContents"/>
              <w:bidi w:val="0"/>
              <w:spacing w:before="0" w:after="0"/>
              <w:jc w:val="center"/>
              <w:rPr>
                <w:b/>
              </w:rPr>
            </w:pPr>
            <w:r>
              <w:rPr>
                <w:b/>
              </w:rPr>
              <w:t>shares</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70" w:type="dxa"/>
            <w:gridSpan w:val="2"/>
            <w:tcBorders>
              <w:bottom w:val="single" w:sz="12" w:space="0" w:color="000000"/>
            </w:tcBorders>
            <w:tcMar>
              <w:bottom w:w="28" w:type="dxa"/>
            </w:tcMar>
            <w:vAlign w:val="bottom"/>
          </w:tcPr>
          <w:p>
            <w:pPr>
              <w:pStyle w:val="TableContents"/>
              <w:bidi w:val="0"/>
              <w:spacing w:before="0" w:after="0"/>
              <w:jc w:val="center"/>
              <w:rPr>
                <w:b/>
                <w:sz w:val="20"/>
              </w:rPr>
            </w:pPr>
            <w:r>
              <w:rPr>
                <w:b/>
                <w:sz w:val="20"/>
              </w:rPr>
              <w:t>Additional</w:t>
            </w:r>
          </w:p>
          <w:p>
            <w:pPr>
              <w:pStyle w:val="TableContents"/>
              <w:bidi w:val="0"/>
              <w:spacing w:before="0" w:after="0"/>
              <w:jc w:val="center"/>
              <w:rPr>
                <w:b/>
                <w:sz w:val="20"/>
              </w:rPr>
            </w:pPr>
            <w:r>
              <w:rPr>
                <w:b/>
                <w:sz w:val="20"/>
              </w:rPr>
              <w:t>paid-in</w:t>
            </w:r>
          </w:p>
          <w:p>
            <w:pPr>
              <w:pStyle w:val="TableContents"/>
              <w:bidi w:val="0"/>
              <w:spacing w:before="0" w:after="0"/>
              <w:jc w:val="center"/>
              <w:rPr>
                <w:b/>
                <w:sz w:val="20"/>
              </w:rPr>
            </w:pPr>
            <w:r>
              <w:rPr>
                <w:b/>
                <w:sz w:val="20"/>
              </w:rPr>
              <w:t>capital</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30" w:type="dxa"/>
            <w:gridSpan w:val="2"/>
            <w:tcBorders>
              <w:bottom w:val="single" w:sz="12" w:space="0" w:color="000000"/>
            </w:tcBorders>
            <w:tcMar>
              <w:bottom w:w="28" w:type="dxa"/>
            </w:tcMar>
            <w:vAlign w:val="bottom"/>
          </w:tcPr>
          <w:p>
            <w:pPr>
              <w:pStyle w:val="TableContents"/>
              <w:bidi w:val="0"/>
              <w:spacing w:before="0" w:after="0"/>
              <w:jc w:val="center"/>
              <w:rPr>
                <w:b/>
                <w:sz w:val="20"/>
              </w:rPr>
            </w:pPr>
            <w:r>
              <w:rPr>
                <w:b/>
                <w:sz w:val="20"/>
              </w:rPr>
              <w:t>Accumulated</w:t>
            </w:r>
          </w:p>
          <w:p>
            <w:pPr>
              <w:pStyle w:val="TableContents"/>
              <w:bidi w:val="0"/>
              <w:spacing w:before="0" w:after="0"/>
              <w:jc w:val="center"/>
              <w:rPr>
                <w:b/>
                <w:sz w:val="20"/>
              </w:rPr>
            </w:pPr>
            <w:r>
              <w:rPr>
                <w:b/>
                <w:sz w:val="20"/>
              </w:rPr>
              <w:t>deficit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95" w:type="dxa"/>
            <w:gridSpan w:val="2"/>
            <w:tcBorders>
              <w:bottom w:val="single" w:sz="12" w:space="0" w:color="000000"/>
            </w:tcBorders>
            <w:tcMar>
              <w:bottom w:w="28" w:type="dxa"/>
            </w:tcMar>
            <w:vAlign w:val="bottom"/>
          </w:tcPr>
          <w:p>
            <w:pPr>
              <w:pStyle w:val="TableContents"/>
              <w:bidi w:val="0"/>
              <w:spacing w:before="0" w:after="0"/>
              <w:jc w:val="center"/>
              <w:rPr>
                <w:b/>
                <w:sz w:val="20"/>
              </w:rPr>
            </w:pPr>
            <w:r>
              <w:rPr>
                <w:b/>
                <w:sz w:val="20"/>
              </w:rPr>
              <w:t>Accumulated</w:t>
            </w:r>
          </w:p>
          <w:p>
            <w:pPr>
              <w:pStyle w:val="TableContents"/>
              <w:bidi w:val="0"/>
              <w:spacing w:before="0" w:after="0"/>
              <w:jc w:val="center"/>
              <w:rPr>
                <w:b/>
                <w:sz w:val="20"/>
              </w:rPr>
            </w:pPr>
            <w:r>
              <w:rPr>
                <w:b/>
                <w:sz w:val="20"/>
              </w:rPr>
              <w:t>other</w:t>
            </w:r>
          </w:p>
          <w:p>
            <w:pPr>
              <w:pStyle w:val="TableContents"/>
              <w:bidi w:val="0"/>
              <w:spacing w:before="0" w:after="0"/>
              <w:jc w:val="center"/>
              <w:rPr>
                <w:b/>
                <w:sz w:val="20"/>
              </w:rPr>
            </w:pPr>
            <w:r>
              <w:rPr>
                <w:b/>
                <w:sz w:val="20"/>
              </w:rPr>
              <w:t>comprehensive</w:t>
            </w:r>
          </w:p>
          <w:p>
            <w:pPr>
              <w:pStyle w:val="TableContents"/>
              <w:bidi w:val="0"/>
              <w:spacing w:before="0" w:after="0"/>
              <w:jc w:val="center"/>
              <w:rPr>
                <w:b/>
                <w:sz w:val="20"/>
              </w:rPr>
            </w:pPr>
            <w:r>
              <w:rPr>
                <w:b/>
                <w:sz w:val="20"/>
              </w:rPr>
              <w:t>loss</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5" w:type="dxa"/>
            <w:gridSpan w:val="2"/>
            <w:tcBorders>
              <w:bottom w:val="single" w:sz="12" w:space="0" w:color="000000"/>
            </w:tcBorders>
            <w:tcMar>
              <w:bottom w:w="28" w:type="dxa"/>
            </w:tcMar>
            <w:vAlign w:val="bottom"/>
          </w:tcPr>
          <w:p>
            <w:pPr>
              <w:pStyle w:val="TableContents"/>
              <w:bidi w:val="0"/>
              <w:spacing w:before="0" w:after="0"/>
              <w:jc w:val="center"/>
              <w:rPr>
                <w:b/>
                <w:sz w:val="20"/>
              </w:rPr>
            </w:pPr>
            <w:r>
              <w:rPr>
                <w:b/>
                <w:sz w:val="20"/>
              </w:rPr>
              <w:t>Total</w:t>
            </w:r>
          </w:p>
          <w:p>
            <w:pPr>
              <w:pStyle w:val="TableContents"/>
              <w:bidi w:val="0"/>
              <w:spacing w:before="0" w:after="0"/>
              <w:jc w:val="center"/>
              <w:rPr>
                <w:b/>
                <w:sz w:val="20"/>
              </w:rPr>
            </w:pPr>
            <w:r>
              <w:rPr>
                <w:b/>
                <w:sz w:val="20"/>
              </w:rPr>
              <w:t>shareholders’</w:t>
            </w:r>
          </w:p>
          <w:p>
            <w:pPr>
              <w:pStyle w:val="TableContents"/>
              <w:bidi w:val="0"/>
              <w:spacing w:before="0" w:after="0"/>
              <w:jc w:val="center"/>
              <w:rPr>
                <w:b/>
                <w:sz w:val="20"/>
              </w:rPr>
            </w:pPr>
            <w:r>
              <w:rPr>
                <w:b/>
                <w:sz w:val="20"/>
              </w:rPr>
              <w:t>equity</w:t>
            </w:r>
          </w:p>
        </w:tc>
        <w:tc>
          <w:tcPr>
            <w:tcW w:w="80" w:type="dxa"/>
            <w:tcBorders/>
            <w:vAlign w:val="bottom"/>
          </w:tcPr>
          <w:p>
            <w:pPr>
              <w:pStyle w:val="TableContents"/>
              <w:bidi w:val="0"/>
              <w:spacing w:before="0" w:after="283"/>
              <w:jc w:val="left"/>
              <w:rPr/>
            </w:pPr>
            <w:r>
              <w:rPr/>
              <w:t> </w:t>
            </w:r>
          </w:p>
        </w:tc>
      </w:tr>
      <w:tr>
        <w:trPr/>
        <w:tc>
          <w:tcPr>
            <w:tcW w:w="9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1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95" w:type="dxa"/>
            <w:gridSpan w:val="2"/>
            <w:tcBorders/>
            <w:vAlign w:val="bottom"/>
          </w:tcPr>
          <w:p>
            <w:pPr>
              <w:pStyle w:val="TableContents"/>
              <w:bidi w:val="0"/>
              <w:spacing w:before="0" w:after="283"/>
              <w:jc w:val="left"/>
              <w:rPr/>
            </w:pPr>
            <w:r>
              <w:rPr/>
              <w:t> </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15" w:type="dxa"/>
            <w:gridSpan w:val="2"/>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95"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gridSpan w:val="2"/>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70" w:type="dxa"/>
            <w:gridSpan w:val="2"/>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30" w:type="dxa"/>
            <w:gridSpan w:val="2"/>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95" w:type="dxa"/>
            <w:gridSpan w:val="2"/>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5" w:type="dxa"/>
            <w:gridSpan w:val="2"/>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r>
      <w:tr>
        <w:trPr/>
        <w:tc>
          <w:tcPr>
            <w:tcW w:w="980" w:type="dxa"/>
            <w:tcBorders/>
            <w:shd w:fill="CCEEFF" w:val="clear"/>
            <w:vAlign w:val="bottom"/>
          </w:tcPr>
          <w:p>
            <w:pPr>
              <w:pStyle w:val="TableContents"/>
              <w:bidi w:val="0"/>
              <w:spacing w:before="0" w:after="0"/>
              <w:ind w:left="180" w:right="0" w:hanging="0"/>
              <w:jc w:val="left"/>
              <w:rPr>
                <w:sz w:val="20"/>
              </w:rPr>
            </w:pPr>
            <w:r>
              <w:rPr>
                <w:sz w:val="20"/>
              </w:rPr>
              <w:t>Balance as of January 1, 2023</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0"/>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25" w:type="dxa"/>
            <w:tcBorders/>
            <w:shd w:fill="CCEEFF" w:val="clear"/>
            <w:vAlign w:val="bottom"/>
          </w:tcPr>
          <w:p>
            <w:pPr>
              <w:pStyle w:val="TableContents"/>
              <w:bidi w:val="0"/>
              <w:spacing w:before="0" w:after="0"/>
              <w:jc w:val="left"/>
              <w:rPr>
                <w:sz w:val="20"/>
              </w:rPr>
            </w:pPr>
            <w:r>
              <w:rPr>
                <w:sz w:val="20"/>
              </w:rPr>
              <w:t>$</w:t>
            </w:r>
          </w:p>
        </w:tc>
        <w:tc>
          <w:tcPr>
            <w:tcW w:w="470" w:type="dxa"/>
            <w:tcBorders/>
            <w:shd w:fill="CCEEFF" w:val="clear"/>
            <w:vAlign w:val="bottom"/>
          </w:tcPr>
          <w:p>
            <w:pPr>
              <w:pStyle w:val="TableContents"/>
              <w:bidi w:val="0"/>
              <w:spacing w:before="0" w:after="0"/>
              <w:jc w:val="right"/>
              <w:rPr/>
            </w:pPr>
            <w:r>
              <w:rPr/>
              <w:t>—</w:t>
            </w:r>
          </w:p>
        </w:tc>
        <w:tc>
          <w:tcPr>
            <w:tcW w:w="60"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60" w:type="dxa"/>
            <w:tcBorders>
              <w:left w:val="single" w:sz="2" w:space="0" w:color="000000"/>
            </w:tcBorders>
            <w:shd w:fill="CCEEFF" w:val="clear"/>
            <w:tcMar>
              <w:left w:w="28" w:type="dxa"/>
            </w:tcM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055" w:type="dxa"/>
            <w:tcBorders/>
            <w:shd w:fill="CCEEFF" w:val="clear"/>
            <w:vAlign w:val="bottom"/>
          </w:tcPr>
          <w:p>
            <w:pPr>
              <w:pStyle w:val="TableContents"/>
              <w:bidi w:val="0"/>
              <w:spacing w:before="0" w:after="0"/>
              <w:jc w:val="right"/>
              <w:rPr>
                <w:sz w:val="20"/>
              </w:rPr>
            </w:pPr>
            <w:r>
              <w:rPr>
                <w:sz w:val="20"/>
              </w:rPr>
              <w:t>254,133,863</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25" w:type="dxa"/>
            <w:tcBorders/>
            <w:shd w:fill="CCEEFF" w:val="clear"/>
            <w:vAlign w:val="bottom"/>
          </w:tcPr>
          <w:p>
            <w:pPr>
              <w:pStyle w:val="TableContents"/>
              <w:bidi w:val="0"/>
              <w:spacing w:before="0" w:after="0"/>
              <w:jc w:val="left"/>
              <w:rPr>
                <w:sz w:val="20"/>
              </w:rPr>
            </w:pPr>
            <w:r>
              <w:rPr>
                <w:sz w:val="20"/>
              </w:rPr>
              <w:t>$</w:t>
            </w:r>
          </w:p>
        </w:tc>
        <w:tc>
          <w:tcPr>
            <w:tcW w:w="470" w:type="dxa"/>
            <w:tcBorders/>
            <w:shd w:fill="CCEEFF" w:val="clear"/>
            <w:vAlign w:val="bottom"/>
          </w:tcPr>
          <w:p>
            <w:pPr>
              <w:pStyle w:val="TableContents"/>
              <w:bidi w:val="0"/>
              <w:spacing w:before="0" w:after="0"/>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8" w:type="dxa"/>
            <w:tcBorders/>
            <w:shd w:fill="CCEEFF" w:val="clear"/>
            <w:vAlign w:val="bottom"/>
          </w:tcPr>
          <w:p>
            <w:pPr>
              <w:pStyle w:val="TableContents"/>
              <w:bidi w:val="0"/>
              <w:spacing w:before="0" w:after="283"/>
              <w:jc w:val="left"/>
              <w:rPr>
                <w:sz w:val="20"/>
              </w:rPr>
            </w:pPr>
            <w:r>
              <w:rPr>
                <w:sz w:val="20"/>
              </w:rPr>
              <w:t>$</w:t>
            </w:r>
          </w:p>
        </w:tc>
        <w:tc>
          <w:tcPr>
            <w:tcW w:w="822" w:type="dxa"/>
            <w:tcBorders/>
            <w:shd w:fill="CCEEFF" w:val="clear"/>
            <w:vAlign w:val="bottom"/>
          </w:tcPr>
          <w:p>
            <w:pPr>
              <w:pStyle w:val="TableContents"/>
              <w:bidi w:val="0"/>
              <w:spacing w:before="0" w:after="283"/>
              <w:jc w:val="right"/>
              <w:rPr/>
            </w:pPr>
            <w:r>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sz w:val="20"/>
              </w:rPr>
            </w:pPr>
            <w:r>
              <w:rPr>
                <w:sz w:val="20"/>
              </w:rPr>
              <w:t>$</w:t>
            </w:r>
          </w:p>
        </w:tc>
        <w:tc>
          <w:tcPr>
            <w:tcW w:w="845" w:type="dxa"/>
            <w:tcBorders/>
            <w:shd w:fill="CCEEFF" w:val="clear"/>
            <w:vAlign w:val="bottom"/>
          </w:tcPr>
          <w:p>
            <w:pPr>
              <w:pStyle w:val="TableContents"/>
              <w:bidi w:val="0"/>
              <w:spacing w:before="0" w:after="0"/>
              <w:jc w:val="right"/>
              <w:rPr>
                <w:sz w:val="20"/>
              </w:rPr>
            </w:pPr>
            <w:r>
              <w:rPr>
                <w:sz w:val="20"/>
              </w:rPr>
              <w:t>903,789</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0" w:type="dxa"/>
            <w:tcBorders/>
            <w:shd w:fill="CCEEFF" w:val="clear"/>
            <w:vAlign w:val="bottom"/>
          </w:tcPr>
          <w:p>
            <w:pPr>
              <w:pStyle w:val="TableContents"/>
              <w:bidi w:val="0"/>
              <w:spacing w:before="0" w:after="0"/>
              <w:jc w:val="left"/>
              <w:rPr>
                <w:sz w:val="20"/>
              </w:rPr>
            </w:pPr>
            <w:r>
              <w:rPr>
                <w:sz w:val="20"/>
              </w:rPr>
              <w:t>$</w:t>
            </w:r>
          </w:p>
        </w:tc>
        <w:tc>
          <w:tcPr>
            <w:tcW w:w="970" w:type="dxa"/>
            <w:tcBorders/>
            <w:shd w:fill="CCEEFF" w:val="clear"/>
            <w:vAlign w:val="bottom"/>
          </w:tcPr>
          <w:p>
            <w:pPr>
              <w:pStyle w:val="TableContents"/>
              <w:bidi w:val="0"/>
              <w:spacing w:before="0" w:after="0"/>
              <w:jc w:val="right"/>
              <w:rPr>
                <w:sz w:val="20"/>
              </w:rPr>
            </w:pPr>
            <w:r>
              <w:rPr>
                <w:sz w:val="20"/>
              </w:rPr>
              <w:t>(68,420</w:t>
            </w:r>
          </w:p>
        </w:tc>
        <w:tc>
          <w:tcPr>
            <w:tcW w:w="80" w:type="dxa"/>
            <w:tcBorders/>
            <w:shd w:fill="CCEEFF" w:val="clear"/>
            <w:vAlign w:val="bottom"/>
          </w:tcPr>
          <w:p>
            <w:pPr>
              <w:pStyle w:val="TableContents"/>
              <w:bidi w:val="0"/>
              <w:spacing w:before="0" w:after="0"/>
              <w:jc w:val="left"/>
              <w:rPr>
                <w:sz w:val="20"/>
              </w:rPr>
            </w:pPr>
            <w:r>
              <w:rPr>
                <w:sz w:val="20"/>
              </w:rPr>
              <w:t>)</w:t>
            </w:r>
          </w:p>
        </w:tc>
        <w:tc>
          <w:tcPr>
            <w:tcW w:w="60" w:type="dxa"/>
            <w:tcBorders/>
            <w:shd w:fill="CCEEFF" w:val="clear"/>
            <w:vAlign w:val="bottom"/>
          </w:tcPr>
          <w:p>
            <w:pPr>
              <w:pStyle w:val="TableContents"/>
              <w:bidi w:val="0"/>
              <w:spacing w:before="0" w:after="283"/>
              <w:jc w:val="right"/>
              <w:rPr/>
            </w:pPr>
            <w:r>
              <w:rPr/>
              <w:t> </w:t>
            </w:r>
          </w:p>
        </w:tc>
        <w:tc>
          <w:tcPr>
            <w:tcW w:w="311" w:type="dxa"/>
            <w:tcBorders/>
            <w:shd w:fill="CCEEFF" w:val="clear"/>
            <w:vAlign w:val="bottom"/>
          </w:tcPr>
          <w:p>
            <w:pPr>
              <w:pStyle w:val="TableContents"/>
              <w:bidi w:val="0"/>
              <w:spacing w:before="0" w:after="0"/>
              <w:jc w:val="left"/>
              <w:rPr>
                <w:sz w:val="20"/>
              </w:rPr>
            </w:pPr>
            <w:r>
              <w:rPr>
                <w:sz w:val="20"/>
              </w:rPr>
              <w:t>$</w:t>
            </w:r>
          </w:p>
        </w:tc>
        <w:tc>
          <w:tcPr>
            <w:tcW w:w="984" w:type="dxa"/>
            <w:tcBorders/>
            <w:shd w:fill="CCEEFF" w:val="clear"/>
            <w:vAlign w:val="bottom"/>
          </w:tcPr>
          <w:p>
            <w:pPr>
              <w:pStyle w:val="TableContents"/>
              <w:bidi w:val="0"/>
              <w:spacing w:before="0" w:after="0"/>
              <w:jc w:val="right"/>
              <w:rPr>
                <w:sz w:val="20"/>
              </w:rPr>
            </w:pPr>
            <w:r>
              <w:rPr>
                <w:sz w:val="20"/>
              </w:rPr>
              <w:t>(834</w:t>
            </w:r>
          </w:p>
        </w:tc>
        <w:tc>
          <w:tcPr>
            <w:tcW w:w="80" w:type="dxa"/>
            <w:tcBorders/>
            <w:shd w:fill="CCEEFF" w:val="clear"/>
            <w:vAlign w:val="bottom"/>
          </w:tcPr>
          <w:p>
            <w:pPr>
              <w:pStyle w:val="TableContents"/>
              <w:bidi w:val="0"/>
              <w:spacing w:before="0" w:after="0"/>
              <w:jc w:val="left"/>
              <w:rPr>
                <w:sz w:val="20"/>
              </w:rPr>
            </w:pPr>
            <w:r>
              <w:rPr>
                <w:sz w:val="20"/>
              </w:rPr>
              <w:t>)</w:t>
            </w:r>
          </w:p>
        </w:tc>
        <w:tc>
          <w:tcPr>
            <w:tcW w:w="60" w:type="dxa"/>
            <w:tcBorders/>
            <w:shd w:fill="CCEEFF" w:val="clear"/>
            <w:vAlign w:val="bottom"/>
          </w:tcPr>
          <w:p>
            <w:pPr>
              <w:pStyle w:val="TableContents"/>
              <w:bidi w:val="0"/>
              <w:spacing w:before="0" w:after="283"/>
              <w:jc w:val="right"/>
              <w:rPr/>
            </w:pPr>
            <w:r>
              <w:rPr/>
              <w:t> </w:t>
            </w:r>
          </w:p>
        </w:tc>
        <w:tc>
          <w:tcPr>
            <w:tcW w:w="143" w:type="dxa"/>
            <w:tcBorders/>
            <w:shd w:fill="CCEEFF" w:val="clear"/>
            <w:vAlign w:val="bottom"/>
          </w:tcPr>
          <w:p>
            <w:pPr>
              <w:pStyle w:val="TableContents"/>
              <w:bidi w:val="0"/>
              <w:spacing w:before="0" w:after="0"/>
              <w:jc w:val="left"/>
              <w:rPr>
                <w:sz w:val="20"/>
              </w:rPr>
            </w:pPr>
            <w:r>
              <w:rPr>
                <w:sz w:val="20"/>
              </w:rPr>
              <w:t>$</w:t>
            </w:r>
          </w:p>
        </w:tc>
        <w:tc>
          <w:tcPr>
            <w:tcW w:w="972" w:type="dxa"/>
            <w:tcBorders/>
            <w:shd w:fill="CCEEFF" w:val="clear"/>
            <w:vAlign w:val="bottom"/>
          </w:tcPr>
          <w:p>
            <w:pPr>
              <w:pStyle w:val="TableContents"/>
              <w:bidi w:val="0"/>
              <w:spacing w:before="0" w:after="0"/>
              <w:jc w:val="right"/>
              <w:rPr>
                <w:sz w:val="20"/>
              </w:rPr>
            </w:pPr>
            <w:r>
              <w:rPr>
                <w:sz w:val="20"/>
              </w:rPr>
              <w:t>834,535</w:t>
            </w:r>
          </w:p>
        </w:tc>
        <w:tc>
          <w:tcPr>
            <w:tcW w:w="80" w:type="dxa"/>
            <w:tcBorders/>
            <w:shd w:fill="CCEEFF" w:val="clear"/>
            <w:vAlign w:val="bottom"/>
          </w:tcPr>
          <w:p>
            <w:pPr>
              <w:pStyle w:val="TableContents"/>
              <w:bidi w:val="0"/>
              <w:spacing w:before="0" w:after="283"/>
              <w:jc w:val="left"/>
              <w:rPr/>
            </w:pPr>
            <w:r>
              <w:rPr/>
              <w:t> </w:t>
            </w:r>
          </w:p>
        </w:tc>
      </w:tr>
      <w:tr>
        <w:trPr/>
        <w:tc>
          <w:tcPr>
            <w:tcW w:w="980" w:type="dxa"/>
            <w:tcBorders/>
            <w:vAlign w:val="bottom"/>
          </w:tcPr>
          <w:p>
            <w:pPr>
              <w:pStyle w:val="TableContents"/>
              <w:bidi w:val="0"/>
              <w:spacing w:before="0" w:after="0"/>
              <w:ind w:left="360" w:right="0" w:hanging="360"/>
              <w:jc w:val="left"/>
              <w:rPr>
                <w:sz w:val="20"/>
              </w:rPr>
            </w:pPr>
            <w:r>
              <w:rPr>
                <w:sz w:val="20"/>
              </w:rPr>
              <w:t>Share-based compensation expenses</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25" w:type="dxa"/>
            <w:tcBorders/>
            <w:vAlign w:val="bottom"/>
          </w:tcPr>
          <w:p>
            <w:pPr>
              <w:pStyle w:val="TableContents"/>
              <w:bidi w:val="0"/>
              <w:spacing w:before="0" w:after="283"/>
              <w:jc w:val="left"/>
              <w:rPr/>
            </w:pPr>
            <w:r>
              <w:rPr/>
              <w:t> </w:t>
            </w:r>
          </w:p>
        </w:tc>
        <w:tc>
          <w:tcPr>
            <w:tcW w:w="470" w:type="dxa"/>
            <w:tcBorders/>
            <w:vAlign w:val="bottom"/>
          </w:tcPr>
          <w:p>
            <w:pPr>
              <w:pStyle w:val="TableContents"/>
              <w:bidi w:val="0"/>
              <w:spacing w:before="0" w:after="0"/>
              <w:jc w:val="right"/>
              <w:rPr/>
            </w:pPr>
            <w:r>
              <w:rPr/>
              <w:t>—</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left w:val="single" w:sz="2" w:space="0" w:color="000000"/>
            </w:tcBorders>
            <w:tcMar>
              <w:left w:w="28" w:type="dxa"/>
            </w:tcMar>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055" w:type="dxa"/>
            <w:tcBorders/>
            <w:vAlign w:val="bottom"/>
          </w:tcPr>
          <w:p>
            <w:pPr>
              <w:pStyle w:val="TableContents"/>
              <w:bidi w:val="0"/>
              <w:spacing w:before="0" w:after="0"/>
              <w:jc w:val="right"/>
              <w:rPr/>
            </w:pPr>
            <w:r>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25" w:type="dxa"/>
            <w:tcBorders/>
            <w:vAlign w:val="bottom"/>
          </w:tcPr>
          <w:p>
            <w:pPr>
              <w:pStyle w:val="TableContents"/>
              <w:bidi w:val="0"/>
              <w:spacing w:before="0" w:after="283"/>
              <w:jc w:val="left"/>
              <w:rPr/>
            </w:pPr>
            <w:r>
              <w:rPr/>
              <w:t> </w:t>
            </w:r>
          </w:p>
        </w:tc>
        <w:tc>
          <w:tcPr>
            <w:tcW w:w="470" w:type="dxa"/>
            <w:tcBorders/>
            <w:vAlign w:val="bottom"/>
          </w:tcPr>
          <w:p>
            <w:pPr>
              <w:pStyle w:val="TableContents"/>
              <w:bidi w:val="0"/>
              <w:spacing w:before="0" w:after="0"/>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58" w:type="dxa"/>
            <w:tcBorders/>
            <w:vAlign w:val="bottom"/>
          </w:tcPr>
          <w:p>
            <w:pPr>
              <w:pStyle w:val="TableContents"/>
              <w:bidi w:val="0"/>
              <w:spacing w:before="0" w:after="283"/>
              <w:jc w:val="left"/>
              <w:rPr/>
            </w:pPr>
            <w:r>
              <w:rPr/>
              <w:t> </w:t>
            </w:r>
          </w:p>
        </w:tc>
        <w:tc>
          <w:tcPr>
            <w:tcW w:w="822" w:type="dxa"/>
            <w:tcBorders/>
            <w:vAlign w:val="bottom"/>
          </w:tcPr>
          <w:p>
            <w:pPr>
              <w:pStyle w:val="TableContents"/>
              <w:bidi w:val="0"/>
              <w:spacing w:before="0" w:after="283"/>
              <w:jc w:val="right"/>
              <w:rPr/>
            </w:pPr>
            <w:r>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sz w:val="20"/>
              </w:rPr>
            </w:pPr>
            <w:r>
              <w:rPr>
                <w:sz w:val="20"/>
              </w:rPr>
              <w:t>50,599</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60" w:type="dxa"/>
            <w:tcBorders/>
            <w:vAlign w:val="bottom"/>
          </w:tcPr>
          <w:p>
            <w:pPr>
              <w:pStyle w:val="TableContents"/>
              <w:bidi w:val="0"/>
              <w:spacing w:before="0" w:after="283"/>
              <w:jc w:val="left"/>
              <w:rPr/>
            </w:pPr>
            <w:r>
              <w:rPr/>
              <w:t> </w:t>
            </w:r>
          </w:p>
        </w:tc>
        <w:tc>
          <w:tcPr>
            <w:tcW w:w="970" w:type="dxa"/>
            <w:tcBorders/>
            <w:vAlign w:val="bottom"/>
          </w:tcPr>
          <w:p>
            <w:pPr>
              <w:pStyle w:val="TableContents"/>
              <w:bidi w:val="0"/>
              <w:spacing w:before="0" w:after="0"/>
              <w:jc w:val="right"/>
              <w:rPr/>
            </w:pPr>
            <w:r>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311" w:type="dxa"/>
            <w:tcBorders/>
            <w:vAlign w:val="bottom"/>
          </w:tcPr>
          <w:p>
            <w:pPr>
              <w:pStyle w:val="TableContents"/>
              <w:bidi w:val="0"/>
              <w:spacing w:before="0" w:after="283"/>
              <w:jc w:val="left"/>
              <w:rPr/>
            </w:pPr>
            <w:r>
              <w:rPr/>
              <w:t> </w:t>
            </w:r>
          </w:p>
        </w:tc>
        <w:tc>
          <w:tcPr>
            <w:tcW w:w="984" w:type="dxa"/>
            <w:tcBorders/>
            <w:vAlign w:val="bottom"/>
          </w:tcPr>
          <w:p>
            <w:pPr>
              <w:pStyle w:val="TableContents"/>
              <w:bidi w:val="0"/>
              <w:spacing w:before="0" w:after="0"/>
              <w:jc w:val="right"/>
              <w:rPr/>
            </w:pPr>
            <w:r>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3" w:type="dxa"/>
            <w:tcBorders/>
            <w:vAlign w:val="bottom"/>
          </w:tcPr>
          <w:p>
            <w:pPr>
              <w:pStyle w:val="TableContents"/>
              <w:bidi w:val="0"/>
              <w:spacing w:before="0" w:after="283"/>
              <w:jc w:val="left"/>
              <w:rPr/>
            </w:pPr>
            <w:r>
              <w:rPr/>
              <w:t> </w:t>
            </w:r>
          </w:p>
        </w:tc>
        <w:tc>
          <w:tcPr>
            <w:tcW w:w="972" w:type="dxa"/>
            <w:tcBorders/>
            <w:vAlign w:val="bottom"/>
          </w:tcPr>
          <w:p>
            <w:pPr>
              <w:pStyle w:val="TableContents"/>
              <w:bidi w:val="0"/>
              <w:spacing w:before="0" w:after="0"/>
              <w:jc w:val="right"/>
              <w:rPr>
                <w:sz w:val="20"/>
              </w:rPr>
            </w:pPr>
            <w:r>
              <w:rPr>
                <w:sz w:val="20"/>
              </w:rPr>
              <w:t>50,599</w:t>
            </w:r>
          </w:p>
        </w:tc>
        <w:tc>
          <w:tcPr>
            <w:tcW w:w="80" w:type="dxa"/>
            <w:tcBorders/>
            <w:vAlign w:val="bottom"/>
          </w:tcPr>
          <w:p>
            <w:pPr>
              <w:pStyle w:val="TableContents"/>
              <w:bidi w:val="0"/>
              <w:spacing w:before="0" w:after="283"/>
              <w:jc w:val="left"/>
              <w:rPr/>
            </w:pPr>
            <w:r>
              <w:rPr/>
              <w:t> </w:t>
            </w:r>
          </w:p>
        </w:tc>
      </w:tr>
      <w:tr>
        <w:trPr/>
        <w:tc>
          <w:tcPr>
            <w:tcW w:w="980" w:type="dxa"/>
            <w:tcBorders/>
            <w:shd w:fill="CCEEFF" w:val="clear"/>
            <w:vAlign w:val="bottom"/>
          </w:tcPr>
          <w:p>
            <w:pPr>
              <w:pStyle w:val="TableContents"/>
              <w:bidi w:val="0"/>
              <w:spacing w:before="0" w:after="0"/>
              <w:ind w:left="180" w:right="0" w:hanging="180"/>
              <w:jc w:val="left"/>
              <w:rPr>
                <w:sz w:val="20"/>
              </w:rPr>
            </w:pPr>
            <w:r>
              <w:rPr>
                <w:sz w:val="20"/>
              </w:rPr>
              <w:t>Repurchase of Ordinary Shares</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25" w:type="dxa"/>
            <w:tcBorders/>
            <w:shd w:fill="CCEEFF" w:val="clear"/>
            <w:vAlign w:val="bottom"/>
          </w:tcPr>
          <w:p>
            <w:pPr>
              <w:pStyle w:val="TableContents"/>
              <w:bidi w:val="0"/>
              <w:spacing w:before="0" w:after="283"/>
              <w:jc w:val="left"/>
              <w:rPr/>
            </w:pPr>
            <w:r>
              <w:rPr/>
              <w:t> </w:t>
            </w:r>
          </w:p>
        </w:tc>
        <w:tc>
          <w:tcPr>
            <w:tcW w:w="470" w:type="dxa"/>
            <w:tcBorders/>
            <w:shd w:fill="CCEEFF" w:val="clear"/>
            <w:vAlign w:val="bottom"/>
          </w:tcPr>
          <w:p>
            <w:pPr>
              <w:pStyle w:val="TableContents"/>
              <w:bidi w:val="0"/>
              <w:spacing w:before="0" w:after="283"/>
              <w:jc w:val="right"/>
              <w:rPr/>
            </w:pPr>
            <w:r>
              <w:rPr/>
              <w:t>—</w:t>
            </w:r>
          </w:p>
        </w:tc>
        <w:tc>
          <w:tcPr>
            <w:tcW w:w="60"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60" w:type="dxa"/>
            <w:tcBorders>
              <w:left w:val="single" w:sz="2" w:space="0" w:color="000000"/>
            </w:tcBorders>
            <w:shd w:fill="CCEEFF" w:val="clear"/>
            <w:tcMar>
              <w:left w:w="28" w:type="dxa"/>
            </w:tcM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055" w:type="dxa"/>
            <w:tcBorders/>
            <w:shd w:fill="CCEEFF" w:val="clear"/>
            <w:vAlign w:val="bottom"/>
          </w:tcPr>
          <w:p>
            <w:pPr>
              <w:pStyle w:val="TableContents"/>
              <w:bidi w:val="0"/>
              <w:spacing w:before="0" w:after="283"/>
              <w:jc w:val="right"/>
              <w:rPr>
                <w:sz w:val="20"/>
              </w:rPr>
            </w:pPr>
            <w:r>
              <w:rPr>
                <w:sz w:val="20"/>
              </w:rPr>
              <w:t>(6,672,915</w:t>
            </w:r>
          </w:p>
        </w:tc>
        <w:tc>
          <w:tcPr>
            <w:tcW w:w="80" w:type="dxa"/>
            <w:tcBorders/>
            <w:shd w:fill="CCEEFF" w:val="clear"/>
            <w:vAlign w:val="bottom"/>
          </w:tcPr>
          <w:p>
            <w:pPr>
              <w:pStyle w:val="TableContents"/>
              <w:bidi w:val="0"/>
              <w:spacing w:before="0" w:after="283"/>
              <w:jc w:val="left"/>
              <w:rPr>
                <w:sz w:val="20"/>
              </w:rPr>
            </w:pPr>
            <w:r>
              <w:rPr>
                <w:sz w:val="20"/>
              </w:rPr>
              <w:t>)</w:t>
            </w:r>
          </w:p>
        </w:tc>
        <w:tc>
          <w:tcPr>
            <w:tcW w:w="60" w:type="dxa"/>
            <w:tcBorders/>
            <w:shd w:fill="CCEEFF" w:val="clear"/>
            <w:vAlign w:val="bottom"/>
          </w:tcPr>
          <w:p>
            <w:pPr>
              <w:pStyle w:val="TableContents"/>
              <w:bidi w:val="0"/>
              <w:spacing w:before="0" w:after="283"/>
              <w:jc w:val="right"/>
              <w:rPr/>
            </w:pPr>
            <w:r>
              <w:rPr/>
              <w:t> </w:t>
            </w:r>
          </w:p>
        </w:tc>
        <w:tc>
          <w:tcPr>
            <w:tcW w:w="225" w:type="dxa"/>
            <w:tcBorders/>
            <w:shd w:fill="CCEEFF" w:val="clear"/>
            <w:vAlign w:val="bottom"/>
          </w:tcPr>
          <w:p>
            <w:pPr>
              <w:pStyle w:val="TableContents"/>
              <w:bidi w:val="0"/>
              <w:spacing w:before="0" w:after="283"/>
              <w:jc w:val="left"/>
              <w:rPr/>
            </w:pPr>
            <w:r>
              <w:rPr/>
              <w:t> </w:t>
            </w:r>
          </w:p>
        </w:tc>
        <w:tc>
          <w:tcPr>
            <w:tcW w:w="47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8" w:type="dxa"/>
            <w:tcBorders/>
            <w:shd w:fill="CCEEFF" w:val="clear"/>
            <w:vAlign w:val="bottom"/>
          </w:tcPr>
          <w:p>
            <w:pPr>
              <w:pStyle w:val="TableContents"/>
              <w:bidi w:val="0"/>
              <w:spacing w:before="0" w:after="283"/>
              <w:jc w:val="left"/>
              <w:rPr/>
            </w:pPr>
            <w:r>
              <w:rPr/>
              <w:t> </w:t>
            </w:r>
          </w:p>
        </w:tc>
        <w:tc>
          <w:tcPr>
            <w:tcW w:w="822" w:type="dxa"/>
            <w:tcBorders/>
            <w:shd w:fill="CCEEFF" w:val="clear"/>
            <w:vAlign w:val="bottom"/>
          </w:tcPr>
          <w:p>
            <w:pPr>
              <w:pStyle w:val="TableContents"/>
              <w:bidi w:val="0"/>
              <w:spacing w:before="0" w:after="283"/>
              <w:jc w:val="right"/>
              <w:rPr>
                <w:sz w:val="20"/>
              </w:rPr>
            </w:pPr>
            <w:r>
              <w:rPr>
                <w:sz w:val="20"/>
              </w:rPr>
              <w:t>(23,157</w:t>
            </w:r>
          </w:p>
        </w:tc>
        <w:tc>
          <w:tcPr>
            <w:tcW w:w="80" w:type="dxa"/>
            <w:tcBorders/>
            <w:shd w:fill="CCEEFF" w:val="clear"/>
            <w:vAlign w:val="bottom"/>
          </w:tcPr>
          <w:p>
            <w:pPr>
              <w:pStyle w:val="TableContents"/>
              <w:bidi w:val="0"/>
              <w:spacing w:before="0" w:after="283"/>
              <w:jc w:val="left"/>
              <w:rPr>
                <w:sz w:val="20"/>
              </w:rPr>
            </w:pPr>
            <w:r>
              <w:rPr>
                <w:sz w:val="20"/>
              </w:rPr>
              <w:t>)</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283"/>
              <w:jc w:val="right"/>
              <w:rPr/>
            </w:pPr>
            <w:r>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0" w:type="dxa"/>
            <w:tcBorders/>
            <w:shd w:fill="CCEEFF" w:val="clear"/>
            <w:vAlign w:val="bottom"/>
          </w:tcPr>
          <w:p>
            <w:pPr>
              <w:pStyle w:val="TableContents"/>
              <w:bidi w:val="0"/>
              <w:spacing w:before="0" w:after="283"/>
              <w:jc w:val="left"/>
              <w:rPr/>
            </w:pPr>
            <w:r>
              <w:rPr/>
              <w:t> </w:t>
            </w:r>
          </w:p>
        </w:tc>
        <w:tc>
          <w:tcPr>
            <w:tcW w:w="970" w:type="dxa"/>
            <w:tcBorders/>
            <w:shd w:fill="CCEEFF" w:val="clear"/>
            <w:vAlign w:val="bottom"/>
          </w:tcPr>
          <w:p>
            <w:pPr>
              <w:pStyle w:val="TableContents"/>
              <w:bidi w:val="0"/>
              <w:spacing w:before="0" w:after="283"/>
              <w:jc w:val="right"/>
              <w:rPr/>
            </w:pPr>
            <w:r>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311" w:type="dxa"/>
            <w:tcBorders/>
            <w:shd w:fill="CCEEFF" w:val="clear"/>
            <w:vAlign w:val="bottom"/>
          </w:tcPr>
          <w:p>
            <w:pPr>
              <w:pStyle w:val="TableContents"/>
              <w:bidi w:val="0"/>
              <w:spacing w:before="0" w:after="283"/>
              <w:jc w:val="left"/>
              <w:rPr/>
            </w:pPr>
            <w:r>
              <w:rPr/>
              <w:t> </w:t>
            </w:r>
          </w:p>
        </w:tc>
        <w:tc>
          <w:tcPr>
            <w:tcW w:w="984" w:type="dxa"/>
            <w:tcBorders/>
            <w:shd w:fill="CCEEFF" w:val="clear"/>
            <w:vAlign w:val="bottom"/>
          </w:tcPr>
          <w:p>
            <w:pPr>
              <w:pStyle w:val="TableContents"/>
              <w:bidi w:val="0"/>
              <w:spacing w:before="0" w:after="283"/>
              <w:jc w:val="right"/>
              <w:rPr/>
            </w:pPr>
            <w:r>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3" w:type="dxa"/>
            <w:tcBorders/>
            <w:shd w:fill="CCEEFF" w:val="clear"/>
            <w:vAlign w:val="bottom"/>
          </w:tcPr>
          <w:p>
            <w:pPr>
              <w:pStyle w:val="TableContents"/>
              <w:bidi w:val="0"/>
              <w:spacing w:before="0" w:after="283"/>
              <w:jc w:val="left"/>
              <w:rPr/>
            </w:pPr>
            <w:r>
              <w:rPr/>
              <w:t> </w:t>
            </w:r>
          </w:p>
        </w:tc>
        <w:tc>
          <w:tcPr>
            <w:tcW w:w="972" w:type="dxa"/>
            <w:tcBorders/>
            <w:shd w:fill="CCEEFF" w:val="clear"/>
            <w:vAlign w:val="bottom"/>
          </w:tcPr>
          <w:p>
            <w:pPr>
              <w:pStyle w:val="TableContents"/>
              <w:bidi w:val="0"/>
              <w:spacing w:before="0" w:after="283"/>
              <w:jc w:val="right"/>
              <w:rPr>
                <w:sz w:val="20"/>
              </w:rPr>
            </w:pPr>
            <w:r>
              <w:rPr>
                <w:sz w:val="20"/>
              </w:rPr>
              <w:t>(23,157</w:t>
            </w:r>
          </w:p>
        </w:tc>
        <w:tc>
          <w:tcPr>
            <w:tcW w:w="80" w:type="dxa"/>
            <w:tcBorders/>
            <w:shd w:fill="CCEEFF" w:val="clear"/>
            <w:vAlign w:val="bottom"/>
          </w:tcPr>
          <w:p>
            <w:pPr>
              <w:pStyle w:val="TableContents"/>
              <w:bidi w:val="0"/>
              <w:spacing w:before="0" w:after="283"/>
              <w:jc w:val="left"/>
              <w:rPr>
                <w:sz w:val="20"/>
              </w:rPr>
            </w:pPr>
            <w:r>
              <w:rPr>
                <w:sz w:val="20"/>
              </w:rPr>
              <w:t>)</w:t>
            </w:r>
          </w:p>
        </w:tc>
      </w:tr>
      <w:tr>
        <w:trPr/>
        <w:tc>
          <w:tcPr>
            <w:tcW w:w="980" w:type="dxa"/>
            <w:tcBorders/>
            <w:vAlign w:val="bottom"/>
          </w:tcPr>
          <w:p>
            <w:pPr>
              <w:pStyle w:val="TableContents"/>
              <w:bidi w:val="0"/>
              <w:spacing w:before="0" w:after="0"/>
              <w:ind w:left="180" w:right="0" w:hanging="180"/>
              <w:jc w:val="left"/>
              <w:rPr>
                <w:sz w:val="20"/>
              </w:rPr>
            </w:pPr>
            <w:r>
              <w:rPr>
                <w:sz w:val="20"/>
              </w:rPr>
              <w:t>Exercise of options and vested RSUs</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25" w:type="dxa"/>
            <w:tcBorders/>
            <w:vAlign w:val="bottom"/>
          </w:tcPr>
          <w:p>
            <w:pPr>
              <w:pStyle w:val="TableContents"/>
              <w:bidi w:val="0"/>
              <w:spacing w:before="0" w:after="283"/>
              <w:jc w:val="left"/>
              <w:rPr/>
            </w:pPr>
            <w:r>
              <w:rPr/>
              <w:t> </w:t>
            </w:r>
          </w:p>
        </w:tc>
        <w:tc>
          <w:tcPr>
            <w:tcW w:w="470" w:type="dxa"/>
            <w:tcBorders/>
            <w:vAlign w:val="bottom"/>
          </w:tcPr>
          <w:p>
            <w:pPr>
              <w:pStyle w:val="TableContents"/>
              <w:bidi w:val="0"/>
              <w:spacing w:before="0" w:after="0"/>
              <w:jc w:val="right"/>
              <w:rPr/>
            </w:pPr>
            <w:r>
              <w:rPr/>
              <w:t>—</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left w:val="single" w:sz="2" w:space="0" w:color="000000"/>
            </w:tcBorders>
            <w:tcMar>
              <w:left w:w="28" w:type="dxa"/>
            </w:tcMar>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055" w:type="dxa"/>
            <w:tcBorders/>
            <w:vAlign w:val="bottom"/>
          </w:tcPr>
          <w:p>
            <w:pPr>
              <w:pStyle w:val="TableContents"/>
              <w:bidi w:val="0"/>
              <w:spacing w:before="0" w:after="0"/>
              <w:jc w:val="right"/>
              <w:rPr>
                <w:sz w:val="20"/>
              </w:rPr>
            </w:pPr>
            <w:r>
              <w:rPr>
                <w:sz w:val="20"/>
              </w:rPr>
              <w:t>12,543,489</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25" w:type="dxa"/>
            <w:tcBorders/>
            <w:vAlign w:val="bottom"/>
          </w:tcPr>
          <w:p>
            <w:pPr>
              <w:pStyle w:val="TableContents"/>
              <w:bidi w:val="0"/>
              <w:spacing w:before="0" w:after="283"/>
              <w:jc w:val="left"/>
              <w:rPr/>
            </w:pPr>
            <w:r>
              <w:rPr/>
              <w:t> </w:t>
            </w:r>
          </w:p>
        </w:tc>
        <w:tc>
          <w:tcPr>
            <w:tcW w:w="470" w:type="dxa"/>
            <w:tcBorders/>
            <w:vAlign w:val="bottom"/>
          </w:tcPr>
          <w:p>
            <w:pPr>
              <w:pStyle w:val="TableContents"/>
              <w:bidi w:val="0"/>
              <w:spacing w:before="0" w:after="0"/>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58" w:type="dxa"/>
            <w:tcBorders/>
            <w:vAlign w:val="bottom"/>
          </w:tcPr>
          <w:p>
            <w:pPr>
              <w:pStyle w:val="TableContents"/>
              <w:bidi w:val="0"/>
              <w:spacing w:before="0" w:after="283"/>
              <w:jc w:val="left"/>
              <w:rPr/>
            </w:pPr>
            <w:r>
              <w:rPr/>
              <w:t> </w:t>
            </w:r>
          </w:p>
        </w:tc>
        <w:tc>
          <w:tcPr>
            <w:tcW w:w="822" w:type="dxa"/>
            <w:tcBorders/>
            <w:vAlign w:val="bottom"/>
          </w:tcPr>
          <w:p>
            <w:pPr>
              <w:pStyle w:val="TableContents"/>
              <w:bidi w:val="0"/>
              <w:spacing w:before="0" w:after="283"/>
              <w:jc w:val="right"/>
              <w:rPr/>
            </w:pPr>
            <w:r>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sz w:val="20"/>
              </w:rPr>
            </w:pPr>
            <w:r>
              <w:rPr>
                <w:sz w:val="20"/>
              </w:rPr>
              <w:t>5,429</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60" w:type="dxa"/>
            <w:tcBorders/>
            <w:vAlign w:val="bottom"/>
          </w:tcPr>
          <w:p>
            <w:pPr>
              <w:pStyle w:val="TableContents"/>
              <w:bidi w:val="0"/>
              <w:spacing w:before="0" w:after="283"/>
              <w:jc w:val="left"/>
              <w:rPr/>
            </w:pPr>
            <w:r>
              <w:rPr/>
              <w:t> </w:t>
            </w:r>
          </w:p>
        </w:tc>
        <w:tc>
          <w:tcPr>
            <w:tcW w:w="970" w:type="dxa"/>
            <w:tcBorders/>
            <w:vAlign w:val="bottom"/>
          </w:tcPr>
          <w:p>
            <w:pPr>
              <w:pStyle w:val="TableContents"/>
              <w:bidi w:val="0"/>
              <w:spacing w:before="0" w:after="0"/>
              <w:jc w:val="right"/>
              <w:rPr/>
            </w:pPr>
            <w:r>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311" w:type="dxa"/>
            <w:tcBorders/>
            <w:vAlign w:val="bottom"/>
          </w:tcPr>
          <w:p>
            <w:pPr>
              <w:pStyle w:val="TableContents"/>
              <w:bidi w:val="0"/>
              <w:spacing w:before="0" w:after="283"/>
              <w:jc w:val="left"/>
              <w:rPr/>
            </w:pPr>
            <w:r>
              <w:rPr/>
              <w:t> </w:t>
            </w:r>
          </w:p>
        </w:tc>
        <w:tc>
          <w:tcPr>
            <w:tcW w:w="984" w:type="dxa"/>
            <w:tcBorders/>
            <w:vAlign w:val="bottom"/>
          </w:tcPr>
          <w:p>
            <w:pPr>
              <w:pStyle w:val="TableContents"/>
              <w:bidi w:val="0"/>
              <w:spacing w:before="0" w:after="0"/>
              <w:jc w:val="right"/>
              <w:rPr/>
            </w:pPr>
            <w:r>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3" w:type="dxa"/>
            <w:tcBorders/>
            <w:vAlign w:val="bottom"/>
          </w:tcPr>
          <w:p>
            <w:pPr>
              <w:pStyle w:val="TableContents"/>
              <w:bidi w:val="0"/>
              <w:spacing w:before="0" w:after="283"/>
              <w:jc w:val="left"/>
              <w:rPr/>
            </w:pPr>
            <w:r>
              <w:rPr/>
              <w:t> </w:t>
            </w:r>
          </w:p>
        </w:tc>
        <w:tc>
          <w:tcPr>
            <w:tcW w:w="972" w:type="dxa"/>
            <w:tcBorders/>
            <w:vAlign w:val="bottom"/>
          </w:tcPr>
          <w:p>
            <w:pPr>
              <w:pStyle w:val="TableContents"/>
              <w:bidi w:val="0"/>
              <w:spacing w:before="0" w:after="0"/>
              <w:jc w:val="right"/>
              <w:rPr>
                <w:sz w:val="20"/>
              </w:rPr>
            </w:pPr>
            <w:r>
              <w:rPr>
                <w:sz w:val="20"/>
              </w:rPr>
              <w:t>5,429</w:t>
            </w:r>
          </w:p>
        </w:tc>
        <w:tc>
          <w:tcPr>
            <w:tcW w:w="80" w:type="dxa"/>
            <w:tcBorders/>
            <w:vAlign w:val="bottom"/>
          </w:tcPr>
          <w:p>
            <w:pPr>
              <w:pStyle w:val="TableContents"/>
              <w:bidi w:val="0"/>
              <w:spacing w:before="0" w:after="283"/>
              <w:jc w:val="left"/>
              <w:rPr/>
            </w:pPr>
            <w:r>
              <w:rPr/>
              <w:t> </w:t>
            </w:r>
          </w:p>
        </w:tc>
      </w:tr>
      <w:tr>
        <w:trPr/>
        <w:tc>
          <w:tcPr>
            <w:tcW w:w="980" w:type="dxa"/>
            <w:tcBorders/>
            <w:shd w:fill="CCEEFF" w:val="clear"/>
            <w:vAlign w:val="bottom"/>
          </w:tcPr>
          <w:p>
            <w:pPr>
              <w:pStyle w:val="TableContents"/>
              <w:bidi w:val="0"/>
              <w:spacing w:before="0" w:after="283"/>
              <w:jc w:val="left"/>
              <w:rPr>
                <w:sz w:val="20"/>
              </w:rPr>
            </w:pPr>
            <w:r>
              <w:rPr>
                <w:sz w:val="20"/>
              </w:rPr>
              <w:t xml:space="preserve">Connexity issuance of Holdback </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25" w:type="dxa"/>
            <w:tcBorders/>
            <w:shd w:fill="CCEEFF" w:val="clear"/>
            <w:vAlign w:val="bottom"/>
          </w:tcPr>
          <w:p>
            <w:pPr>
              <w:pStyle w:val="TableContents"/>
              <w:bidi w:val="0"/>
              <w:spacing w:before="0" w:after="283"/>
              <w:jc w:val="left"/>
              <w:rPr/>
            </w:pPr>
            <w:r>
              <w:rPr/>
              <w:t> </w:t>
            </w:r>
          </w:p>
        </w:tc>
        <w:tc>
          <w:tcPr>
            <w:tcW w:w="470" w:type="dxa"/>
            <w:tcBorders/>
            <w:shd w:fill="CCEEFF" w:val="clear"/>
            <w:vAlign w:val="bottom"/>
          </w:tcPr>
          <w:p>
            <w:pPr>
              <w:pStyle w:val="TableContents"/>
              <w:bidi w:val="0"/>
              <w:spacing w:before="0" w:after="283"/>
              <w:jc w:val="right"/>
              <w:rPr/>
            </w:pPr>
            <w:r>
              <w:rPr/>
              <w:t>—</w:t>
            </w:r>
          </w:p>
        </w:tc>
        <w:tc>
          <w:tcPr>
            <w:tcW w:w="60"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60" w:type="dxa"/>
            <w:tcBorders>
              <w:left w:val="single" w:sz="2" w:space="0" w:color="000000"/>
            </w:tcBorders>
            <w:shd w:fill="CCEEFF" w:val="clear"/>
            <w:tcMar>
              <w:left w:w="28" w:type="dxa"/>
            </w:tcM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055" w:type="dxa"/>
            <w:tcBorders/>
            <w:shd w:fill="CCEEFF" w:val="clear"/>
            <w:vAlign w:val="bottom"/>
          </w:tcPr>
          <w:p>
            <w:pPr>
              <w:pStyle w:val="TableContents"/>
              <w:bidi w:val="0"/>
              <w:spacing w:before="0" w:after="283"/>
              <w:jc w:val="right"/>
              <w:rPr/>
            </w:pPr>
            <w:r>
              <w:rPr/>
              <w:t> </w:t>
            </w:r>
            <w:r>
              <w:rPr>
                <w:sz w:val="20"/>
              </w:rPr>
              <w:t>1,162,800</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25" w:type="dxa"/>
            <w:tcBorders/>
            <w:shd w:fill="CCEEFF" w:val="clear"/>
            <w:vAlign w:val="bottom"/>
          </w:tcPr>
          <w:p>
            <w:pPr>
              <w:pStyle w:val="TableContents"/>
              <w:bidi w:val="0"/>
              <w:spacing w:before="0" w:after="283"/>
              <w:jc w:val="left"/>
              <w:rPr/>
            </w:pPr>
            <w:r>
              <w:rPr/>
              <w:t> </w:t>
            </w:r>
          </w:p>
        </w:tc>
        <w:tc>
          <w:tcPr>
            <w:tcW w:w="47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8" w:type="dxa"/>
            <w:tcBorders/>
            <w:shd w:fill="CCEEFF" w:val="clear"/>
            <w:vAlign w:val="bottom"/>
          </w:tcPr>
          <w:p>
            <w:pPr>
              <w:pStyle w:val="TableContents"/>
              <w:bidi w:val="0"/>
              <w:spacing w:before="0" w:after="283"/>
              <w:jc w:val="left"/>
              <w:rPr/>
            </w:pPr>
            <w:r>
              <w:rPr/>
              <w:t> </w:t>
            </w:r>
          </w:p>
        </w:tc>
        <w:tc>
          <w:tcPr>
            <w:tcW w:w="822" w:type="dxa"/>
            <w:tcBorders/>
            <w:shd w:fill="CCEEFF" w:val="clear"/>
            <w:vAlign w:val="bottom"/>
          </w:tcPr>
          <w:p>
            <w:pPr>
              <w:pStyle w:val="TableContents"/>
              <w:bidi w:val="0"/>
              <w:spacing w:before="0" w:after="283"/>
              <w:jc w:val="right"/>
              <w:rPr/>
            </w:pPr>
            <w:r>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283"/>
              <w:jc w:val="right"/>
              <w:rPr/>
            </w:pPr>
            <w:r>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0" w:type="dxa"/>
            <w:tcBorders/>
            <w:shd w:fill="CCEEFF" w:val="clear"/>
            <w:vAlign w:val="bottom"/>
          </w:tcPr>
          <w:p>
            <w:pPr>
              <w:pStyle w:val="TableContents"/>
              <w:bidi w:val="0"/>
              <w:spacing w:before="0" w:after="283"/>
              <w:jc w:val="left"/>
              <w:rPr/>
            </w:pPr>
            <w:r>
              <w:rPr/>
              <w:t> </w:t>
            </w:r>
          </w:p>
        </w:tc>
        <w:tc>
          <w:tcPr>
            <w:tcW w:w="970" w:type="dxa"/>
            <w:tcBorders/>
            <w:shd w:fill="CCEEFF" w:val="clear"/>
            <w:vAlign w:val="bottom"/>
          </w:tcPr>
          <w:p>
            <w:pPr>
              <w:pStyle w:val="TableContents"/>
              <w:bidi w:val="0"/>
              <w:spacing w:before="0" w:after="283"/>
              <w:jc w:val="right"/>
              <w:rPr/>
            </w:pPr>
            <w:r>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311" w:type="dxa"/>
            <w:tcBorders/>
            <w:shd w:fill="CCEEFF" w:val="clear"/>
            <w:vAlign w:val="bottom"/>
          </w:tcPr>
          <w:p>
            <w:pPr>
              <w:pStyle w:val="TableContents"/>
              <w:bidi w:val="0"/>
              <w:spacing w:before="0" w:after="283"/>
              <w:jc w:val="left"/>
              <w:rPr/>
            </w:pPr>
            <w:r>
              <w:rPr/>
              <w:t> </w:t>
            </w:r>
          </w:p>
        </w:tc>
        <w:tc>
          <w:tcPr>
            <w:tcW w:w="984" w:type="dxa"/>
            <w:tcBorders/>
            <w:shd w:fill="CCEEFF" w:val="clear"/>
            <w:vAlign w:val="bottom"/>
          </w:tcPr>
          <w:p>
            <w:pPr>
              <w:pStyle w:val="TableContents"/>
              <w:bidi w:val="0"/>
              <w:spacing w:before="0" w:after="283"/>
              <w:jc w:val="right"/>
              <w:rPr/>
            </w:pPr>
            <w:r>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3" w:type="dxa"/>
            <w:tcBorders/>
            <w:shd w:fill="CCEEFF" w:val="clear"/>
            <w:vAlign w:val="bottom"/>
          </w:tcPr>
          <w:p>
            <w:pPr>
              <w:pStyle w:val="TableContents"/>
              <w:bidi w:val="0"/>
              <w:spacing w:before="0" w:after="283"/>
              <w:jc w:val="left"/>
              <w:rPr/>
            </w:pPr>
            <w:r>
              <w:rPr/>
              <w:t> </w:t>
            </w:r>
          </w:p>
        </w:tc>
        <w:tc>
          <w:tcPr>
            <w:tcW w:w="972" w:type="dxa"/>
            <w:tcBorders/>
            <w:shd w:fill="CCEEFF" w:val="clear"/>
            <w:vAlign w:val="bottom"/>
          </w:tcPr>
          <w:p>
            <w:pPr>
              <w:pStyle w:val="TableContents"/>
              <w:bidi w:val="0"/>
              <w:spacing w:before="0" w:after="283"/>
              <w:jc w:val="right"/>
              <w:rPr/>
            </w:pPr>
            <w:r>
              <w:rPr/>
              <w:t>—</w:t>
            </w:r>
          </w:p>
        </w:tc>
        <w:tc>
          <w:tcPr>
            <w:tcW w:w="80" w:type="dxa"/>
            <w:tcBorders/>
            <w:shd w:fill="CCEEFF" w:val="clear"/>
            <w:vAlign w:val="bottom"/>
          </w:tcPr>
          <w:p>
            <w:pPr>
              <w:pStyle w:val="TableContents"/>
              <w:bidi w:val="0"/>
              <w:spacing w:before="0" w:after="283"/>
              <w:jc w:val="left"/>
              <w:rPr/>
            </w:pPr>
            <w:r>
              <w:rPr/>
              <w:t> </w:t>
            </w:r>
          </w:p>
        </w:tc>
      </w:tr>
      <w:tr>
        <w:trPr/>
        <w:tc>
          <w:tcPr>
            <w:tcW w:w="980" w:type="dxa"/>
            <w:tcBorders/>
            <w:vAlign w:val="bottom"/>
          </w:tcPr>
          <w:p>
            <w:pPr>
              <w:pStyle w:val="TableContents"/>
              <w:bidi w:val="0"/>
              <w:spacing w:before="0" w:after="0"/>
              <w:ind w:left="180" w:right="0" w:hanging="180"/>
              <w:jc w:val="left"/>
              <w:rPr>
                <w:sz w:val="20"/>
              </w:rPr>
            </w:pPr>
            <w:r>
              <w:rPr>
                <w:sz w:val="20"/>
              </w:rPr>
              <w:t>Issuance of Ordinary shares and Non-voting Ordinary shares related to Commercial agreement</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sz w:val="20"/>
              </w:rPr>
            </w:pPr>
            <w:r>
              <w:rPr>
                <w:sz w:val="20"/>
              </w:rPr>
              <w:t>45,198,702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25" w:type="dxa"/>
            <w:tcBorders/>
            <w:vAlign w:val="bottom"/>
          </w:tcPr>
          <w:p>
            <w:pPr>
              <w:pStyle w:val="TableContents"/>
              <w:bidi w:val="0"/>
              <w:spacing w:before="0" w:after="283"/>
              <w:jc w:val="left"/>
              <w:rPr/>
            </w:pPr>
            <w:r>
              <w:rPr/>
              <w:t> </w:t>
            </w:r>
          </w:p>
        </w:tc>
        <w:tc>
          <w:tcPr>
            <w:tcW w:w="470" w:type="dxa"/>
            <w:tcBorders/>
            <w:vAlign w:val="bottom"/>
          </w:tcPr>
          <w:p>
            <w:pPr>
              <w:pStyle w:val="TableContents"/>
              <w:bidi w:val="0"/>
              <w:spacing w:before="0" w:after="0"/>
              <w:jc w:val="right"/>
              <w:rPr/>
            </w:pPr>
            <w:r>
              <w:rPr/>
              <w:t>—</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left w:val="single" w:sz="2" w:space="0" w:color="000000"/>
            </w:tcBorders>
            <w:tcMar>
              <w:left w:w="28" w:type="dxa"/>
            </w:tcMar>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055" w:type="dxa"/>
            <w:tcBorders/>
            <w:vAlign w:val="bottom"/>
          </w:tcPr>
          <w:p>
            <w:pPr>
              <w:pStyle w:val="TableContents"/>
              <w:bidi w:val="0"/>
              <w:spacing w:before="0" w:after="0"/>
              <w:jc w:val="right"/>
              <w:rPr>
                <w:sz w:val="20"/>
              </w:rPr>
            </w:pPr>
            <w:r>
              <w:rPr>
                <w:sz w:val="20"/>
              </w:rPr>
              <w:t>39,525,691</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25" w:type="dxa"/>
            <w:tcBorders/>
            <w:vAlign w:val="bottom"/>
          </w:tcPr>
          <w:p>
            <w:pPr>
              <w:pStyle w:val="TableContents"/>
              <w:bidi w:val="0"/>
              <w:spacing w:before="0" w:after="283"/>
              <w:jc w:val="left"/>
              <w:rPr/>
            </w:pPr>
            <w:r>
              <w:rPr/>
              <w:t> </w:t>
            </w:r>
          </w:p>
        </w:tc>
        <w:tc>
          <w:tcPr>
            <w:tcW w:w="470" w:type="dxa"/>
            <w:tcBorders/>
            <w:vAlign w:val="bottom"/>
          </w:tcPr>
          <w:p>
            <w:pPr>
              <w:pStyle w:val="TableContents"/>
              <w:bidi w:val="0"/>
              <w:spacing w:before="0" w:after="0"/>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58" w:type="dxa"/>
            <w:tcBorders/>
            <w:vAlign w:val="bottom"/>
          </w:tcPr>
          <w:p>
            <w:pPr>
              <w:pStyle w:val="TableContents"/>
              <w:bidi w:val="0"/>
              <w:spacing w:before="0" w:after="283"/>
              <w:jc w:val="left"/>
              <w:rPr/>
            </w:pPr>
            <w:r>
              <w:rPr/>
              <w:t> </w:t>
            </w:r>
          </w:p>
        </w:tc>
        <w:tc>
          <w:tcPr>
            <w:tcW w:w="822" w:type="dxa"/>
            <w:tcBorders/>
            <w:vAlign w:val="bottom"/>
          </w:tcPr>
          <w:p>
            <w:pPr>
              <w:pStyle w:val="TableContents"/>
              <w:bidi w:val="0"/>
              <w:spacing w:before="0" w:after="283"/>
              <w:jc w:val="right"/>
              <w:rPr/>
            </w:pPr>
            <w:r>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sz w:val="20"/>
              </w:rPr>
            </w:pPr>
            <w:r>
              <w:rPr>
                <w:sz w:val="20"/>
              </w:rPr>
              <w:t>288,063</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60" w:type="dxa"/>
            <w:tcBorders/>
            <w:vAlign w:val="bottom"/>
          </w:tcPr>
          <w:p>
            <w:pPr>
              <w:pStyle w:val="TableContents"/>
              <w:bidi w:val="0"/>
              <w:spacing w:before="0" w:after="283"/>
              <w:jc w:val="left"/>
              <w:rPr/>
            </w:pPr>
            <w:r>
              <w:rPr/>
              <w:t> </w:t>
            </w:r>
          </w:p>
        </w:tc>
        <w:tc>
          <w:tcPr>
            <w:tcW w:w="970" w:type="dxa"/>
            <w:tcBorders/>
            <w:vAlign w:val="bottom"/>
          </w:tcPr>
          <w:p>
            <w:pPr>
              <w:pStyle w:val="TableContents"/>
              <w:bidi w:val="0"/>
              <w:spacing w:before="0" w:after="0"/>
              <w:jc w:val="right"/>
              <w:rPr/>
            </w:pPr>
            <w:r>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311" w:type="dxa"/>
            <w:tcBorders/>
            <w:vAlign w:val="bottom"/>
          </w:tcPr>
          <w:p>
            <w:pPr>
              <w:pStyle w:val="TableContents"/>
              <w:bidi w:val="0"/>
              <w:spacing w:before="0" w:after="283"/>
              <w:jc w:val="left"/>
              <w:rPr/>
            </w:pPr>
            <w:r>
              <w:rPr/>
              <w:t> </w:t>
            </w:r>
          </w:p>
        </w:tc>
        <w:tc>
          <w:tcPr>
            <w:tcW w:w="984" w:type="dxa"/>
            <w:tcBorders/>
            <w:vAlign w:val="bottom"/>
          </w:tcPr>
          <w:p>
            <w:pPr>
              <w:pStyle w:val="TableContents"/>
              <w:bidi w:val="0"/>
              <w:spacing w:before="0" w:after="0"/>
              <w:jc w:val="right"/>
              <w:rPr/>
            </w:pPr>
            <w:r>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3" w:type="dxa"/>
            <w:tcBorders/>
            <w:vAlign w:val="bottom"/>
          </w:tcPr>
          <w:p>
            <w:pPr>
              <w:pStyle w:val="TableContents"/>
              <w:bidi w:val="0"/>
              <w:spacing w:before="0" w:after="283"/>
              <w:jc w:val="left"/>
              <w:rPr/>
            </w:pPr>
            <w:r>
              <w:rPr/>
              <w:t> </w:t>
            </w:r>
          </w:p>
        </w:tc>
        <w:tc>
          <w:tcPr>
            <w:tcW w:w="972" w:type="dxa"/>
            <w:tcBorders/>
            <w:vAlign w:val="bottom"/>
          </w:tcPr>
          <w:p>
            <w:pPr>
              <w:pStyle w:val="TableContents"/>
              <w:bidi w:val="0"/>
              <w:spacing w:before="0" w:after="0"/>
              <w:jc w:val="right"/>
              <w:rPr>
                <w:sz w:val="20"/>
              </w:rPr>
            </w:pPr>
            <w:r>
              <w:rPr>
                <w:sz w:val="20"/>
              </w:rPr>
              <w:t>288,063</w:t>
            </w:r>
          </w:p>
        </w:tc>
        <w:tc>
          <w:tcPr>
            <w:tcW w:w="80" w:type="dxa"/>
            <w:tcBorders/>
            <w:vAlign w:val="bottom"/>
          </w:tcPr>
          <w:p>
            <w:pPr>
              <w:pStyle w:val="TableContents"/>
              <w:bidi w:val="0"/>
              <w:spacing w:before="0" w:after="283"/>
              <w:jc w:val="left"/>
              <w:rPr/>
            </w:pPr>
            <w:r>
              <w:rPr/>
              <w:t> </w:t>
            </w:r>
          </w:p>
        </w:tc>
      </w:tr>
      <w:tr>
        <w:trPr/>
        <w:tc>
          <w:tcPr>
            <w:tcW w:w="980" w:type="dxa"/>
            <w:tcBorders/>
            <w:shd w:fill="CCEEFF" w:val="clear"/>
            <w:vAlign w:val="bottom"/>
          </w:tcPr>
          <w:p>
            <w:pPr>
              <w:pStyle w:val="TableContents"/>
              <w:bidi w:val="0"/>
              <w:spacing w:before="0" w:after="0"/>
              <w:ind w:left="180" w:right="0" w:hanging="180"/>
              <w:jc w:val="left"/>
              <w:rPr>
                <w:sz w:val="20"/>
              </w:rPr>
            </w:pPr>
            <w:r>
              <w:rPr>
                <w:sz w:val="20"/>
              </w:rPr>
              <w:t>Payments of tax withholding for share-based compensation</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0"/>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25" w:type="dxa"/>
            <w:tcBorders/>
            <w:shd w:fill="CCEEFF" w:val="clear"/>
            <w:vAlign w:val="bottom"/>
          </w:tcPr>
          <w:p>
            <w:pPr>
              <w:pStyle w:val="TableContents"/>
              <w:bidi w:val="0"/>
              <w:spacing w:before="0" w:after="283"/>
              <w:jc w:val="left"/>
              <w:rPr/>
            </w:pPr>
            <w:r>
              <w:rPr/>
              <w:t> </w:t>
            </w:r>
          </w:p>
        </w:tc>
        <w:tc>
          <w:tcPr>
            <w:tcW w:w="470" w:type="dxa"/>
            <w:tcBorders/>
            <w:shd w:fill="CCEEFF" w:val="clear"/>
            <w:vAlign w:val="bottom"/>
          </w:tcPr>
          <w:p>
            <w:pPr>
              <w:pStyle w:val="TableContents"/>
              <w:bidi w:val="0"/>
              <w:spacing w:before="0" w:after="0"/>
              <w:jc w:val="right"/>
              <w:rPr/>
            </w:pPr>
            <w:r>
              <w:rPr/>
              <w:t>—</w:t>
            </w:r>
          </w:p>
        </w:tc>
        <w:tc>
          <w:tcPr>
            <w:tcW w:w="60"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60" w:type="dxa"/>
            <w:tcBorders>
              <w:left w:val="single" w:sz="2" w:space="0" w:color="000000"/>
            </w:tcBorders>
            <w:shd w:fill="CCEEFF" w:val="clear"/>
            <w:tcMar>
              <w:left w:w="28" w:type="dxa"/>
            </w:tcM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055" w:type="dxa"/>
            <w:tcBorders/>
            <w:shd w:fill="CCEEFF" w:val="clear"/>
            <w:vAlign w:val="bottom"/>
          </w:tcPr>
          <w:p>
            <w:pPr>
              <w:pStyle w:val="TableContents"/>
              <w:bidi w:val="0"/>
              <w:spacing w:before="0" w:after="0"/>
              <w:jc w:val="right"/>
              <w:rPr/>
            </w:pPr>
            <w:r>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25" w:type="dxa"/>
            <w:tcBorders/>
            <w:shd w:fill="CCEEFF" w:val="clear"/>
            <w:vAlign w:val="bottom"/>
          </w:tcPr>
          <w:p>
            <w:pPr>
              <w:pStyle w:val="TableContents"/>
              <w:bidi w:val="0"/>
              <w:spacing w:before="0" w:after="283"/>
              <w:jc w:val="left"/>
              <w:rPr/>
            </w:pPr>
            <w:r>
              <w:rPr/>
              <w:t> </w:t>
            </w:r>
          </w:p>
        </w:tc>
        <w:tc>
          <w:tcPr>
            <w:tcW w:w="470" w:type="dxa"/>
            <w:tcBorders/>
            <w:shd w:fill="CCEEFF" w:val="clear"/>
            <w:vAlign w:val="bottom"/>
          </w:tcPr>
          <w:p>
            <w:pPr>
              <w:pStyle w:val="TableContents"/>
              <w:bidi w:val="0"/>
              <w:spacing w:before="0" w:after="0"/>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8" w:type="dxa"/>
            <w:tcBorders/>
            <w:shd w:fill="CCEEFF" w:val="clear"/>
            <w:vAlign w:val="bottom"/>
          </w:tcPr>
          <w:p>
            <w:pPr>
              <w:pStyle w:val="TableContents"/>
              <w:bidi w:val="0"/>
              <w:spacing w:before="0" w:after="283"/>
              <w:jc w:val="left"/>
              <w:rPr/>
            </w:pPr>
            <w:r>
              <w:rPr/>
              <w:t> </w:t>
            </w:r>
          </w:p>
        </w:tc>
        <w:tc>
          <w:tcPr>
            <w:tcW w:w="822" w:type="dxa"/>
            <w:tcBorders/>
            <w:shd w:fill="CCEEFF" w:val="clear"/>
            <w:vAlign w:val="bottom"/>
          </w:tcPr>
          <w:p>
            <w:pPr>
              <w:pStyle w:val="TableContents"/>
              <w:bidi w:val="0"/>
              <w:spacing w:before="0" w:after="283"/>
              <w:jc w:val="right"/>
              <w:rPr/>
            </w:pPr>
            <w:r>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0"/>
              <w:jc w:val="right"/>
              <w:rPr>
                <w:sz w:val="20"/>
              </w:rPr>
            </w:pPr>
            <w:r>
              <w:rPr>
                <w:sz w:val="20"/>
              </w:rPr>
              <w:t>(3,213</w:t>
            </w:r>
          </w:p>
        </w:tc>
        <w:tc>
          <w:tcPr>
            <w:tcW w:w="80" w:type="dxa"/>
            <w:tcBorders/>
            <w:shd w:fill="CCEEFF" w:val="clear"/>
            <w:vAlign w:val="bottom"/>
          </w:tcPr>
          <w:p>
            <w:pPr>
              <w:pStyle w:val="TableContents"/>
              <w:bidi w:val="0"/>
              <w:spacing w:before="0" w:after="0"/>
              <w:jc w:val="left"/>
              <w:rPr>
                <w:sz w:val="20"/>
              </w:rPr>
            </w:pPr>
            <w:r>
              <w:rPr>
                <w:sz w:val="20"/>
              </w:rPr>
              <w:t>)</w:t>
            </w:r>
          </w:p>
        </w:tc>
        <w:tc>
          <w:tcPr>
            <w:tcW w:w="60" w:type="dxa"/>
            <w:tcBorders/>
            <w:shd w:fill="CCEEFF" w:val="clear"/>
            <w:vAlign w:val="bottom"/>
          </w:tcPr>
          <w:p>
            <w:pPr>
              <w:pStyle w:val="TableContents"/>
              <w:bidi w:val="0"/>
              <w:spacing w:before="0" w:after="283"/>
              <w:jc w:val="right"/>
              <w:rPr/>
            </w:pPr>
            <w:r>
              <w:rPr/>
              <w:t> </w:t>
            </w:r>
          </w:p>
        </w:tc>
        <w:tc>
          <w:tcPr>
            <w:tcW w:w="160" w:type="dxa"/>
            <w:tcBorders/>
            <w:shd w:fill="CCEEFF" w:val="clear"/>
            <w:vAlign w:val="bottom"/>
          </w:tcPr>
          <w:p>
            <w:pPr>
              <w:pStyle w:val="TableContents"/>
              <w:bidi w:val="0"/>
              <w:spacing w:before="0" w:after="283"/>
              <w:jc w:val="left"/>
              <w:rPr/>
            </w:pPr>
            <w:r>
              <w:rPr/>
              <w:t> </w:t>
            </w:r>
          </w:p>
        </w:tc>
        <w:tc>
          <w:tcPr>
            <w:tcW w:w="970" w:type="dxa"/>
            <w:tcBorders/>
            <w:shd w:fill="CCEEFF" w:val="clear"/>
            <w:vAlign w:val="bottom"/>
          </w:tcPr>
          <w:p>
            <w:pPr>
              <w:pStyle w:val="TableContents"/>
              <w:bidi w:val="0"/>
              <w:spacing w:before="0" w:after="0"/>
              <w:jc w:val="right"/>
              <w:rPr/>
            </w:pPr>
            <w:r>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311" w:type="dxa"/>
            <w:tcBorders/>
            <w:shd w:fill="CCEEFF" w:val="clear"/>
            <w:vAlign w:val="bottom"/>
          </w:tcPr>
          <w:p>
            <w:pPr>
              <w:pStyle w:val="TableContents"/>
              <w:bidi w:val="0"/>
              <w:spacing w:before="0" w:after="283"/>
              <w:jc w:val="left"/>
              <w:rPr/>
            </w:pPr>
            <w:r>
              <w:rPr/>
              <w:t> </w:t>
            </w:r>
          </w:p>
        </w:tc>
        <w:tc>
          <w:tcPr>
            <w:tcW w:w="984" w:type="dxa"/>
            <w:tcBorders/>
            <w:shd w:fill="CCEEFF" w:val="clear"/>
            <w:vAlign w:val="bottom"/>
          </w:tcPr>
          <w:p>
            <w:pPr>
              <w:pStyle w:val="TableContents"/>
              <w:bidi w:val="0"/>
              <w:spacing w:before="0" w:after="0"/>
              <w:jc w:val="right"/>
              <w:rPr/>
            </w:pPr>
            <w:r>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3" w:type="dxa"/>
            <w:tcBorders/>
            <w:shd w:fill="CCEEFF" w:val="clear"/>
            <w:vAlign w:val="bottom"/>
          </w:tcPr>
          <w:p>
            <w:pPr>
              <w:pStyle w:val="TableContents"/>
              <w:bidi w:val="0"/>
              <w:spacing w:before="0" w:after="283"/>
              <w:jc w:val="left"/>
              <w:rPr/>
            </w:pPr>
            <w:r>
              <w:rPr/>
              <w:t> </w:t>
            </w:r>
          </w:p>
        </w:tc>
        <w:tc>
          <w:tcPr>
            <w:tcW w:w="972" w:type="dxa"/>
            <w:tcBorders/>
            <w:shd w:fill="CCEEFF" w:val="clear"/>
            <w:vAlign w:val="bottom"/>
          </w:tcPr>
          <w:p>
            <w:pPr>
              <w:pStyle w:val="TableContents"/>
              <w:bidi w:val="0"/>
              <w:spacing w:before="0" w:after="0"/>
              <w:jc w:val="right"/>
              <w:rPr>
                <w:sz w:val="20"/>
              </w:rPr>
            </w:pPr>
            <w:r>
              <w:rPr>
                <w:sz w:val="20"/>
              </w:rPr>
              <w:t>(3,213</w:t>
            </w:r>
          </w:p>
        </w:tc>
        <w:tc>
          <w:tcPr>
            <w:tcW w:w="80" w:type="dxa"/>
            <w:tcBorders/>
            <w:shd w:fill="CCEEFF" w:val="clear"/>
            <w:vAlign w:val="bottom"/>
          </w:tcPr>
          <w:p>
            <w:pPr>
              <w:pStyle w:val="TableContents"/>
              <w:bidi w:val="0"/>
              <w:spacing w:before="0" w:after="0"/>
              <w:jc w:val="left"/>
              <w:rPr>
                <w:sz w:val="20"/>
              </w:rPr>
            </w:pPr>
            <w:r>
              <w:rPr>
                <w:sz w:val="20"/>
              </w:rPr>
              <w:t>)</w:t>
            </w:r>
          </w:p>
        </w:tc>
      </w:tr>
      <w:tr>
        <w:trPr/>
        <w:tc>
          <w:tcPr>
            <w:tcW w:w="980" w:type="dxa"/>
            <w:tcBorders/>
            <w:vAlign w:val="bottom"/>
          </w:tcPr>
          <w:p>
            <w:pPr>
              <w:pStyle w:val="TableContents"/>
              <w:bidi w:val="0"/>
              <w:spacing w:before="0" w:after="0"/>
              <w:ind w:left="360" w:right="0" w:hanging="360"/>
              <w:jc w:val="left"/>
              <w:rPr>
                <w:sz w:val="20"/>
              </w:rPr>
            </w:pPr>
            <w:r>
              <w:rPr>
                <w:sz w:val="20"/>
              </w:rPr>
              <w:t>Other comprehensive income</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25" w:type="dxa"/>
            <w:tcBorders/>
            <w:vAlign w:val="bottom"/>
          </w:tcPr>
          <w:p>
            <w:pPr>
              <w:pStyle w:val="TableContents"/>
              <w:bidi w:val="0"/>
              <w:spacing w:before="0" w:after="283"/>
              <w:jc w:val="left"/>
              <w:rPr/>
            </w:pPr>
            <w:r>
              <w:rPr/>
              <w:t> </w:t>
            </w:r>
          </w:p>
        </w:tc>
        <w:tc>
          <w:tcPr>
            <w:tcW w:w="470" w:type="dxa"/>
            <w:tcBorders/>
            <w:vAlign w:val="bottom"/>
          </w:tcPr>
          <w:p>
            <w:pPr>
              <w:pStyle w:val="TableContents"/>
              <w:bidi w:val="0"/>
              <w:spacing w:before="0" w:after="0"/>
              <w:jc w:val="right"/>
              <w:rPr/>
            </w:pPr>
            <w:r>
              <w:rPr/>
              <w:t>—</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left w:val="single" w:sz="2" w:space="0" w:color="000000"/>
            </w:tcBorders>
            <w:tcMar>
              <w:left w:w="28" w:type="dxa"/>
            </w:tcMar>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055" w:type="dxa"/>
            <w:tcBorders/>
            <w:vAlign w:val="bottom"/>
          </w:tcPr>
          <w:p>
            <w:pPr>
              <w:pStyle w:val="TableContents"/>
              <w:bidi w:val="0"/>
              <w:spacing w:before="0" w:after="0"/>
              <w:jc w:val="right"/>
              <w:rPr/>
            </w:pPr>
            <w:r>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25" w:type="dxa"/>
            <w:tcBorders/>
            <w:vAlign w:val="bottom"/>
          </w:tcPr>
          <w:p>
            <w:pPr>
              <w:pStyle w:val="TableContents"/>
              <w:bidi w:val="0"/>
              <w:spacing w:before="0" w:after="283"/>
              <w:jc w:val="left"/>
              <w:rPr/>
            </w:pPr>
            <w:r>
              <w:rPr/>
              <w:t> </w:t>
            </w:r>
          </w:p>
        </w:tc>
        <w:tc>
          <w:tcPr>
            <w:tcW w:w="470" w:type="dxa"/>
            <w:tcBorders/>
            <w:vAlign w:val="bottom"/>
          </w:tcPr>
          <w:p>
            <w:pPr>
              <w:pStyle w:val="TableContents"/>
              <w:bidi w:val="0"/>
              <w:spacing w:before="0" w:after="0"/>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58" w:type="dxa"/>
            <w:tcBorders/>
            <w:vAlign w:val="bottom"/>
          </w:tcPr>
          <w:p>
            <w:pPr>
              <w:pStyle w:val="TableContents"/>
              <w:bidi w:val="0"/>
              <w:spacing w:before="0" w:after="283"/>
              <w:jc w:val="left"/>
              <w:rPr/>
            </w:pPr>
            <w:r>
              <w:rPr/>
              <w:t> </w:t>
            </w:r>
          </w:p>
        </w:tc>
        <w:tc>
          <w:tcPr>
            <w:tcW w:w="822" w:type="dxa"/>
            <w:tcBorders/>
            <w:vAlign w:val="bottom"/>
          </w:tcPr>
          <w:p>
            <w:pPr>
              <w:pStyle w:val="TableContents"/>
              <w:bidi w:val="0"/>
              <w:spacing w:before="0" w:after="283"/>
              <w:jc w:val="right"/>
              <w:rPr/>
            </w:pPr>
            <w:r>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pPr>
            <w:r>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60" w:type="dxa"/>
            <w:tcBorders/>
            <w:vAlign w:val="bottom"/>
          </w:tcPr>
          <w:p>
            <w:pPr>
              <w:pStyle w:val="TableContents"/>
              <w:bidi w:val="0"/>
              <w:spacing w:before="0" w:after="283"/>
              <w:jc w:val="left"/>
              <w:rPr/>
            </w:pPr>
            <w:r>
              <w:rPr/>
              <w:t> </w:t>
            </w:r>
          </w:p>
        </w:tc>
        <w:tc>
          <w:tcPr>
            <w:tcW w:w="970" w:type="dxa"/>
            <w:tcBorders/>
            <w:vAlign w:val="bottom"/>
          </w:tcPr>
          <w:p>
            <w:pPr>
              <w:pStyle w:val="TableContents"/>
              <w:bidi w:val="0"/>
              <w:spacing w:before="0" w:after="0"/>
              <w:jc w:val="right"/>
              <w:rPr/>
            </w:pPr>
            <w:r>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311" w:type="dxa"/>
            <w:tcBorders/>
            <w:vAlign w:val="bottom"/>
          </w:tcPr>
          <w:p>
            <w:pPr>
              <w:pStyle w:val="TableContents"/>
              <w:bidi w:val="0"/>
              <w:spacing w:before="0" w:after="283"/>
              <w:jc w:val="left"/>
              <w:rPr/>
            </w:pPr>
            <w:r>
              <w:rPr/>
              <w:t> </w:t>
            </w:r>
          </w:p>
        </w:tc>
        <w:tc>
          <w:tcPr>
            <w:tcW w:w="984" w:type="dxa"/>
            <w:tcBorders/>
            <w:vAlign w:val="bottom"/>
          </w:tcPr>
          <w:p>
            <w:pPr>
              <w:pStyle w:val="TableContents"/>
              <w:bidi w:val="0"/>
              <w:spacing w:before="0" w:after="0"/>
              <w:jc w:val="right"/>
              <w:rPr>
                <w:sz w:val="20"/>
              </w:rPr>
            </w:pPr>
            <w:r>
              <w:rPr>
                <w:sz w:val="20"/>
              </w:rPr>
              <w:t>616</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3" w:type="dxa"/>
            <w:tcBorders/>
            <w:vAlign w:val="bottom"/>
          </w:tcPr>
          <w:p>
            <w:pPr>
              <w:pStyle w:val="TableContents"/>
              <w:bidi w:val="0"/>
              <w:spacing w:before="0" w:after="283"/>
              <w:jc w:val="left"/>
              <w:rPr/>
            </w:pPr>
            <w:r>
              <w:rPr/>
              <w:t> </w:t>
            </w:r>
          </w:p>
        </w:tc>
        <w:tc>
          <w:tcPr>
            <w:tcW w:w="972" w:type="dxa"/>
            <w:tcBorders/>
            <w:vAlign w:val="bottom"/>
          </w:tcPr>
          <w:p>
            <w:pPr>
              <w:pStyle w:val="TableContents"/>
              <w:bidi w:val="0"/>
              <w:spacing w:before="0" w:after="0"/>
              <w:jc w:val="right"/>
              <w:rPr>
                <w:sz w:val="20"/>
              </w:rPr>
            </w:pPr>
            <w:r>
              <w:rPr>
                <w:sz w:val="20"/>
              </w:rPr>
              <w:t>616</w:t>
            </w:r>
          </w:p>
        </w:tc>
        <w:tc>
          <w:tcPr>
            <w:tcW w:w="80" w:type="dxa"/>
            <w:tcBorders/>
            <w:vAlign w:val="bottom"/>
          </w:tcPr>
          <w:p>
            <w:pPr>
              <w:pStyle w:val="TableContents"/>
              <w:bidi w:val="0"/>
              <w:spacing w:before="0" w:after="283"/>
              <w:jc w:val="left"/>
              <w:rPr/>
            </w:pPr>
            <w:r>
              <w:rPr/>
              <w:t> </w:t>
            </w:r>
          </w:p>
        </w:tc>
      </w:tr>
      <w:tr>
        <w:trPr/>
        <w:tc>
          <w:tcPr>
            <w:tcW w:w="980" w:type="dxa"/>
            <w:tcBorders/>
            <w:shd w:fill="CCEEFF" w:val="clear"/>
            <w:vAlign w:val="bottom"/>
          </w:tcPr>
          <w:p>
            <w:pPr>
              <w:pStyle w:val="TableContents"/>
              <w:bidi w:val="0"/>
              <w:spacing w:before="0" w:after="0"/>
              <w:ind w:left="180" w:right="0" w:hanging="180"/>
              <w:jc w:val="left"/>
              <w:rPr>
                <w:sz w:val="20"/>
              </w:rPr>
            </w:pPr>
            <w:r>
              <w:rPr>
                <w:sz w:val="20"/>
              </w:rPr>
              <w:t>Net loss</w:t>
            </w:r>
          </w:p>
        </w:tc>
        <w:tc>
          <w:tcPr>
            <w:tcW w:w="60" w:type="dxa"/>
            <w:tcBorders/>
            <w:shd w:fill="CCEEFF" w:val="clear"/>
            <w:vAlign w:val="bottom"/>
          </w:tcPr>
          <w:p>
            <w:pPr>
              <w:pStyle w:val="TableContents"/>
              <w:bidi w:val="0"/>
              <w:spacing w:before="0" w:after="283"/>
              <w:jc w:val="right"/>
              <w:rPr/>
            </w:pPr>
            <w:r>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50" w:type="dxa"/>
            <w:tcBorders>
              <w:bottom w:val="single" w:sz="12" w:space="0" w:color="000000"/>
            </w:tcBorders>
            <w:shd w:fill="CCEEFF" w:val="clear"/>
            <w:tcMar>
              <w:bottom w:w="28" w:type="dxa"/>
            </w:tcMar>
            <w:vAlign w:val="bottom"/>
          </w:tcPr>
          <w:p>
            <w:pPr>
              <w:pStyle w:val="TableContents"/>
              <w:bidi w:val="0"/>
              <w:spacing w:before="0" w:after="0"/>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470" w:type="dxa"/>
            <w:tcBorders>
              <w:bottom w:val="single" w:sz="12" w:space="0" w:color="000000"/>
            </w:tcBorders>
            <w:shd w:fill="CCEEFF" w:val="clear"/>
            <w:tcMar>
              <w:bottom w:w="28" w:type="dxa"/>
            </w:tcMar>
            <w:vAlign w:val="bottom"/>
          </w:tcPr>
          <w:p>
            <w:pPr>
              <w:pStyle w:val="TableContents"/>
              <w:bidi w:val="0"/>
              <w:spacing w:before="0" w:after="0"/>
              <w:jc w:val="right"/>
              <w:rPr/>
            </w:pPr>
            <w:r>
              <w:rPr/>
              <w:t>—</w:t>
            </w:r>
          </w:p>
        </w:tc>
        <w:tc>
          <w:tcPr>
            <w:tcW w:w="60"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60" w:type="dxa"/>
            <w:tcBorders>
              <w:left w:val="single" w:sz="2" w:space="0" w:color="000000"/>
            </w:tcBorders>
            <w:shd w:fill="CCEEFF" w:val="clear"/>
            <w:tcMar>
              <w:left w:w="28" w:type="dxa"/>
            </w:tcMar>
            <w:vAlign w:val="bottom"/>
          </w:tcPr>
          <w:p>
            <w:pPr>
              <w:pStyle w:val="TableContents"/>
              <w:bidi w:val="0"/>
              <w:spacing w:before="0" w:after="283"/>
              <w:jc w:val="right"/>
              <w:rPr/>
            </w:pPr>
            <w:r>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bottom"/>
          </w:tcPr>
          <w:p>
            <w:pPr>
              <w:pStyle w:val="TableContents"/>
              <w:bidi w:val="0"/>
              <w:spacing w:before="0" w:after="0"/>
              <w:jc w:val="right"/>
              <w:rPr/>
            </w:pPr>
            <w:r>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470" w:type="dxa"/>
            <w:tcBorders>
              <w:bottom w:val="single" w:sz="12" w:space="0" w:color="000000"/>
            </w:tcBorders>
            <w:shd w:fill="CCEEFF" w:val="clear"/>
            <w:tcMar>
              <w:bottom w:w="28" w:type="dxa"/>
            </w:tcMar>
            <w:vAlign w:val="bottom"/>
          </w:tcPr>
          <w:p>
            <w:pPr>
              <w:pStyle w:val="TableContents"/>
              <w:bidi w:val="0"/>
              <w:spacing w:before="0" w:after="0"/>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8"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22" w:type="dxa"/>
            <w:tcBorders>
              <w:bottom w:val="single" w:sz="12" w:space="0" w:color="000000"/>
            </w:tcBorders>
            <w:shd w:fill="CCEEFF" w:val="clear"/>
            <w:tcMar>
              <w:bottom w:w="28" w:type="dxa"/>
            </w:tcMar>
            <w:vAlign w:val="bottom"/>
          </w:tcPr>
          <w:p>
            <w:pPr>
              <w:pStyle w:val="TableContents"/>
              <w:bidi w:val="0"/>
              <w:spacing w:before="0" w:after="283"/>
              <w:jc w:val="right"/>
              <w:rPr/>
            </w:pPr>
            <w:r>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shd w:fill="CCEEFF" w:val="clear"/>
            <w:tcMar>
              <w:bottom w:w="28" w:type="dxa"/>
            </w:tcMar>
            <w:vAlign w:val="bottom"/>
          </w:tcPr>
          <w:p>
            <w:pPr>
              <w:pStyle w:val="TableContents"/>
              <w:bidi w:val="0"/>
              <w:spacing w:before="0" w:after="0"/>
              <w:jc w:val="right"/>
              <w:rPr/>
            </w:pPr>
            <w:r>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70" w:type="dxa"/>
            <w:tcBorders>
              <w:bottom w:val="single" w:sz="12" w:space="0" w:color="000000"/>
            </w:tcBorders>
            <w:shd w:fill="CCEEFF" w:val="clear"/>
            <w:tcMar>
              <w:bottom w:w="28" w:type="dxa"/>
            </w:tcMar>
            <w:vAlign w:val="bottom"/>
          </w:tcPr>
          <w:p>
            <w:pPr>
              <w:pStyle w:val="TableContents"/>
              <w:bidi w:val="0"/>
              <w:spacing w:before="0" w:after="0"/>
              <w:jc w:val="right"/>
              <w:rPr>
                <w:sz w:val="20"/>
              </w:rPr>
            </w:pPr>
            <w:r>
              <w:rPr>
                <w:sz w:val="20"/>
              </w:rPr>
              <w:t>(85,763</w:t>
            </w:r>
          </w:p>
        </w:tc>
        <w:tc>
          <w:tcPr>
            <w:tcW w:w="80" w:type="dxa"/>
            <w:tcBorders/>
            <w:shd w:fill="CCEEFF" w:val="clear"/>
            <w:vAlign w:val="bottom"/>
          </w:tcPr>
          <w:p>
            <w:pPr>
              <w:pStyle w:val="TableContents"/>
              <w:bidi w:val="0"/>
              <w:spacing w:before="0" w:after="0"/>
              <w:jc w:val="left"/>
              <w:rPr>
                <w:sz w:val="20"/>
              </w:rPr>
            </w:pPr>
            <w:r>
              <w:rPr>
                <w:sz w:val="20"/>
              </w:rPr>
              <w:t>)</w:t>
            </w:r>
          </w:p>
        </w:tc>
        <w:tc>
          <w:tcPr>
            <w:tcW w:w="60" w:type="dxa"/>
            <w:tcBorders/>
            <w:shd w:fill="CCEEFF" w:val="clear"/>
            <w:vAlign w:val="bottom"/>
          </w:tcPr>
          <w:p>
            <w:pPr>
              <w:pStyle w:val="TableContents"/>
              <w:bidi w:val="0"/>
              <w:spacing w:before="0" w:after="283"/>
              <w:jc w:val="right"/>
              <w:rPr/>
            </w:pPr>
            <w:r>
              <w:rPr/>
              <w:t> </w:t>
            </w:r>
          </w:p>
        </w:tc>
        <w:tc>
          <w:tcPr>
            <w:tcW w:w="311"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84" w:type="dxa"/>
            <w:tcBorders>
              <w:bottom w:val="single" w:sz="12" w:space="0" w:color="000000"/>
            </w:tcBorders>
            <w:shd w:fill="CCEEFF" w:val="clear"/>
            <w:tcMar>
              <w:bottom w:w="28" w:type="dxa"/>
            </w:tcMar>
            <w:vAlign w:val="bottom"/>
          </w:tcPr>
          <w:p>
            <w:pPr>
              <w:pStyle w:val="TableContents"/>
              <w:bidi w:val="0"/>
              <w:spacing w:before="0" w:after="0"/>
              <w:jc w:val="right"/>
              <w:rPr/>
            </w:pPr>
            <w:r>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3"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72" w:type="dxa"/>
            <w:tcBorders>
              <w:bottom w:val="single" w:sz="12" w:space="0" w:color="000000"/>
            </w:tcBorders>
            <w:shd w:fill="CCEEFF" w:val="clear"/>
            <w:tcMar>
              <w:bottom w:w="28" w:type="dxa"/>
            </w:tcMar>
            <w:vAlign w:val="bottom"/>
          </w:tcPr>
          <w:p>
            <w:pPr>
              <w:pStyle w:val="TableContents"/>
              <w:bidi w:val="0"/>
              <w:spacing w:before="0" w:after="0"/>
              <w:jc w:val="right"/>
              <w:rPr>
                <w:sz w:val="20"/>
              </w:rPr>
            </w:pPr>
            <w:r>
              <w:rPr>
                <w:sz w:val="20"/>
              </w:rPr>
              <w:t>(85,763</w:t>
            </w:r>
          </w:p>
        </w:tc>
        <w:tc>
          <w:tcPr>
            <w:tcW w:w="80" w:type="dxa"/>
            <w:tcBorders/>
            <w:shd w:fill="CCEEFF" w:val="clear"/>
            <w:vAlign w:val="bottom"/>
          </w:tcPr>
          <w:p>
            <w:pPr>
              <w:pStyle w:val="TableContents"/>
              <w:bidi w:val="0"/>
              <w:spacing w:before="0" w:after="0"/>
              <w:jc w:val="left"/>
              <w:rPr>
                <w:sz w:val="20"/>
              </w:rPr>
            </w:pPr>
            <w:r>
              <w:rPr>
                <w:sz w:val="20"/>
              </w:rPr>
              <w:t>)</w:t>
            </w:r>
          </w:p>
        </w:tc>
      </w:tr>
      <w:tr>
        <w:trPr/>
        <w:tc>
          <w:tcPr>
            <w:tcW w:w="980" w:type="dxa"/>
            <w:tcBorders/>
            <w:vAlign w:val="bottom"/>
          </w:tcPr>
          <w:p>
            <w:pPr>
              <w:pStyle w:val="TableContents"/>
              <w:bidi w:val="0"/>
              <w:spacing w:before="0" w:after="0"/>
              <w:ind w:left="180" w:right="0" w:hanging="0"/>
              <w:jc w:val="left"/>
              <w:rPr>
                <w:sz w:val="20"/>
              </w:rPr>
            </w:pPr>
            <w:r>
              <w:rPr>
                <w:sz w:val="20"/>
              </w:rPr>
              <w:t>Balance as of September 30, 2023 (unaudited)</w:t>
            </w:r>
          </w:p>
        </w:tc>
        <w:tc>
          <w:tcPr>
            <w:tcW w:w="60" w:type="dxa"/>
            <w:tcBorders/>
            <w:vAlign w:val="bottom"/>
          </w:tcPr>
          <w:p>
            <w:pPr>
              <w:pStyle w:val="TableContents"/>
              <w:bidi w:val="0"/>
              <w:spacing w:before="0" w:after="283"/>
              <w:jc w:val="righ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950" w:type="dxa"/>
            <w:tcBorders>
              <w:bottom w:val="single" w:sz="12" w:space="0" w:color="000000"/>
            </w:tcBorders>
            <w:tcMar>
              <w:bottom w:w="28" w:type="dxa"/>
            </w:tcMar>
            <w:vAlign w:val="bottom"/>
          </w:tcPr>
          <w:p>
            <w:pPr>
              <w:pStyle w:val="TableContents"/>
              <w:bidi w:val="0"/>
              <w:spacing w:before="0" w:after="0"/>
              <w:jc w:val="right"/>
              <w:rPr>
                <w:sz w:val="20"/>
              </w:rPr>
            </w:pPr>
            <w:r>
              <w:rPr>
                <w:sz w:val="20"/>
              </w:rPr>
              <w:t>45,198,702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25" w:type="dxa"/>
            <w:tcBorders>
              <w:bottom w:val="single" w:sz="12" w:space="0" w:color="000000"/>
            </w:tcBorders>
            <w:tcMar>
              <w:bottom w:w="28" w:type="dxa"/>
            </w:tcMar>
            <w:vAlign w:val="bottom"/>
          </w:tcPr>
          <w:p>
            <w:pPr>
              <w:pStyle w:val="TableContents"/>
              <w:bidi w:val="0"/>
              <w:spacing w:before="0" w:after="0"/>
              <w:jc w:val="left"/>
              <w:rPr>
                <w:sz w:val="20"/>
              </w:rPr>
            </w:pPr>
            <w:r>
              <w:rPr>
                <w:sz w:val="20"/>
              </w:rPr>
              <w:t>$</w:t>
            </w:r>
          </w:p>
        </w:tc>
        <w:tc>
          <w:tcPr>
            <w:tcW w:w="470" w:type="dxa"/>
            <w:tcBorders>
              <w:bottom w:val="single" w:sz="12" w:space="0" w:color="000000"/>
            </w:tcBorders>
            <w:tcMar>
              <w:bottom w:w="28" w:type="dxa"/>
            </w:tcMar>
            <w:vAlign w:val="bottom"/>
          </w:tcPr>
          <w:p>
            <w:pPr>
              <w:pStyle w:val="TableContents"/>
              <w:bidi w:val="0"/>
              <w:spacing w:before="0" w:after="0"/>
              <w:jc w:val="right"/>
              <w:rPr/>
            </w:pPr>
            <w:r>
              <w:rPr/>
              <w:t>—</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left w:val="single" w:sz="2" w:space="0" w:color="000000"/>
            </w:tcBorders>
            <w:tcMar>
              <w:left w:w="28" w:type="dxa"/>
            </w:tcMar>
            <w:vAlign w:val="bottom"/>
          </w:tcPr>
          <w:p>
            <w:pPr>
              <w:pStyle w:val="TableContents"/>
              <w:bidi w:val="0"/>
              <w:spacing w:before="0" w:after="283"/>
              <w:jc w:val="righ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1055" w:type="dxa"/>
            <w:tcBorders>
              <w:bottom w:val="single" w:sz="12" w:space="0" w:color="000000"/>
            </w:tcBorders>
            <w:tcMar>
              <w:bottom w:w="28" w:type="dxa"/>
            </w:tcMar>
            <w:vAlign w:val="bottom"/>
          </w:tcPr>
          <w:p>
            <w:pPr>
              <w:pStyle w:val="TableContents"/>
              <w:bidi w:val="0"/>
              <w:spacing w:before="0" w:after="0"/>
              <w:jc w:val="right"/>
              <w:rPr>
                <w:sz w:val="20"/>
              </w:rPr>
            </w:pPr>
            <w:r>
              <w:rPr>
                <w:sz w:val="20"/>
              </w:rPr>
              <w:t>300,692,928</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25" w:type="dxa"/>
            <w:tcBorders>
              <w:bottom w:val="single" w:sz="12" w:space="0" w:color="000000"/>
            </w:tcBorders>
            <w:tcMar>
              <w:bottom w:w="28" w:type="dxa"/>
            </w:tcMar>
            <w:vAlign w:val="bottom"/>
          </w:tcPr>
          <w:p>
            <w:pPr>
              <w:pStyle w:val="TableContents"/>
              <w:bidi w:val="0"/>
              <w:spacing w:before="0" w:after="0"/>
              <w:jc w:val="left"/>
              <w:rPr>
                <w:sz w:val="20"/>
              </w:rPr>
            </w:pPr>
            <w:r>
              <w:rPr>
                <w:sz w:val="20"/>
              </w:rPr>
              <w:t>$</w:t>
            </w:r>
          </w:p>
        </w:tc>
        <w:tc>
          <w:tcPr>
            <w:tcW w:w="470" w:type="dxa"/>
            <w:tcBorders>
              <w:bottom w:val="single" w:sz="12" w:space="0" w:color="000000"/>
            </w:tcBorders>
            <w:tcMar>
              <w:bottom w:w="28" w:type="dxa"/>
            </w:tcMar>
            <w:vAlign w:val="bottom"/>
          </w:tcPr>
          <w:p>
            <w:pPr>
              <w:pStyle w:val="TableContents"/>
              <w:bidi w:val="0"/>
              <w:spacing w:before="0" w:after="0"/>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58" w:type="dxa"/>
            <w:tcBorders>
              <w:bottom w:val="single" w:sz="12" w:space="0" w:color="000000"/>
            </w:tcBorders>
            <w:tcMar>
              <w:bottom w:w="28" w:type="dxa"/>
            </w:tcMar>
            <w:vAlign w:val="bottom"/>
          </w:tcPr>
          <w:p>
            <w:pPr>
              <w:pStyle w:val="TableContents"/>
              <w:bidi w:val="0"/>
              <w:spacing w:before="0" w:after="283"/>
              <w:jc w:val="left"/>
              <w:rPr>
                <w:sz w:val="20"/>
              </w:rPr>
            </w:pPr>
            <w:r>
              <w:rPr>
                <w:sz w:val="20"/>
              </w:rPr>
              <w:t>$</w:t>
            </w:r>
          </w:p>
        </w:tc>
        <w:tc>
          <w:tcPr>
            <w:tcW w:w="822" w:type="dxa"/>
            <w:tcBorders>
              <w:bottom w:val="single" w:sz="12" w:space="0" w:color="000000"/>
            </w:tcBorders>
            <w:tcMar>
              <w:bottom w:w="28" w:type="dxa"/>
            </w:tcMar>
            <w:vAlign w:val="bottom"/>
          </w:tcPr>
          <w:p>
            <w:pPr>
              <w:pStyle w:val="TableContents"/>
              <w:bidi w:val="0"/>
              <w:spacing w:before="0" w:after="283"/>
              <w:jc w:val="right"/>
              <w:rPr>
                <w:sz w:val="20"/>
              </w:rPr>
            </w:pPr>
            <w:r>
              <w:rPr>
                <w:sz w:val="20"/>
              </w:rPr>
              <w:t>(23,157</w:t>
            </w:r>
          </w:p>
        </w:tc>
        <w:tc>
          <w:tcPr>
            <w:tcW w:w="80" w:type="dxa"/>
            <w:tcBorders/>
            <w:vAlign w:val="bottom"/>
          </w:tcPr>
          <w:p>
            <w:pPr>
              <w:pStyle w:val="TableContents"/>
              <w:bidi w:val="0"/>
              <w:spacing w:before="0" w:after="283"/>
              <w:jc w:val="left"/>
              <w:rPr>
                <w:sz w:val="20"/>
              </w:rPr>
            </w:pPr>
            <w:r>
              <w:rPr>
                <w:sz w:val="20"/>
              </w:rPr>
              <w:t>)</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0"/>
              <w:jc w:val="left"/>
              <w:rPr>
                <w:sz w:val="20"/>
              </w:rPr>
            </w:pPr>
            <w:r>
              <w:rPr>
                <w:sz w:val="20"/>
              </w:rPr>
              <w:t>$</w:t>
            </w:r>
          </w:p>
        </w:tc>
        <w:tc>
          <w:tcPr>
            <w:tcW w:w="845" w:type="dxa"/>
            <w:tcBorders>
              <w:bottom w:val="single" w:sz="12" w:space="0" w:color="000000"/>
            </w:tcBorders>
            <w:tcMar>
              <w:bottom w:w="28" w:type="dxa"/>
            </w:tcMar>
            <w:vAlign w:val="bottom"/>
          </w:tcPr>
          <w:p>
            <w:pPr>
              <w:pStyle w:val="TableContents"/>
              <w:bidi w:val="0"/>
              <w:spacing w:before="0" w:after="0"/>
              <w:jc w:val="right"/>
              <w:rPr>
                <w:sz w:val="20"/>
              </w:rPr>
            </w:pPr>
            <w:r>
              <w:rPr>
                <w:sz w:val="20"/>
              </w:rPr>
              <w:t>1,244,667</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60" w:type="dxa"/>
            <w:tcBorders>
              <w:bottom w:val="single" w:sz="12" w:space="0" w:color="000000"/>
            </w:tcBorders>
            <w:tcMar>
              <w:bottom w:w="28" w:type="dxa"/>
            </w:tcMar>
            <w:vAlign w:val="bottom"/>
          </w:tcPr>
          <w:p>
            <w:pPr>
              <w:pStyle w:val="TableContents"/>
              <w:bidi w:val="0"/>
              <w:spacing w:before="0" w:after="0"/>
              <w:jc w:val="left"/>
              <w:rPr>
                <w:sz w:val="20"/>
              </w:rPr>
            </w:pPr>
            <w:r>
              <w:rPr>
                <w:sz w:val="20"/>
              </w:rPr>
              <w:t>$</w:t>
            </w:r>
          </w:p>
        </w:tc>
        <w:tc>
          <w:tcPr>
            <w:tcW w:w="970" w:type="dxa"/>
            <w:tcBorders>
              <w:bottom w:val="single" w:sz="12" w:space="0" w:color="000000"/>
            </w:tcBorders>
            <w:tcMar>
              <w:bottom w:w="28" w:type="dxa"/>
            </w:tcMar>
            <w:vAlign w:val="bottom"/>
          </w:tcPr>
          <w:p>
            <w:pPr>
              <w:pStyle w:val="TableContents"/>
              <w:bidi w:val="0"/>
              <w:spacing w:before="0" w:after="0"/>
              <w:jc w:val="right"/>
              <w:rPr>
                <w:sz w:val="20"/>
              </w:rPr>
            </w:pPr>
            <w:r>
              <w:rPr>
                <w:sz w:val="20"/>
              </w:rPr>
              <w:t>(154,183</w:t>
            </w:r>
          </w:p>
        </w:tc>
        <w:tc>
          <w:tcPr>
            <w:tcW w:w="80" w:type="dxa"/>
            <w:tcBorders/>
            <w:vAlign w:val="bottom"/>
          </w:tcPr>
          <w:p>
            <w:pPr>
              <w:pStyle w:val="TableContents"/>
              <w:bidi w:val="0"/>
              <w:spacing w:before="0" w:after="0"/>
              <w:jc w:val="left"/>
              <w:rPr>
                <w:sz w:val="20"/>
              </w:rPr>
            </w:pPr>
            <w:r>
              <w:rPr>
                <w:sz w:val="20"/>
              </w:rPr>
              <w:t>)</w:t>
            </w:r>
          </w:p>
        </w:tc>
        <w:tc>
          <w:tcPr>
            <w:tcW w:w="60" w:type="dxa"/>
            <w:tcBorders/>
            <w:vAlign w:val="bottom"/>
          </w:tcPr>
          <w:p>
            <w:pPr>
              <w:pStyle w:val="TableContents"/>
              <w:bidi w:val="0"/>
              <w:spacing w:before="0" w:after="283"/>
              <w:jc w:val="right"/>
              <w:rPr/>
            </w:pPr>
            <w:r>
              <w:rPr/>
              <w:t> </w:t>
            </w:r>
          </w:p>
        </w:tc>
        <w:tc>
          <w:tcPr>
            <w:tcW w:w="311" w:type="dxa"/>
            <w:tcBorders>
              <w:bottom w:val="single" w:sz="12" w:space="0" w:color="000000"/>
            </w:tcBorders>
            <w:tcMar>
              <w:bottom w:w="28" w:type="dxa"/>
            </w:tcMar>
            <w:vAlign w:val="bottom"/>
          </w:tcPr>
          <w:p>
            <w:pPr>
              <w:pStyle w:val="TableContents"/>
              <w:bidi w:val="0"/>
              <w:spacing w:before="0" w:after="0"/>
              <w:jc w:val="left"/>
              <w:rPr>
                <w:sz w:val="20"/>
              </w:rPr>
            </w:pPr>
            <w:r>
              <w:rPr>
                <w:sz w:val="20"/>
              </w:rPr>
              <w:t>$</w:t>
            </w:r>
          </w:p>
        </w:tc>
        <w:tc>
          <w:tcPr>
            <w:tcW w:w="984" w:type="dxa"/>
            <w:tcBorders>
              <w:bottom w:val="single" w:sz="12" w:space="0" w:color="000000"/>
            </w:tcBorders>
            <w:tcMar>
              <w:bottom w:w="28" w:type="dxa"/>
            </w:tcMar>
            <w:vAlign w:val="bottom"/>
          </w:tcPr>
          <w:p>
            <w:pPr>
              <w:pStyle w:val="TableContents"/>
              <w:bidi w:val="0"/>
              <w:spacing w:before="0" w:after="0"/>
              <w:jc w:val="right"/>
              <w:rPr>
                <w:sz w:val="20"/>
              </w:rPr>
            </w:pPr>
            <w:r>
              <w:rPr>
                <w:sz w:val="20"/>
              </w:rPr>
              <w:t>(218</w:t>
            </w:r>
          </w:p>
        </w:tc>
        <w:tc>
          <w:tcPr>
            <w:tcW w:w="80" w:type="dxa"/>
            <w:tcBorders/>
            <w:vAlign w:val="bottom"/>
          </w:tcPr>
          <w:p>
            <w:pPr>
              <w:pStyle w:val="TableContents"/>
              <w:bidi w:val="0"/>
              <w:spacing w:before="0" w:after="0"/>
              <w:jc w:val="left"/>
              <w:rPr>
                <w:sz w:val="20"/>
              </w:rPr>
            </w:pPr>
            <w:r>
              <w:rPr>
                <w:sz w:val="20"/>
              </w:rPr>
              <w:t>)</w:t>
            </w:r>
          </w:p>
        </w:tc>
        <w:tc>
          <w:tcPr>
            <w:tcW w:w="60" w:type="dxa"/>
            <w:tcBorders/>
            <w:vAlign w:val="bottom"/>
          </w:tcPr>
          <w:p>
            <w:pPr>
              <w:pStyle w:val="TableContents"/>
              <w:bidi w:val="0"/>
              <w:spacing w:before="0" w:after="283"/>
              <w:jc w:val="right"/>
              <w:rPr/>
            </w:pPr>
            <w:r>
              <w:rPr/>
              <w:t> </w:t>
            </w:r>
          </w:p>
        </w:tc>
        <w:tc>
          <w:tcPr>
            <w:tcW w:w="143" w:type="dxa"/>
            <w:tcBorders>
              <w:bottom w:val="single" w:sz="12" w:space="0" w:color="000000"/>
            </w:tcBorders>
            <w:tcMar>
              <w:bottom w:w="28" w:type="dxa"/>
            </w:tcMar>
            <w:vAlign w:val="bottom"/>
          </w:tcPr>
          <w:p>
            <w:pPr>
              <w:pStyle w:val="TableContents"/>
              <w:bidi w:val="0"/>
              <w:spacing w:before="0" w:after="0"/>
              <w:jc w:val="left"/>
              <w:rPr>
                <w:sz w:val="20"/>
              </w:rPr>
            </w:pPr>
            <w:r>
              <w:rPr>
                <w:sz w:val="20"/>
              </w:rPr>
              <w:t>$</w:t>
            </w:r>
          </w:p>
        </w:tc>
        <w:tc>
          <w:tcPr>
            <w:tcW w:w="972" w:type="dxa"/>
            <w:tcBorders>
              <w:bottom w:val="single" w:sz="12" w:space="0" w:color="000000"/>
            </w:tcBorders>
            <w:tcMar>
              <w:bottom w:w="28" w:type="dxa"/>
            </w:tcMar>
            <w:vAlign w:val="bottom"/>
          </w:tcPr>
          <w:p>
            <w:pPr>
              <w:pStyle w:val="TableContents"/>
              <w:bidi w:val="0"/>
              <w:spacing w:before="0" w:after="0"/>
              <w:jc w:val="right"/>
              <w:rPr>
                <w:sz w:val="20"/>
              </w:rPr>
            </w:pPr>
            <w:r>
              <w:rPr>
                <w:sz w:val="20"/>
              </w:rPr>
              <w:t>1,067,109</w:t>
            </w:r>
          </w:p>
        </w:tc>
        <w:tc>
          <w:tcPr>
            <w:tcW w:w="80" w:type="dxa"/>
            <w:tcBorders/>
            <w:vAlign w:val="bottom"/>
          </w:tcPr>
          <w:p>
            <w:pPr>
              <w:pStyle w:val="TableContents"/>
              <w:bidi w:val="0"/>
              <w:spacing w:before="0" w:after="283"/>
              <w:jc w:val="left"/>
              <w:rPr/>
            </w:pPr>
            <w:r>
              <w:rPr/>
              <w:t> </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2748"/>
        <w:gridCol w:w="60"/>
        <w:gridCol w:w="60"/>
        <w:gridCol w:w="1055"/>
        <w:gridCol w:w="60"/>
        <w:gridCol w:w="60"/>
        <w:gridCol w:w="225"/>
        <w:gridCol w:w="470"/>
        <w:gridCol w:w="60"/>
        <w:gridCol w:w="60"/>
        <w:gridCol w:w="185"/>
        <w:gridCol w:w="1032"/>
        <w:gridCol w:w="80"/>
        <w:gridCol w:w="60"/>
        <w:gridCol w:w="185"/>
        <w:gridCol w:w="965"/>
        <w:gridCol w:w="80"/>
        <w:gridCol w:w="60"/>
        <w:gridCol w:w="244"/>
        <w:gridCol w:w="1070"/>
        <w:gridCol w:w="80"/>
        <w:gridCol w:w="60"/>
        <w:gridCol w:w="175"/>
        <w:gridCol w:w="987"/>
        <w:gridCol w:w="84"/>
      </w:tblGrid>
      <w:tr>
        <w:trPr/>
        <w:tc>
          <w:tcPr>
            <w:tcW w:w="27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center"/>
              <w:rPr/>
            </w:pPr>
            <w:r>
              <w:rPr/>
              <w:t> </w:t>
            </w:r>
          </w:p>
        </w:tc>
        <w:tc>
          <w:tcPr>
            <w:tcW w:w="1930" w:type="dxa"/>
            <w:gridSpan w:val="6"/>
            <w:tcBorders>
              <w:bottom w:val="single" w:sz="12" w:space="0" w:color="000000"/>
            </w:tcBorders>
            <w:tcMar>
              <w:bottom w:w="28" w:type="dxa"/>
            </w:tcMar>
            <w:vAlign w:val="bottom"/>
          </w:tcPr>
          <w:p>
            <w:pPr>
              <w:pStyle w:val="TableContents"/>
              <w:bidi w:val="0"/>
              <w:spacing w:before="0" w:after="283"/>
              <w:jc w:val="center"/>
              <w:rPr>
                <w:b/>
                <w:sz w:val="20"/>
              </w:rPr>
            </w:pPr>
            <w:r>
              <w:rPr>
                <w:b/>
                <w:sz w:val="20"/>
              </w:rPr>
              <w:t>Ordinary shares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17" w:type="dxa"/>
            <w:gridSpan w:val="2"/>
            <w:tcBorders/>
            <w:vAlign w:val="bottom"/>
          </w:tcPr>
          <w:p>
            <w:pPr>
              <w:pStyle w:val="TableContents"/>
              <w:bidi w:val="0"/>
              <w:spacing w:before="0" w:after="283"/>
              <w:jc w:val="left"/>
              <w:rPr>
                <w:sz w:val="4"/>
                <w:szCs w:val="4"/>
              </w:rPr>
            </w:pPr>
            <w:r>
              <w:rPr>
                <w:sz w:val="4"/>
                <w:szCs w:val="4"/>
              </w:rPr>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50" w:type="dxa"/>
            <w:gridSpan w:val="2"/>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14" w:type="dxa"/>
            <w:gridSpan w:val="2"/>
            <w:tcBorders/>
            <w:vAlign w:val="bottom"/>
          </w:tcPr>
          <w:p>
            <w:pPr>
              <w:pStyle w:val="TableContents"/>
              <w:bidi w:val="0"/>
              <w:spacing w:before="0" w:after="283"/>
              <w:jc w:val="center"/>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62" w:type="dxa"/>
            <w:gridSpan w:val="2"/>
            <w:tcBorders/>
            <w:vAlign w:val="bottom"/>
          </w:tcPr>
          <w:p>
            <w:pPr>
              <w:pStyle w:val="TableContents"/>
              <w:bidi w:val="0"/>
              <w:spacing w:before="0" w:after="283"/>
              <w:jc w:val="left"/>
              <w:rPr>
                <w:sz w:val="4"/>
                <w:szCs w:val="4"/>
              </w:rPr>
            </w:pPr>
            <w:r>
              <w:rPr>
                <w:sz w:val="4"/>
                <w:szCs w:val="4"/>
              </w:rPr>
            </w:r>
          </w:p>
        </w:tc>
        <w:tc>
          <w:tcPr>
            <w:tcW w:w="84" w:type="dxa"/>
            <w:tcBorders/>
            <w:vAlign w:val="bottom"/>
          </w:tcPr>
          <w:p>
            <w:pPr>
              <w:pStyle w:val="TableContents"/>
              <w:bidi w:val="0"/>
              <w:spacing w:before="0" w:after="283"/>
              <w:jc w:val="left"/>
              <w:rPr/>
            </w:pPr>
            <w:r>
              <w:rPr/>
              <w:t> </w:t>
            </w:r>
          </w:p>
        </w:tc>
      </w:tr>
      <w:tr>
        <w:trPr/>
        <w:tc>
          <w:tcPr>
            <w:tcW w:w="27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5" w:type="dxa"/>
            <w:gridSpan w:val="2"/>
            <w:tcBorders>
              <w:bottom w:val="single" w:sz="12" w:space="0" w:color="000000"/>
            </w:tcBorders>
            <w:tcMar>
              <w:bottom w:w="28" w:type="dxa"/>
            </w:tcMar>
            <w:vAlign w:val="bottom"/>
          </w:tcPr>
          <w:p>
            <w:pPr>
              <w:pStyle w:val="TableContents"/>
              <w:bidi w:val="0"/>
              <w:spacing w:before="0" w:after="0"/>
              <w:jc w:val="center"/>
              <w:rPr>
                <w:b/>
                <w:sz w:val="20"/>
              </w:rPr>
            </w:pPr>
            <w:r>
              <w:rPr>
                <w:b/>
                <w:sz w:val="20"/>
              </w:rPr>
              <w:t>Number</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95" w:type="dxa"/>
            <w:gridSpan w:val="2"/>
            <w:tcBorders>
              <w:bottom w:val="single" w:sz="12" w:space="0" w:color="000000"/>
            </w:tcBorders>
            <w:tcMar>
              <w:bottom w:w="28" w:type="dxa"/>
            </w:tcMar>
            <w:vAlign w:val="bottom"/>
          </w:tcPr>
          <w:p>
            <w:pPr>
              <w:pStyle w:val="TableContents"/>
              <w:bidi w:val="0"/>
              <w:spacing w:before="0" w:after="0"/>
              <w:jc w:val="center"/>
              <w:rPr>
                <w:b/>
                <w:sz w:val="20"/>
              </w:rPr>
            </w:pPr>
            <w:r>
              <w:rPr>
                <w:b/>
                <w:sz w:val="20"/>
              </w:rPr>
              <w:t>Amount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17" w:type="dxa"/>
            <w:gridSpan w:val="2"/>
            <w:tcBorders>
              <w:bottom w:val="single" w:sz="12" w:space="0" w:color="000000"/>
            </w:tcBorders>
            <w:tcMar>
              <w:bottom w:w="28" w:type="dxa"/>
            </w:tcMar>
            <w:vAlign w:val="bottom"/>
          </w:tcPr>
          <w:p>
            <w:pPr>
              <w:pStyle w:val="TableContents"/>
              <w:bidi w:val="0"/>
              <w:spacing w:before="0" w:after="0"/>
              <w:jc w:val="center"/>
              <w:rPr>
                <w:b/>
                <w:sz w:val="20"/>
              </w:rPr>
            </w:pPr>
            <w:r>
              <w:rPr>
                <w:b/>
                <w:sz w:val="20"/>
              </w:rPr>
              <w:t>Additional paid-in</w:t>
            </w:r>
          </w:p>
          <w:p>
            <w:pPr>
              <w:pStyle w:val="TableContents"/>
              <w:bidi w:val="0"/>
              <w:spacing w:before="0" w:after="0"/>
              <w:jc w:val="center"/>
              <w:rPr>
                <w:b/>
                <w:sz w:val="20"/>
              </w:rPr>
            </w:pPr>
            <w:r>
              <w:rPr>
                <w:b/>
                <w:sz w:val="20"/>
              </w:rPr>
              <w:t>capital</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50" w:type="dxa"/>
            <w:gridSpan w:val="2"/>
            <w:tcBorders>
              <w:bottom w:val="single" w:sz="12" w:space="0" w:color="000000"/>
            </w:tcBorders>
            <w:tcMar>
              <w:bottom w:w="28" w:type="dxa"/>
            </w:tcMar>
            <w:vAlign w:val="bottom"/>
          </w:tcPr>
          <w:p>
            <w:pPr>
              <w:pStyle w:val="TableContents"/>
              <w:bidi w:val="0"/>
              <w:spacing w:before="0" w:after="0"/>
              <w:jc w:val="center"/>
              <w:rPr>
                <w:b/>
                <w:sz w:val="20"/>
              </w:rPr>
            </w:pPr>
            <w:r>
              <w:rPr>
                <w:b/>
                <w:sz w:val="20"/>
              </w:rPr>
              <w:t xml:space="preserve">Accumulated </w:t>
            </w:r>
          </w:p>
          <w:p>
            <w:pPr>
              <w:pStyle w:val="TableContents"/>
              <w:bidi w:val="0"/>
              <w:spacing w:before="0" w:after="0"/>
              <w:jc w:val="center"/>
              <w:rPr>
                <w:b/>
                <w:sz w:val="20"/>
              </w:rPr>
            </w:pPr>
            <w:r>
              <w:rPr>
                <w:b/>
                <w:sz w:val="20"/>
              </w:rPr>
              <w:t>deficit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14" w:type="dxa"/>
            <w:gridSpan w:val="2"/>
            <w:tcBorders>
              <w:bottom w:val="single" w:sz="12" w:space="0" w:color="000000"/>
            </w:tcBorders>
            <w:tcMar>
              <w:bottom w:w="28" w:type="dxa"/>
            </w:tcMar>
            <w:vAlign w:val="bottom"/>
          </w:tcPr>
          <w:p>
            <w:pPr>
              <w:pStyle w:val="TableContents"/>
              <w:bidi w:val="0"/>
              <w:spacing w:before="0" w:after="0"/>
              <w:jc w:val="center"/>
              <w:rPr>
                <w:b/>
                <w:sz w:val="20"/>
              </w:rPr>
            </w:pPr>
            <w:r>
              <w:rPr>
                <w:b/>
                <w:sz w:val="20"/>
              </w:rPr>
              <w:t>Accumulated</w:t>
            </w:r>
          </w:p>
          <w:p>
            <w:pPr>
              <w:pStyle w:val="TableContents"/>
              <w:bidi w:val="0"/>
              <w:spacing w:before="0" w:after="0"/>
              <w:jc w:val="center"/>
              <w:rPr>
                <w:b/>
                <w:sz w:val="20"/>
              </w:rPr>
            </w:pPr>
            <w:r>
              <w:rPr>
                <w:b/>
                <w:sz w:val="20"/>
              </w:rPr>
              <w:t xml:space="preserve">other </w:t>
            </w:r>
          </w:p>
          <w:p>
            <w:pPr>
              <w:pStyle w:val="TableContents"/>
              <w:bidi w:val="0"/>
              <w:spacing w:before="0" w:after="0"/>
              <w:jc w:val="center"/>
              <w:rPr>
                <w:b/>
                <w:sz w:val="20"/>
              </w:rPr>
            </w:pPr>
            <w:r>
              <w:rPr>
                <w:b/>
                <w:sz w:val="20"/>
              </w:rPr>
              <w:t xml:space="preserve">comprehensive </w:t>
            </w:r>
          </w:p>
          <w:p>
            <w:pPr>
              <w:pStyle w:val="TableContents"/>
              <w:bidi w:val="0"/>
              <w:spacing w:before="0" w:after="0"/>
              <w:jc w:val="center"/>
              <w:rPr>
                <w:b/>
                <w:sz w:val="20"/>
              </w:rPr>
            </w:pPr>
            <w:r>
              <w:rPr>
                <w:b/>
                <w:sz w:val="20"/>
              </w:rPr>
              <w:t>loss</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62" w:type="dxa"/>
            <w:gridSpan w:val="2"/>
            <w:tcBorders>
              <w:bottom w:val="single" w:sz="12" w:space="0" w:color="000000"/>
            </w:tcBorders>
            <w:tcMar>
              <w:bottom w:w="28" w:type="dxa"/>
            </w:tcMar>
            <w:vAlign w:val="bottom"/>
          </w:tcPr>
          <w:p>
            <w:pPr>
              <w:pStyle w:val="TableContents"/>
              <w:bidi w:val="0"/>
              <w:spacing w:before="0" w:after="0"/>
              <w:jc w:val="center"/>
              <w:rPr>
                <w:b/>
                <w:sz w:val="20"/>
              </w:rPr>
            </w:pPr>
            <w:r>
              <w:rPr>
                <w:b/>
                <w:sz w:val="20"/>
              </w:rPr>
              <w:t>Total</w:t>
            </w:r>
          </w:p>
          <w:p>
            <w:pPr>
              <w:pStyle w:val="TableContents"/>
              <w:bidi w:val="0"/>
              <w:spacing w:before="0" w:after="0"/>
              <w:jc w:val="center"/>
              <w:rPr>
                <w:b/>
                <w:sz w:val="20"/>
              </w:rPr>
            </w:pPr>
            <w:r>
              <w:rPr>
                <w:b/>
                <w:sz w:val="20"/>
              </w:rPr>
              <w:t xml:space="preserve">shareholders’ </w:t>
            </w:r>
          </w:p>
          <w:p>
            <w:pPr>
              <w:pStyle w:val="TableContents"/>
              <w:bidi w:val="0"/>
              <w:spacing w:before="0" w:after="0"/>
              <w:jc w:val="center"/>
              <w:rPr>
                <w:b/>
                <w:sz w:val="20"/>
              </w:rPr>
            </w:pPr>
            <w:r>
              <w:rPr>
                <w:b/>
                <w:sz w:val="20"/>
              </w:rPr>
              <w:t>equity</w:t>
            </w:r>
          </w:p>
        </w:tc>
        <w:tc>
          <w:tcPr>
            <w:tcW w:w="84" w:type="dxa"/>
            <w:tcBorders/>
            <w:vAlign w:val="bottom"/>
          </w:tcPr>
          <w:p>
            <w:pPr>
              <w:pStyle w:val="TableContents"/>
              <w:bidi w:val="0"/>
              <w:spacing w:before="0" w:after="283"/>
              <w:jc w:val="left"/>
              <w:rPr/>
            </w:pPr>
            <w:r>
              <w:rPr/>
              <w:t> </w:t>
            </w:r>
          </w:p>
        </w:tc>
      </w:tr>
      <w:tr>
        <w:trPr/>
        <w:tc>
          <w:tcPr>
            <w:tcW w:w="2748" w:type="dxa"/>
            <w:tcBorders/>
            <w:vAlign w:val="bottom"/>
          </w:tcPr>
          <w:p>
            <w:pPr>
              <w:pStyle w:val="TableContents"/>
              <w:bidi w:val="0"/>
              <w:spacing w:before="0" w:after="0"/>
              <w:ind w:left="180" w:right="0" w:hanging="180"/>
              <w:jc w:val="left"/>
              <w:rPr/>
            </w:pPr>
            <w:r>
              <w:rPr/>
              <w:t> </w:t>
            </w:r>
          </w:p>
        </w:tc>
        <w:tc>
          <w:tcPr>
            <w:tcW w:w="60" w:type="dxa"/>
            <w:tcBorders/>
            <w:vAlign w:val="bottom"/>
          </w:tcPr>
          <w:p>
            <w:pPr>
              <w:pStyle w:val="TableContents"/>
              <w:bidi w:val="0"/>
              <w:spacing w:before="0" w:after="283"/>
              <w:jc w:val="left"/>
              <w:rPr/>
            </w:pPr>
            <w:r>
              <w:rPr/>
              <w:t> </w:t>
            </w:r>
          </w:p>
        </w:tc>
        <w:tc>
          <w:tcPr>
            <w:tcW w:w="1115"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95"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17" w:type="dxa"/>
            <w:gridSpan w:val="2"/>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50" w:type="dxa"/>
            <w:gridSpan w:val="2"/>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14" w:type="dxa"/>
            <w:gridSpan w:val="2"/>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62" w:type="dxa"/>
            <w:gridSpan w:val="2"/>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r>
      <w:tr>
        <w:trPr/>
        <w:tc>
          <w:tcPr>
            <w:tcW w:w="2748" w:type="dxa"/>
            <w:tcBorders/>
            <w:shd w:fill="CCEEFF" w:val="clear"/>
            <w:vAlign w:val="bottom"/>
          </w:tcPr>
          <w:p>
            <w:pPr>
              <w:pStyle w:val="TableContents"/>
              <w:bidi w:val="0"/>
              <w:spacing w:before="0" w:after="0"/>
              <w:ind w:left="360" w:right="0" w:hanging="0"/>
              <w:jc w:val="left"/>
              <w:rPr>
                <w:sz w:val="20"/>
              </w:rPr>
            </w:pPr>
            <w:r>
              <w:rPr>
                <w:sz w:val="20"/>
              </w:rPr>
              <w:t>Balance as of January 1, 2022</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055" w:type="dxa"/>
            <w:tcBorders/>
            <w:shd w:fill="CCEEFF" w:val="clear"/>
            <w:vAlign w:val="bottom"/>
          </w:tcPr>
          <w:p>
            <w:pPr>
              <w:pStyle w:val="TableContents"/>
              <w:bidi w:val="0"/>
              <w:spacing w:before="0" w:after="0"/>
              <w:jc w:val="right"/>
              <w:rPr>
                <w:sz w:val="20"/>
              </w:rPr>
            </w:pPr>
            <w:r>
              <w:rPr>
                <w:sz w:val="20"/>
              </w:rPr>
              <w:t>234,031,749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25" w:type="dxa"/>
            <w:tcBorders/>
            <w:shd w:fill="CCEEFF" w:val="clear"/>
            <w:vAlign w:val="bottom"/>
          </w:tcPr>
          <w:p>
            <w:pPr>
              <w:pStyle w:val="TableContents"/>
              <w:bidi w:val="0"/>
              <w:spacing w:before="0" w:after="0"/>
              <w:jc w:val="left"/>
              <w:rPr>
                <w:sz w:val="20"/>
              </w:rPr>
            </w:pPr>
            <w:r>
              <w:rPr>
                <w:sz w:val="20"/>
              </w:rPr>
              <w:t>$</w:t>
            </w:r>
          </w:p>
        </w:tc>
        <w:tc>
          <w:tcPr>
            <w:tcW w:w="470" w:type="dxa"/>
            <w:tcBorders/>
            <w:shd w:fill="CCEEFF" w:val="clear"/>
            <w:vAlign w:val="bottom"/>
          </w:tcPr>
          <w:p>
            <w:pPr>
              <w:pStyle w:val="TableContents"/>
              <w:bidi w:val="0"/>
              <w:spacing w:before="0" w:after="0"/>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85" w:type="dxa"/>
            <w:tcBorders/>
            <w:shd w:fill="CCEEFF" w:val="clear"/>
            <w:vAlign w:val="bottom"/>
          </w:tcPr>
          <w:p>
            <w:pPr>
              <w:pStyle w:val="TableContents"/>
              <w:bidi w:val="0"/>
              <w:spacing w:before="0" w:after="0"/>
              <w:jc w:val="left"/>
              <w:rPr>
                <w:sz w:val="20"/>
              </w:rPr>
            </w:pPr>
            <w:r>
              <w:rPr>
                <w:sz w:val="20"/>
              </w:rPr>
              <w:t>$</w:t>
            </w:r>
          </w:p>
        </w:tc>
        <w:tc>
          <w:tcPr>
            <w:tcW w:w="1032" w:type="dxa"/>
            <w:tcBorders/>
            <w:shd w:fill="CCEEFF" w:val="clear"/>
            <w:vAlign w:val="bottom"/>
          </w:tcPr>
          <w:p>
            <w:pPr>
              <w:pStyle w:val="TableContents"/>
              <w:bidi w:val="0"/>
              <w:spacing w:before="0" w:after="0"/>
              <w:jc w:val="right"/>
              <w:rPr>
                <w:sz w:val="20"/>
              </w:rPr>
            </w:pPr>
            <w:r>
              <w:rPr>
                <w:sz w:val="20"/>
              </w:rPr>
              <w:t>824,016</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85" w:type="dxa"/>
            <w:tcBorders/>
            <w:shd w:fill="CCEEFF" w:val="clear"/>
            <w:vAlign w:val="bottom"/>
          </w:tcPr>
          <w:p>
            <w:pPr>
              <w:pStyle w:val="TableContents"/>
              <w:bidi w:val="0"/>
              <w:spacing w:before="0" w:after="0"/>
              <w:jc w:val="left"/>
              <w:rPr>
                <w:sz w:val="20"/>
              </w:rPr>
            </w:pPr>
            <w:r>
              <w:rPr>
                <w:sz w:val="20"/>
              </w:rPr>
              <w:t>$</w:t>
            </w:r>
          </w:p>
        </w:tc>
        <w:tc>
          <w:tcPr>
            <w:tcW w:w="965" w:type="dxa"/>
            <w:tcBorders/>
            <w:shd w:fill="CCEEFF" w:val="clear"/>
            <w:vAlign w:val="bottom"/>
          </w:tcPr>
          <w:p>
            <w:pPr>
              <w:pStyle w:val="TableContents"/>
              <w:bidi w:val="0"/>
              <w:spacing w:before="0" w:after="0"/>
              <w:jc w:val="right"/>
              <w:rPr>
                <w:sz w:val="20"/>
              </w:rPr>
            </w:pPr>
            <w:r>
              <w:rPr>
                <w:sz w:val="20"/>
              </w:rPr>
              <w:t>(56,445</w:t>
            </w:r>
          </w:p>
        </w:tc>
        <w:tc>
          <w:tcPr>
            <w:tcW w:w="80" w:type="dxa"/>
            <w:tcBorders/>
            <w:shd w:fill="CCEEFF" w:val="clear"/>
            <w:vAlign w:val="bottom"/>
          </w:tcPr>
          <w:p>
            <w:pPr>
              <w:pStyle w:val="TableContents"/>
              <w:bidi w:val="0"/>
              <w:spacing w:before="0" w:after="0"/>
              <w:jc w:val="left"/>
              <w:rPr>
                <w:sz w:val="20"/>
              </w:rPr>
            </w:pPr>
            <w:r>
              <w:rPr>
                <w:sz w:val="20"/>
              </w:rPr>
              <w:t>)</w:t>
            </w:r>
          </w:p>
        </w:tc>
        <w:tc>
          <w:tcPr>
            <w:tcW w:w="60" w:type="dxa"/>
            <w:tcBorders/>
            <w:shd w:fill="CCEEFF" w:val="clear"/>
            <w:vAlign w:val="bottom"/>
          </w:tcPr>
          <w:p>
            <w:pPr>
              <w:pStyle w:val="TableContents"/>
              <w:bidi w:val="0"/>
              <w:spacing w:before="0" w:after="283"/>
              <w:jc w:val="right"/>
              <w:rPr/>
            </w:pPr>
            <w:r>
              <w:rPr/>
              <w:t> </w:t>
            </w:r>
          </w:p>
        </w:tc>
        <w:tc>
          <w:tcPr>
            <w:tcW w:w="244" w:type="dxa"/>
            <w:tcBorders/>
            <w:shd w:fill="CCEEFF" w:val="clear"/>
            <w:vAlign w:val="bottom"/>
          </w:tcPr>
          <w:p>
            <w:pPr>
              <w:pStyle w:val="TableContents"/>
              <w:bidi w:val="0"/>
              <w:spacing w:before="0" w:after="0"/>
              <w:jc w:val="left"/>
              <w:rPr>
                <w:sz w:val="20"/>
              </w:rPr>
            </w:pPr>
            <w:r>
              <w:rPr>
                <w:sz w:val="20"/>
              </w:rPr>
              <w:t>$</w:t>
            </w:r>
          </w:p>
        </w:tc>
        <w:tc>
          <w:tcPr>
            <w:tcW w:w="1070" w:type="dxa"/>
            <w:tcBorders/>
            <w:shd w:fill="CCEEFF" w:val="clear"/>
            <w:vAlign w:val="bottom"/>
          </w:tcPr>
          <w:p>
            <w:pPr>
              <w:pStyle w:val="TableContents"/>
              <w:bidi w:val="0"/>
              <w:spacing w:before="0" w:after="0"/>
              <w:jc w:val="right"/>
              <w:rPr/>
            </w:pPr>
            <w:r>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75" w:type="dxa"/>
            <w:tcBorders/>
            <w:shd w:fill="CCEEFF" w:val="clear"/>
            <w:vAlign w:val="bottom"/>
          </w:tcPr>
          <w:p>
            <w:pPr>
              <w:pStyle w:val="TableContents"/>
              <w:bidi w:val="0"/>
              <w:spacing w:before="0" w:after="0"/>
              <w:jc w:val="left"/>
              <w:rPr>
                <w:sz w:val="20"/>
              </w:rPr>
            </w:pPr>
            <w:r>
              <w:rPr>
                <w:sz w:val="20"/>
              </w:rPr>
              <w:t>$</w:t>
            </w:r>
          </w:p>
        </w:tc>
        <w:tc>
          <w:tcPr>
            <w:tcW w:w="987" w:type="dxa"/>
            <w:tcBorders/>
            <w:shd w:fill="CCEEFF" w:val="clear"/>
            <w:vAlign w:val="bottom"/>
          </w:tcPr>
          <w:p>
            <w:pPr>
              <w:pStyle w:val="TableContents"/>
              <w:bidi w:val="0"/>
              <w:spacing w:before="0" w:after="0"/>
              <w:jc w:val="right"/>
              <w:rPr>
                <w:sz w:val="20"/>
              </w:rPr>
            </w:pPr>
            <w:r>
              <w:rPr>
                <w:sz w:val="20"/>
              </w:rPr>
              <w:t>767,571</w:t>
            </w:r>
          </w:p>
        </w:tc>
        <w:tc>
          <w:tcPr>
            <w:tcW w:w="84" w:type="dxa"/>
            <w:tcBorders/>
            <w:shd w:fill="CCEEFF" w:val="clear"/>
            <w:vAlign w:val="bottom"/>
          </w:tcPr>
          <w:p>
            <w:pPr>
              <w:pStyle w:val="TableContents"/>
              <w:bidi w:val="0"/>
              <w:spacing w:before="0" w:after="283"/>
              <w:jc w:val="left"/>
              <w:rPr/>
            </w:pPr>
            <w:r>
              <w:rPr/>
              <w:t> </w:t>
            </w:r>
          </w:p>
        </w:tc>
      </w:tr>
      <w:tr>
        <w:trPr/>
        <w:tc>
          <w:tcPr>
            <w:tcW w:w="2748" w:type="dxa"/>
            <w:tcBorders/>
            <w:vAlign w:val="bottom"/>
          </w:tcPr>
          <w:p>
            <w:pPr>
              <w:pStyle w:val="TableContents"/>
              <w:bidi w:val="0"/>
              <w:spacing w:before="0" w:after="0"/>
              <w:ind w:left="360" w:right="0" w:hanging="360"/>
              <w:jc w:val="left"/>
              <w:rPr>
                <w:sz w:val="20"/>
              </w:rPr>
            </w:pPr>
            <w:r>
              <w:rPr>
                <w:sz w:val="20"/>
              </w:rPr>
              <w:t>Share-based compensation expenses</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055" w:type="dxa"/>
            <w:tcBorders/>
            <w:vAlign w:val="bottom"/>
          </w:tcPr>
          <w:p>
            <w:pPr>
              <w:pStyle w:val="TableContents"/>
              <w:bidi w:val="0"/>
              <w:spacing w:before="0" w:after="0"/>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25" w:type="dxa"/>
            <w:tcBorders/>
            <w:vAlign w:val="bottom"/>
          </w:tcPr>
          <w:p>
            <w:pPr>
              <w:pStyle w:val="TableContents"/>
              <w:bidi w:val="0"/>
              <w:spacing w:before="0" w:after="283"/>
              <w:jc w:val="left"/>
              <w:rPr/>
            </w:pPr>
            <w:r>
              <w:rPr/>
              <w:t> </w:t>
            </w:r>
          </w:p>
        </w:tc>
        <w:tc>
          <w:tcPr>
            <w:tcW w:w="470" w:type="dxa"/>
            <w:tcBorders/>
            <w:vAlign w:val="bottom"/>
          </w:tcPr>
          <w:p>
            <w:pPr>
              <w:pStyle w:val="TableContents"/>
              <w:bidi w:val="0"/>
              <w:spacing w:before="0" w:after="0"/>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c>
          <w:tcPr>
            <w:tcW w:w="1032" w:type="dxa"/>
            <w:tcBorders/>
            <w:vAlign w:val="bottom"/>
          </w:tcPr>
          <w:p>
            <w:pPr>
              <w:pStyle w:val="TableContents"/>
              <w:bidi w:val="0"/>
              <w:spacing w:before="0" w:after="0"/>
              <w:jc w:val="right"/>
              <w:rPr>
                <w:sz w:val="20"/>
              </w:rPr>
            </w:pPr>
            <w:r>
              <w:rPr>
                <w:sz w:val="20"/>
              </w:rPr>
              <w:t>60,431</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c>
          <w:tcPr>
            <w:tcW w:w="965" w:type="dxa"/>
            <w:tcBorders/>
            <w:vAlign w:val="bottom"/>
          </w:tcPr>
          <w:p>
            <w:pPr>
              <w:pStyle w:val="TableContents"/>
              <w:bidi w:val="0"/>
              <w:spacing w:before="0" w:after="0"/>
              <w:jc w:val="right"/>
              <w:rPr/>
            </w:pPr>
            <w:r>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44" w:type="dxa"/>
            <w:tcBorders/>
            <w:vAlign w:val="bottom"/>
          </w:tcPr>
          <w:p>
            <w:pPr>
              <w:pStyle w:val="TableContents"/>
              <w:bidi w:val="0"/>
              <w:spacing w:before="0" w:after="283"/>
              <w:jc w:val="left"/>
              <w:rPr/>
            </w:pPr>
            <w:r>
              <w:rPr/>
              <w:t> </w:t>
            </w:r>
          </w:p>
        </w:tc>
        <w:tc>
          <w:tcPr>
            <w:tcW w:w="1070" w:type="dxa"/>
            <w:tcBorders/>
            <w:vAlign w:val="bottom"/>
          </w:tcPr>
          <w:p>
            <w:pPr>
              <w:pStyle w:val="TableContents"/>
              <w:bidi w:val="0"/>
              <w:spacing w:before="0" w:after="0"/>
              <w:jc w:val="right"/>
              <w:rPr/>
            </w:pPr>
            <w:r>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75" w:type="dxa"/>
            <w:tcBorders/>
            <w:vAlign w:val="bottom"/>
          </w:tcPr>
          <w:p>
            <w:pPr>
              <w:pStyle w:val="TableContents"/>
              <w:bidi w:val="0"/>
              <w:spacing w:before="0" w:after="283"/>
              <w:jc w:val="left"/>
              <w:rPr/>
            </w:pPr>
            <w:r>
              <w:rPr/>
              <w:t> </w:t>
            </w:r>
          </w:p>
        </w:tc>
        <w:tc>
          <w:tcPr>
            <w:tcW w:w="987" w:type="dxa"/>
            <w:tcBorders/>
            <w:vAlign w:val="bottom"/>
          </w:tcPr>
          <w:p>
            <w:pPr>
              <w:pStyle w:val="TableContents"/>
              <w:bidi w:val="0"/>
              <w:spacing w:before="0" w:after="0"/>
              <w:jc w:val="right"/>
              <w:rPr>
                <w:sz w:val="20"/>
              </w:rPr>
            </w:pPr>
            <w:r>
              <w:rPr>
                <w:sz w:val="20"/>
              </w:rPr>
              <w:t>60,431</w:t>
            </w:r>
          </w:p>
        </w:tc>
        <w:tc>
          <w:tcPr>
            <w:tcW w:w="84" w:type="dxa"/>
            <w:tcBorders/>
            <w:vAlign w:val="bottom"/>
          </w:tcPr>
          <w:p>
            <w:pPr>
              <w:pStyle w:val="TableContents"/>
              <w:bidi w:val="0"/>
              <w:spacing w:before="0" w:after="283"/>
              <w:jc w:val="left"/>
              <w:rPr/>
            </w:pPr>
            <w:r>
              <w:rPr/>
              <w:t> </w:t>
            </w:r>
          </w:p>
        </w:tc>
      </w:tr>
      <w:tr>
        <w:trPr/>
        <w:tc>
          <w:tcPr>
            <w:tcW w:w="2748" w:type="dxa"/>
            <w:tcBorders/>
            <w:shd w:fill="CCEEFF" w:val="clear"/>
            <w:vAlign w:val="bottom"/>
          </w:tcPr>
          <w:p>
            <w:pPr>
              <w:pStyle w:val="TableContents"/>
              <w:bidi w:val="0"/>
              <w:spacing w:before="0" w:after="0"/>
              <w:ind w:left="360" w:right="0" w:hanging="360"/>
              <w:jc w:val="left"/>
              <w:rPr>
                <w:sz w:val="20"/>
              </w:rPr>
            </w:pPr>
            <w:r>
              <w:rPr>
                <w:sz w:val="20"/>
              </w:rPr>
              <w:t>Exercise of options and vested RSUs</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055" w:type="dxa"/>
            <w:tcBorders/>
            <w:shd w:fill="CCEEFF" w:val="clear"/>
            <w:vAlign w:val="bottom"/>
          </w:tcPr>
          <w:p>
            <w:pPr>
              <w:pStyle w:val="TableContents"/>
              <w:bidi w:val="0"/>
              <w:spacing w:before="0" w:after="0"/>
              <w:jc w:val="right"/>
              <w:rPr>
                <w:sz w:val="20"/>
              </w:rPr>
            </w:pPr>
            <w:r>
              <w:rPr>
                <w:sz w:val="20"/>
              </w:rPr>
              <w:t>12,089,665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25" w:type="dxa"/>
            <w:tcBorders/>
            <w:shd w:fill="CCEEFF" w:val="clear"/>
            <w:vAlign w:val="bottom"/>
          </w:tcPr>
          <w:p>
            <w:pPr>
              <w:pStyle w:val="TableContents"/>
              <w:bidi w:val="0"/>
              <w:spacing w:before="0" w:after="283"/>
              <w:jc w:val="left"/>
              <w:rPr/>
            </w:pPr>
            <w:r>
              <w:rPr/>
              <w:t> </w:t>
            </w:r>
          </w:p>
        </w:tc>
        <w:tc>
          <w:tcPr>
            <w:tcW w:w="470" w:type="dxa"/>
            <w:tcBorders/>
            <w:shd w:fill="CCEEFF" w:val="clear"/>
            <w:vAlign w:val="bottom"/>
          </w:tcPr>
          <w:p>
            <w:pPr>
              <w:pStyle w:val="TableContents"/>
              <w:bidi w:val="0"/>
              <w:spacing w:before="0" w:after="0"/>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85" w:type="dxa"/>
            <w:tcBorders/>
            <w:shd w:fill="CCEEFF" w:val="clear"/>
            <w:vAlign w:val="bottom"/>
          </w:tcPr>
          <w:p>
            <w:pPr>
              <w:pStyle w:val="TableContents"/>
              <w:bidi w:val="0"/>
              <w:spacing w:before="0" w:after="283"/>
              <w:jc w:val="left"/>
              <w:rPr/>
            </w:pPr>
            <w:r>
              <w:rPr/>
              <w:t> </w:t>
            </w:r>
          </w:p>
        </w:tc>
        <w:tc>
          <w:tcPr>
            <w:tcW w:w="1032" w:type="dxa"/>
            <w:tcBorders/>
            <w:shd w:fill="CCEEFF" w:val="clear"/>
            <w:vAlign w:val="bottom"/>
          </w:tcPr>
          <w:p>
            <w:pPr>
              <w:pStyle w:val="TableContents"/>
              <w:bidi w:val="0"/>
              <w:spacing w:before="0" w:after="0"/>
              <w:jc w:val="right"/>
              <w:rPr>
                <w:sz w:val="20"/>
              </w:rPr>
            </w:pPr>
            <w:r>
              <w:rPr>
                <w:sz w:val="20"/>
              </w:rPr>
              <w:t>7,508</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85" w:type="dxa"/>
            <w:tcBorders/>
            <w:shd w:fill="CCEEFF" w:val="clear"/>
            <w:vAlign w:val="bottom"/>
          </w:tcPr>
          <w:p>
            <w:pPr>
              <w:pStyle w:val="TableContents"/>
              <w:bidi w:val="0"/>
              <w:spacing w:before="0" w:after="283"/>
              <w:jc w:val="left"/>
              <w:rPr/>
            </w:pPr>
            <w:r>
              <w:rPr/>
              <w:t> </w:t>
            </w:r>
          </w:p>
        </w:tc>
        <w:tc>
          <w:tcPr>
            <w:tcW w:w="965" w:type="dxa"/>
            <w:tcBorders/>
            <w:shd w:fill="CCEEFF" w:val="clear"/>
            <w:vAlign w:val="bottom"/>
          </w:tcPr>
          <w:p>
            <w:pPr>
              <w:pStyle w:val="TableContents"/>
              <w:bidi w:val="0"/>
              <w:spacing w:before="0" w:after="0"/>
              <w:jc w:val="right"/>
              <w:rPr/>
            </w:pPr>
            <w:r>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44" w:type="dxa"/>
            <w:tcBorders/>
            <w:shd w:fill="CCEEFF" w:val="clear"/>
            <w:vAlign w:val="bottom"/>
          </w:tcPr>
          <w:p>
            <w:pPr>
              <w:pStyle w:val="TableContents"/>
              <w:bidi w:val="0"/>
              <w:spacing w:before="0" w:after="283"/>
              <w:jc w:val="left"/>
              <w:rPr/>
            </w:pPr>
            <w:r>
              <w:rPr/>
              <w:t> </w:t>
            </w:r>
          </w:p>
        </w:tc>
        <w:tc>
          <w:tcPr>
            <w:tcW w:w="1070" w:type="dxa"/>
            <w:tcBorders/>
            <w:shd w:fill="CCEEFF" w:val="clear"/>
            <w:vAlign w:val="bottom"/>
          </w:tcPr>
          <w:p>
            <w:pPr>
              <w:pStyle w:val="TableContents"/>
              <w:bidi w:val="0"/>
              <w:spacing w:before="0" w:after="0"/>
              <w:jc w:val="right"/>
              <w:rPr/>
            </w:pPr>
            <w:r>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75" w:type="dxa"/>
            <w:tcBorders/>
            <w:shd w:fill="CCEEFF" w:val="clear"/>
            <w:vAlign w:val="bottom"/>
          </w:tcPr>
          <w:p>
            <w:pPr>
              <w:pStyle w:val="TableContents"/>
              <w:bidi w:val="0"/>
              <w:spacing w:before="0" w:after="283"/>
              <w:jc w:val="left"/>
              <w:rPr/>
            </w:pPr>
            <w:r>
              <w:rPr/>
              <w:t> </w:t>
            </w:r>
          </w:p>
        </w:tc>
        <w:tc>
          <w:tcPr>
            <w:tcW w:w="987" w:type="dxa"/>
            <w:tcBorders/>
            <w:shd w:fill="CCEEFF" w:val="clear"/>
            <w:vAlign w:val="bottom"/>
          </w:tcPr>
          <w:p>
            <w:pPr>
              <w:pStyle w:val="TableContents"/>
              <w:bidi w:val="0"/>
              <w:spacing w:before="0" w:after="0"/>
              <w:jc w:val="right"/>
              <w:rPr>
                <w:sz w:val="20"/>
              </w:rPr>
            </w:pPr>
            <w:r>
              <w:rPr>
                <w:sz w:val="20"/>
              </w:rPr>
              <w:t>7,508</w:t>
            </w:r>
          </w:p>
        </w:tc>
        <w:tc>
          <w:tcPr>
            <w:tcW w:w="84" w:type="dxa"/>
            <w:tcBorders/>
            <w:shd w:fill="CCEEFF" w:val="clear"/>
            <w:vAlign w:val="bottom"/>
          </w:tcPr>
          <w:p>
            <w:pPr>
              <w:pStyle w:val="TableContents"/>
              <w:bidi w:val="0"/>
              <w:spacing w:before="0" w:after="283"/>
              <w:jc w:val="left"/>
              <w:rPr/>
            </w:pPr>
            <w:r>
              <w:rPr/>
              <w:t> </w:t>
            </w:r>
          </w:p>
        </w:tc>
      </w:tr>
      <w:tr>
        <w:trPr/>
        <w:tc>
          <w:tcPr>
            <w:tcW w:w="2748" w:type="dxa"/>
            <w:tcBorders/>
            <w:vAlign w:val="bottom"/>
          </w:tcPr>
          <w:p>
            <w:pPr>
              <w:pStyle w:val="TableContents"/>
              <w:bidi w:val="0"/>
              <w:spacing w:before="0" w:after="283"/>
              <w:jc w:val="left"/>
              <w:rPr>
                <w:sz w:val="20"/>
              </w:rPr>
            </w:pPr>
            <w:r>
              <w:rPr>
                <w:sz w:val="20"/>
              </w:rPr>
              <w:t xml:space="preserve">Connexity issuance of Holdback </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055" w:type="dxa"/>
            <w:tcBorders/>
            <w:vAlign w:val="bottom"/>
          </w:tcPr>
          <w:p>
            <w:pPr>
              <w:pStyle w:val="TableContents"/>
              <w:bidi w:val="0"/>
              <w:spacing w:before="0" w:after="283"/>
              <w:jc w:val="right"/>
              <w:rPr>
                <w:sz w:val="20"/>
              </w:rPr>
            </w:pPr>
            <w:r>
              <w:rPr>
                <w:sz w:val="20"/>
              </w:rPr>
              <w:t>1,227,010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25" w:type="dxa"/>
            <w:tcBorders/>
            <w:vAlign w:val="bottom"/>
          </w:tcPr>
          <w:p>
            <w:pPr>
              <w:pStyle w:val="TableContents"/>
              <w:bidi w:val="0"/>
              <w:spacing w:before="0" w:after="283"/>
              <w:jc w:val="left"/>
              <w:rPr/>
            </w:pPr>
            <w:r>
              <w:rPr/>
              <w:t> </w:t>
            </w:r>
          </w:p>
        </w:tc>
        <w:tc>
          <w:tcPr>
            <w:tcW w:w="47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c>
          <w:tcPr>
            <w:tcW w:w="1032" w:type="dxa"/>
            <w:tcBorders/>
            <w:vAlign w:val="bottom"/>
          </w:tcPr>
          <w:p>
            <w:pPr>
              <w:pStyle w:val="TableContents"/>
              <w:bidi w:val="0"/>
              <w:spacing w:before="0" w:after="283"/>
              <w:jc w:val="right"/>
              <w:rPr/>
            </w:pPr>
            <w:r>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c>
          <w:tcPr>
            <w:tcW w:w="965" w:type="dxa"/>
            <w:tcBorders/>
            <w:vAlign w:val="bottom"/>
          </w:tcPr>
          <w:p>
            <w:pPr>
              <w:pStyle w:val="TableContents"/>
              <w:bidi w:val="0"/>
              <w:spacing w:before="0" w:after="283"/>
              <w:jc w:val="right"/>
              <w:rPr/>
            </w:pPr>
            <w:r>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44" w:type="dxa"/>
            <w:tcBorders/>
            <w:vAlign w:val="bottom"/>
          </w:tcPr>
          <w:p>
            <w:pPr>
              <w:pStyle w:val="TableContents"/>
              <w:bidi w:val="0"/>
              <w:spacing w:before="0" w:after="283"/>
              <w:jc w:val="left"/>
              <w:rPr/>
            </w:pPr>
            <w:r>
              <w:rPr/>
              <w:t> </w:t>
            </w:r>
          </w:p>
        </w:tc>
        <w:tc>
          <w:tcPr>
            <w:tcW w:w="1070" w:type="dxa"/>
            <w:tcBorders/>
            <w:vAlign w:val="bottom"/>
          </w:tcPr>
          <w:p>
            <w:pPr>
              <w:pStyle w:val="TableContents"/>
              <w:bidi w:val="0"/>
              <w:spacing w:before="0" w:after="283"/>
              <w:jc w:val="right"/>
              <w:rPr/>
            </w:pPr>
            <w:r>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75" w:type="dxa"/>
            <w:tcBorders/>
            <w:vAlign w:val="bottom"/>
          </w:tcPr>
          <w:p>
            <w:pPr>
              <w:pStyle w:val="TableContents"/>
              <w:bidi w:val="0"/>
              <w:spacing w:before="0" w:after="283"/>
              <w:jc w:val="left"/>
              <w:rPr/>
            </w:pPr>
            <w:r>
              <w:rPr/>
              <w:t> </w:t>
            </w:r>
          </w:p>
        </w:tc>
        <w:tc>
          <w:tcPr>
            <w:tcW w:w="987" w:type="dxa"/>
            <w:tcBorders/>
            <w:vAlign w:val="bottom"/>
          </w:tcPr>
          <w:p>
            <w:pPr>
              <w:pStyle w:val="TableContents"/>
              <w:bidi w:val="0"/>
              <w:spacing w:before="0" w:after="283"/>
              <w:jc w:val="right"/>
              <w:rPr/>
            </w:pPr>
            <w:r>
              <w:rPr/>
              <w:t>—</w:t>
            </w:r>
          </w:p>
        </w:tc>
        <w:tc>
          <w:tcPr>
            <w:tcW w:w="84" w:type="dxa"/>
            <w:tcBorders/>
            <w:vAlign w:val="bottom"/>
          </w:tcPr>
          <w:p>
            <w:pPr>
              <w:pStyle w:val="TableContents"/>
              <w:bidi w:val="0"/>
              <w:spacing w:before="0" w:after="283"/>
              <w:jc w:val="left"/>
              <w:rPr/>
            </w:pPr>
            <w:r>
              <w:rPr/>
              <w:t> </w:t>
            </w:r>
          </w:p>
        </w:tc>
      </w:tr>
      <w:tr>
        <w:trPr/>
        <w:tc>
          <w:tcPr>
            <w:tcW w:w="2748" w:type="dxa"/>
            <w:tcBorders/>
            <w:shd w:fill="CCEEFF" w:val="clear"/>
            <w:vAlign w:val="bottom"/>
          </w:tcPr>
          <w:p>
            <w:pPr>
              <w:pStyle w:val="TableContents"/>
              <w:bidi w:val="0"/>
              <w:spacing w:before="0" w:after="0"/>
              <w:ind w:left="180" w:right="0" w:hanging="180"/>
              <w:jc w:val="left"/>
              <w:rPr>
                <w:sz w:val="20"/>
              </w:rPr>
            </w:pPr>
            <w:r>
              <w:rPr>
                <w:sz w:val="20"/>
              </w:rPr>
              <w:t>Payments of tax withholding for share-based compensation</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055" w:type="dxa"/>
            <w:tcBorders/>
            <w:shd w:fill="CCEEFF" w:val="clear"/>
            <w:vAlign w:val="bottom"/>
          </w:tcPr>
          <w:p>
            <w:pPr>
              <w:pStyle w:val="TableContents"/>
              <w:bidi w:val="0"/>
              <w:spacing w:before="0" w:after="0"/>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25" w:type="dxa"/>
            <w:tcBorders/>
            <w:shd w:fill="CCEEFF" w:val="clear"/>
            <w:vAlign w:val="bottom"/>
          </w:tcPr>
          <w:p>
            <w:pPr>
              <w:pStyle w:val="TableContents"/>
              <w:bidi w:val="0"/>
              <w:spacing w:before="0" w:after="283"/>
              <w:jc w:val="left"/>
              <w:rPr/>
            </w:pPr>
            <w:r>
              <w:rPr/>
              <w:t> </w:t>
            </w:r>
          </w:p>
        </w:tc>
        <w:tc>
          <w:tcPr>
            <w:tcW w:w="470" w:type="dxa"/>
            <w:tcBorders/>
            <w:shd w:fill="CCEEFF" w:val="clear"/>
            <w:vAlign w:val="bottom"/>
          </w:tcPr>
          <w:p>
            <w:pPr>
              <w:pStyle w:val="TableContents"/>
              <w:bidi w:val="0"/>
              <w:spacing w:before="0" w:after="0"/>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85" w:type="dxa"/>
            <w:tcBorders/>
            <w:shd w:fill="CCEEFF" w:val="clear"/>
            <w:vAlign w:val="bottom"/>
          </w:tcPr>
          <w:p>
            <w:pPr>
              <w:pStyle w:val="TableContents"/>
              <w:bidi w:val="0"/>
              <w:spacing w:before="0" w:after="283"/>
              <w:jc w:val="left"/>
              <w:rPr/>
            </w:pPr>
            <w:r>
              <w:rPr/>
              <w:t> </w:t>
            </w:r>
          </w:p>
        </w:tc>
        <w:tc>
          <w:tcPr>
            <w:tcW w:w="1032" w:type="dxa"/>
            <w:tcBorders/>
            <w:shd w:fill="CCEEFF" w:val="clear"/>
            <w:vAlign w:val="bottom"/>
          </w:tcPr>
          <w:p>
            <w:pPr>
              <w:pStyle w:val="TableContents"/>
              <w:bidi w:val="0"/>
              <w:spacing w:before="0" w:after="0"/>
              <w:jc w:val="right"/>
              <w:rPr>
                <w:sz w:val="20"/>
              </w:rPr>
            </w:pPr>
            <w:r>
              <w:rPr>
                <w:sz w:val="20"/>
              </w:rPr>
              <w:t>(4,110</w:t>
            </w:r>
          </w:p>
        </w:tc>
        <w:tc>
          <w:tcPr>
            <w:tcW w:w="80" w:type="dxa"/>
            <w:tcBorders/>
            <w:shd w:fill="CCEEFF" w:val="clear"/>
            <w:vAlign w:val="bottom"/>
          </w:tcPr>
          <w:p>
            <w:pPr>
              <w:pStyle w:val="TableContents"/>
              <w:bidi w:val="0"/>
              <w:spacing w:before="0" w:after="0"/>
              <w:jc w:val="left"/>
              <w:rPr>
                <w:sz w:val="20"/>
              </w:rPr>
            </w:pPr>
            <w:r>
              <w:rPr>
                <w:sz w:val="20"/>
              </w:rPr>
              <w:t>)</w:t>
            </w:r>
          </w:p>
        </w:tc>
        <w:tc>
          <w:tcPr>
            <w:tcW w:w="60" w:type="dxa"/>
            <w:tcBorders/>
            <w:shd w:fill="CCEEFF" w:val="clear"/>
            <w:vAlign w:val="bottom"/>
          </w:tcPr>
          <w:p>
            <w:pPr>
              <w:pStyle w:val="TableContents"/>
              <w:bidi w:val="0"/>
              <w:spacing w:before="0" w:after="283"/>
              <w:jc w:val="right"/>
              <w:rPr/>
            </w:pPr>
            <w:r>
              <w:rPr/>
              <w:t> </w:t>
            </w:r>
          </w:p>
        </w:tc>
        <w:tc>
          <w:tcPr>
            <w:tcW w:w="185" w:type="dxa"/>
            <w:tcBorders/>
            <w:shd w:fill="CCEEFF" w:val="clear"/>
            <w:vAlign w:val="bottom"/>
          </w:tcPr>
          <w:p>
            <w:pPr>
              <w:pStyle w:val="TableContents"/>
              <w:bidi w:val="0"/>
              <w:spacing w:before="0" w:after="283"/>
              <w:jc w:val="left"/>
              <w:rPr/>
            </w:pPr>
            <w:r>
              <w:rPr/>
              <w:t> </w:t>
            </w:r>
          </w:p>
        </w:tc>
        <w:tc>
          <w:tcPr>
            <w:tcW w:w="965" w:type="dxa"/>
            <w:tcBorders/>
            <w:shd w:fill="CCEEFF" w:val="clear"/>
            <w:vAlign w:val="bottom"/>
          </w:tcPr>
          <w:p>
            <w:pPr>
              <w:pStyle w:val="TableContents"/>
              <w:bidi w:val="0"/>
              <w:spacing w:before="0" w:after="0"/>
              <w:jc w:val="right"/>
              <w:rPr/>
            </w:pPr>
            <w:r>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44" w:type="dxa"/>
            <w:tcBorders/>
            <w:shd w:fill="CCEEFF" w:val="clear"/>
            <w:vAlign w:val="bottom"/>
          </w:tcPr>
          <w:p>
            <w:pPr>
              <w:pStyle w:val="TableContents"/>
              <w:bidi w:val="0"/>
              <w:spacing w:before="0" w:after="283"/>
              <w:jc w:val="left"/>
              <w:rPr/>
            </w:pPr>
            <w:r>
              <w:rPr/>
              <w:t> </w:t>
            </w:r>
          </w:p>
        </w:tc>
        <w:tc>
          <w:tcPr>
            <w:tcW w:w="1070" w:type="dxa"/>
            <w:tcBorders/>
            <w:shd w:fill="CCEEFF" w:val="clear"/>
            <w:vAlign w:val="bottom"/>
          </w:tcPr>
          <w:p>
            <w:pPr>
              <w:pStyle w:val="TableContents"/>
              <w:bidi w:val="0"/>
              <w:spacing w:before="0" w:after="0"/>
              <w:jc w:val="right"/>
              <w:rPr/>
            </w:pPr>
            <w:r>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75" w:type="dxa"/>
            <w:tcBorders/>
            <w:shd w:fill="CCEEFF" w:val="clear"/>
            <w:vAlign w:val="bottom"/>
          </w:tcPr>
          <w:p>
            <w:pPr>
              <w:pStyle w:val="TableContents"/>
              <w:bidi w:val="0"/>
              <w:spacing w:before="0" w:after="283"/>
              <w:jc w:val="left"/>
              <w:rPr/>
            </w:pPr>
            <w:r>
              <w:rPr/>
              <w:t> </w:t>
            </w:r>
          </w:p>
        </w:tc>
        <w:tc>
          <w:tcPr>
            <w:tcW w:w="987" w:type="dxa"/>
            <w:tcBorders/>
            <w:shd w:fill="CCEEFF" w:val="clear"/>
            <w:vAlign w:val="bottom"/>
          </w:tcPr>
          <w:p>
            <w:pPr>
              <w:pStyle w:val="TableContents"/>
              <w:bidi w:val="0"/>
              <w:spacing w:before="0" w:after="0"/>
              <w:jc w:val="right"/>
              <w:rPr>
                <w:sz w:val="20"/>
              </w:rPr>
            </w:pPr>
            <w:r>
              <w:rPr>
                <w:sz w:val="20"/>
              </w:rPr>
              <w:t>(4,110</w:t>
            </w:r>
          </w:p>
        </w:tc>
        <w:tc>
          <w:tcPr>
            <w:tcW w:w="84" w:type="dxa"/>
            <w:tcBorders/>
            <w:shd w:fill="CCEEFF" w:val="clear"/>
            <w:vAlign w:val="bottom"/>
          </w:tcPr>
          <w:p>
            <w:pPr>
              <w:pStyle w:val="TableContents"/>
              <w:bidi w:val="0"/>
              <w:spacing w:before="0" w:after="0"/>
              <w:jc w:val="left"/>
              <w:rPr>
                <w:sz w:val="20"/>
              </w:rPr>
            </w:pPr>
            <w:r>
              <w:rPr>
                <w:sz w:val="20"/>
              </w:rPr>
              <w:t>)</w:t>
            </w:r>
          </w:p>
        </w:tc>
      </w:tr>
      <w:tr>
        <w:trPr/>
        <w:tc>
          <w:tcPr>
            <w:tcW w:w="2748" w:type="dxa"/>
            <w:tcBorders/>
            <w:vAlign w:val="bottom"/>
          </w:tcPr>
          <w:p>
            <w:pPr>
              <w:pStyle w:val="TableContents"/>
              <w:bidi w:val="0"/>
              <w:spacing w:before="0" w:after="0"/>
              <w:ind w:left="360" w:right="0" w:hanging="360"/>
              <w:jc w:val="left"/>
              <w:rPr>
                <w:sz w:val="20"/>
              </w:rPr>
            </w:pPr>
            <w:r>
              <w:rPr>
                <w:sz w:val="20"/>
              </w:rPr>
              <w:t>Other comprehensive loss</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055" w:type="dxa"/>
            <w:tcBorders/>
            <w:vAlign w:val="bottom"/>
          </w:tcPr>
          <w:p>
            <w:pPr>
              <w:pStyle w:val="TableContents"/>
              <w:bidi w:val="0"/>
              <w:spacing w:before="0" w:after="0"/>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25" w:type="dxa"/>
            <w:tcBorders/>
            <w:vAlign w:val="bottom"/>
          </w:tcPr>
          <w:p>
            <w:pPr>
              <w:pStyle w:val="TableContents"/>
              <w:bidi w:val="0"/>
              <w:spacing w:before="0" w:after="283"/>
              <w:jc w:val="left"/>
              <w:rPr/>
            </w:pPr>
            <w:r>
              <w:rPr/>
              <w:t> </w:t>
            </w:r>
          </w:p>
        </w:tc>
        <w:tc>
          <w:tcPr>
            <w:tcW w:w="470" w:type="dxa"/>
            <w:tcBorders/>
            <w:vAlign w:val="bottom"/>
          </w:tcPr>
          <w:p>
            <w:pPr>
              <w:pStyle w:val="TableContents"/>
              <w:bidi w:val="0"/>
              <w:spacing w:before="0" w:after="0"/>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c>
          <w:tcPr>
            <w:tcW w:w="1032" w:type="dxa"/>
            <w:tcBorders/>
            <w:vAlign w:val="bottom"/>
          </w:tcPr>
          <w:p>
            <w:pPr>
              <w:pStyle w:val="TableContents"/>
              <w:bidi w:val="0"/>
              <w:spacing w:before="0" w:after="0"/>
              <w:jc w:val="right"/>
              <w:rPr/>
            </w:pPr>
            <w:r>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c>
          <w:tcPr>
            <w:tcW w:w="965" w:type="dxa"/>
            <w:tcBorders/>
            <w:vAlign w:val="bottom"/>
          </w:tcPr>
          <w:p>
            <w:pPr>
              <w:pStyle w:val="TableContents"/>
              <w:bidi w:val="0"/>
              <w:spacing w:before="0" w:after="0"/>
              <w:jc w:val="right"/>
              <w:rPr/>
            </w:pPr>
            <w:r>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44" w:type="dxa"/>
            <w:tcBorders/>
            <w:vAlign w:val="bottom"/>
          </w:tcPr>
          <w:p>
            <w:pPr>
              <w:pStyle w:val="TableContents"/>
              <w:bidi w:val="0"/>
              <w:spacing w:before="0" w:after="283"/>
              <w:jc w:val="left"/>
              <w:rPr/>
            </w:pPr>
            <w:r>
              <w:rPr/>
              <w:t> </w:t>
            </w:r>
          </w:p>
        </w:tc>
        <w:tc>
          <w:tcPr>
            <w:tcW w:w="1070" w:type="dxa"/>
            <w:tcBorders/>
            <w:vAlign w:val="bottom"/>
          </w:tcPr>
          <w:p>
            <w:pPr>
              <w:pStyle w:val="TableContents"/>
              <w:bidi w:val="0"/>
              <w:spacing w:before="0" w:after="0"/>
              <w:jc w:val="right"/>
              <w:rPr>
                <w:sz w:val="20"/>
              </w:rPr>
            </w:pPr>
            <w:r>
              <w:rPr>
                <w:sz w:val="20"/>
              </w:rPr>
              <w:t>(2,724</w:t>
            </w:r>
          </w:p>
        </w:tc>
        <w:tc>
          <w:tcPr>
            <w:tcW w:w="80" w:type="dxa"/>
            <w:tcBorders/>
            <w:vAlign w:val="bottom"/>
          </w:tcPr>
          <w:p>
            <w:pPr>
              <w:pStyle w:val="TableContents"/>
              <w:bidi w:val="0"/>
              <w:spacing w:before="0" w:after="0"/>
              <w:jc w:val="left"/>
              <w:rPr>
                <w:sz w:val="20"/>
              </w:rPr>
            </w:pPr>
            <w:r>
              <w:rPr>
                <w:sz w:val="20"/>
              </w:rPr>
              <w:t>)</w:t>
            </w:r>
          </w:p>
        </w:tc>
        <w:tc>
          <w:tcPr>
            <w:tcW w:w="60" w:type="dxa"/>
            <w:tcBorders/>
            <w:vAlign w:val="bottom"/>
          </w:tcPr>
          <w:p>
            <w:pPr>
              <w:pStyle w:val="TableContents"/>
              <w:bidi w:val="0"/>
              <w:spacing w:before="0" w:after="283"/>
              <w:jc w:val="right"/>
              <w:rPr/>
            </w:pPr>
            <w:r>
              <w:rPr/>
              <w:t> </w:t>
            </w:r>
          </w:p>
        </w:tc>
        <w:tc>
          <w:tcPr>
            <w:tcW w:w="175" w:type="dxa"/>
            <w:tcBorders/>
            <w:vAlign w:val="bottom"/>
          </w:tcPr>
          <w:p>
            <w:pPr>
              <w:pStyle w:val="TableContents"/>
              <w:bidi w:val="0"/>
              <w:spacing w:before="0" w:after="283"/>
              <w:jc w:val="left"/>
              <w:rPr/>
            </w:pPr>
            <w:r>
              <w:rPr/>
              <w:t> </w:t>
            </w:r>
          </w:p>
        </w:tc>
        <w:tc>
          <w:tcPr>
            <w:tcW w:w="987" w:type="dxa"/>
            <w:tcBorders/>
            <w:vAlign w:val="bottom"/>
          </w:tcPr>
          <w:p>
            <w:pPr>
              <w:pStyle w:val="TableContents"/>
              <w:bidi w:val="0"/>
              <w:spacing w:before="0" w:after="0"/>
              <w:jc w:val="right"/>
              <w:rPr>
                <w:sz w:val="20"/>
              </w:rPr>
            </w:pPr>
            <w:r>
              <w:rPr>
                <w:sz w:val="20"/>
              </w:rPr>
              <w:t>(2,724</w:t>
            </w:r>
          </w:p>
        </w:tc>
        <w:tc>
          <w:tcPr>
            <w:tcW w:w="84" w:type="dxa"/>
            <w:tcBorders/>
            <w:vAlign w:val="bottom"/>
          </w:tcPr>
          <w:p>
            <w:pPr>
              <w:pStyle w:val="TableContents"/>
              <w:bidi w:val="0"/>
              <w:spacing w:before="0" w:after="0"/>
              <w:jc w:val="left"/>
              <w:rPr>
                <w:sz w:val="20"/>
              </w:rPr>
            </w:pPr>
            <w:r>
              <w:rPr>
                <w:sz w:val="20"/>
              </w:rPr>
              <w:t>)</w:t>
            </w:r>
          </w:p>
        </w:tc>
      </w:tr>
      <w:tr>
        <w:trPr/>
        <w:tc>
          <w:tcPr>
            <w:tcW w:w="2748" w:type="dxa"/>
            <w:tcBorders/>
            <w:shd w:fill="CCEEFF" w:val="clear"/>
            <w:vAlign w:val="bottom"/>
          </w:tcPr>
          <w:p>
            <w:pPr>
              <w:pStyle w:val="TableContents"/>
              <w:bidi w:val="0"/>
              <w:spacing w:before="0" w:after="0"/>
              <w:ind w:left="180" w:right="0" w:hanging="180"/>
              <w:jc w:val="left"/>
              <w:rPr>
                <w:sz w:val="20"/>
              </w:rPr>
            </w:pPr>
            <w:r>
              <w:rPr>
                <w:sz w:val="20"/>
              </w:rPr>
              <w:t>Net loss</w:t>
            </w:r>
          </w:p>
        </w:tc>
        <w:tc>
          <w:tcPr>
            <w:tcW w:w="60" w:type="dxa"/>
            <w:tcBorders/>
            <w:shd w:fill="CCEEFF" w:val="clear"/>
            <w:vAlign w:val="bottom"/>
          </w:tcPr>
          <w:p>
            <w:pPr>
              <w:pStyle w:val="TableContents"/>
              <w:bidi w:val="0"/>
              <w:spacing w:before="0" w:after="283"/>
              <w:jc w:val="right"/>
              <w:rPr/>
            </w:pPr>
            <w:r>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bottom"/>
          </w:tcPr>
          <w:p>
            <w:pPr>
              <w:pStyle w:val="TableContents"/>
              <w:bidi w:val="0"/>
              <w:spacing w:before="0" w:after="0"/>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470" w:type="dxa"/>
            <w:tcBorders>
              <w:bottom w:val="single" w:sz="12" w:space="0" w:color="000000"/>
            </w:tcBorders>
            <w:shd w:fill="CCEEFF" w:val="clear"/>
            <w:tcMar>
              <w:bottom w:w="28" w:type="dxa"/>
            </w:tcMar>
            <w:vAlign w:val="bottom"/>
          </w:tcPr>
          <w:p>
            <w:pPr>
              <w:pStyle w:val="TableContents"/>
              <w:bidi w:val="0"/>
              <w:spacing w:before="0" w:after="0"/>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8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32" w:type="dxa"/>
            <w:tcBorders>
              <w:bottom w:val="single" w:sz="12" w:space="0" w:color="000000"/>
            </w:tcBorders>
            <w:shd w:fill="CCEEFF" w:val="clear"/>
            <w:tcMar>
              <w:bottom w:w="28" w:type="dxa"/>
            </w:tcMar>
            <w:vAlign w:val="bottom"/>
          </w:tcPr>
          <w:p>
            <w:pPr>
              <w:pStyle w:val="TableContents"/>
              <w:bidi w:val="0"/>
              <w:spacing w:before="0" w:after="0"/>
              <w:jc w:val="right"/>
              <w:rPr/>
            </w:pPr>
            <w:r>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8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65" w:type="dxa"/>
            <w:tcBorders>
              <w:bottom w:val="single" w:sz="12" w:space="0" w:color="000000"/>
            </w:tcBorders>
            <w:shd w:fill="CCEEFF" w:val="clear"/>
            <w:tcMar>
              <w:bottom w:w="28" w:type="dxa"/>
            </w:tcMar>
            <w:vAlign w:val="bottom"/>
          </w:tcPr>
          <w:p>
            <w:pPr>
              <w:pStyle w:val="TableContents"/>
              <w:bidi w:val="0"/>
              <w:spacing w:before="0" w:after="0"/>
              <w:jc w:val="right"/>
              <w:rPr>
                <w:sz w:val="20"/>
              </w:rPr>
            </w:pPr>
            <w:r>
              <w:rPr>
                <w:sz w:val="20"/>
              </w:rPr>
              <w:t>(27,159</w:t>
            </w:r>
          </w:p>
        </w:tc>
        <w:tc>
          <w:tcPr>
            <w:tcW w:w="80" w:type="dxa"/>
            <w:tcBorders/>
            <w:shd w:fill="CCEEFF" w:val="clear"/>
            <w:vAlign w:val="bottom"/>
          </w:tcPr>
          <w:p>
            <w:pPr>
              <w:pStyle w:val="TableContents"/>
              <w:bidi w:val="0"/>
              <w:spacing w:before="0" w:after="0"/>
              <w:jc w:val="left"/>
              <w:rPr>
                <w:sz w:val="20"/>
              </w:rPr>
            </w:pPr>
            <w:r>
              <w:rPr>
                <w:sz w:val="20"/>
              </w:rPr>
              <w:t>)</w:t>
            </w:r>
          </w:p>
        </w:tc>
        <w:tc>
          <w:tcPr>
            <w:tcW w:w="60" w:type="dxa"/>
            <w:tcBorders/>
            <w:shd w:fill="CCEEFF" w:val="clear"/>
            <w:vAlign w:val="bottom"/>
          </w:tcPr>
          <w:p>
            <w:pPr>
              <w:pStyle w:val="TableContents"/>
              <w:bidi w:val="0"/>
              <w:spacing w:before="0" w:after="283"/>
              <w:jc w:val="right"/>
              <w:rPr/>
            </w:pPr>
            <w:r>
              <w:rPr/>
              <w:t> </w:t>
            </w:r>
          </w:p>
        </w:tc>
        <w:tc>
          <w:tcPr>
            <w:tcW w:w="244"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70" w:type="dxa"/>
            <w:tcBorders>
              <w:bottom w:val="single" w:sz="12" w:space="0" w:color="000000"/>
            </w:tcBorders>
            <w:shd w:fill="CCEEFF" w:val="clear"/>
            <w:tcMar>
              <w:bottom w:w="28" w:type="dxa"/>
            </w:tcMar>
            <w:vAlign w:val="bottom"/>
          </w:tcPr>
          <w:p>
            <w:pPr>
              <w:pStyle w:val="TableContents"/>
              <w:bidi w:val="0"/>
              <w:spacing w:before="0" w:after="0"/>
              <w:jc w:val="right"/>
              <w:rPr/>
            </w:pPr>
            <w:r>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7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87" w:type="dxa"/>
            <w:tcBorders>
              <w:bottom w:val="single" w:sz="12" w:space="0" w:color="000000"/>
            </w:tcBorders>
            <w:shd w:fill="CCEEFF" w:val="clear"/>
            <w:tcMar>
              <w:bottom w:w="28" w:type="dxa"/>
            </w:tcMar>
            <w:vAlign w:val="bottom"/>
          </w:tcPr>
          <w:p>
            <w:pPr>
              <w:pStyle w:val="TableContents"/>
              <w:bidi w:val="0"/>
              <w:spacing w:before="0" w:after="0"/>
              <w:jc w:val="right"/>
              <w:rPr>
                <w:sz w:val="20"/>
              </w:rPr>
            </w:pPr>
            <w:r>
              <w:rPr>
                <w:sz w:val="20"/>
              </w:rPr>
              <w:t>(27,159</w:t>
            </w:r>
          </w:p>
        </w:tc>
        <w:tc>
          <w:tcPr>
            <w:tcW w:w="84" w:type="dxa"/>
            <w:tcBorders/>
            <w:shd w:fill="CCEEFF" w:val="clear"/>
            <w:vAlign w:val="bottom"/>
          </w:tcPr>
          <w:p>
            <w:pPr>
              <w:pStyle w:val="TableContents"/>
              <w:bidi w:val="0"/>
              <w:spacing w:before="0" w:after="0"/>
              <w:jc w:val="left"/>
              <w:rPr>
                <w:sz w:val="20"/>
              </w:rPr>
            </w:pPr>
            <w:r>
              <w:rPr>
                <w:sz w:val="20"/>
              </w:rPr>
              <w:t>)</w:t>
            </w:r>
          </w:p>
        </w:tc>
      </w:tr>
      <w:tr>
        <w:trPr/>
        <w:tc>
          <w:tcPr>
            <w:tcW w:w="2748" w:type="dxa"/>
            <w:tcBorders/>
            <w:vAlign w:val="bottom"/>
          </w:tcPr>
          <w:p>
            <w:pPr>
              <w:pStyle w:val="TableContents"/>
              <w:bidi w:val="0"/>
              <w:spacing w:before="0" w:after="0"/>
              <w:ind w:left="360" w:right="0" w:hanging="0"/>
              <w:jc w:val="left"/>
              <w:rPr>
                <w:sz w:val="20"/>
              </w:rPr>
            </w:pPr>
            <w:r>
              <w:rPr>
                <w:sz w:val="20"/>
              </w:rPr>
              <w:t>Balance as of September 30, 2022 (unaudited)</w:t>
            </w:r>
          </w:p>
        </w:tc>
        <w:tc>
          <w:tcPr>
            <w:tcW w:w="60" w:type="dxa"/>
            <w:tcBorders/>
            <w:vAlign w:val="bottom"/>
          </w:tcPr>
          <w:p>
            <w:pPr>
              <w:pStyle w:val="TableContents"/>
              <w:bidi w:val="0"/>
              <w:spacing w:before="0" w:after="283"/>
              <w:jc w:val="righ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1055" w:type="dxa"/>
            <w:tcBorders>
              <w:bottom w:val="single" w:sz="12" w:space="0" w:color="000000"/>
            </w:tcBorders>
            <w:tcMar>
              <w:bottom w:w="28" w:type="dxa"/>
            </w:tcMar>
            <w:vAlign w:val="bottom"/>
          </w:tcPr>
          <w:p>
            <w:pPr>
              <w:pStyle w:val="TableContents"/>
              <w:bidi w:val="0"/>
              <w:spacing w:before="0" w:after="0"/>
              <w:jc w:val="right"/>
              <w:rPr>
                <w:sz w:val="20"/>
              </w:rPr>
            </w:pPr>
            <w:r>
              <w:rPr>
                <w:sz w:val="20"/>
              </w:rPr>
              <w:t>247,348,424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25" w:type="dxa"/>
            <w:tcBorders>
              <w:bottom w:val="single" w:sz="12" w:space="0" w:color="000000"/>
            </w:tcBorders>
            <w:tcMar>
              <w:bottom w:w="28" w:type="dxa"/>
            </w:tcMar>
            <w:vAlign w:val="bottom"/>
          </w:tcPr>
          <w:p>
            <w:pPr>
              <w:pStyle w:val="TableContents"/>
              <w:bidi w:val="0"/>
              <w:spacing w:before="0" w:after="0"/>
              <w:jc w:val="left"/>
              <w:rPr>
                <w:sz w:val="20"/>
              </w:rPr>
            </w:pPr>
            <w:r>
              <w:rPr>
                <w:sz w:val="20"/>
              </w:rPr>
              <w:t>$</w:t>
            </w:r>
          </w:p>
        </w:tc>
        <w:tc>
          <w:tcPr>
            <w:tcW w:w="470" w:type="dxa"/>
            <w:tcBorders>
              <w:bottom w:val="single" w:sz="12" w:space="0" w:color="000000"/>
            </w:tcBorders>
            <w:tcMar>
              <w:bottom w:w="28" w:type="dxa"/>
            </w:tcMar>
            <w:vAlign w:val="bottom"/>
          </w:tcPr>
          <w:p>
            <w:pPr>
              <w:pStyle w:val="TableContents"/>
              <w:bidi w:val="0"/>
              <w:spacing w:before="0" w:after="0"/>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85" w:type="dxa"/>
            <w:tcBorders>
              <w:bottom w:val="single" w:sz="12" w:space="0" w:color="000000"/>
            </w:tcBorders>
            <w:tcMar>
              <w:bottom w:w="28" w:type="dxa"/>
            </w:tcMar>
            <w:vAlign w:val="bottom"/>
          </w:tcPr>
          <w:p>
            <w:pPr>
              <w:pStyle w:val="TableContents"/>
              <w:bidi w:val="0"/>
              <w:spacing w:before="0" w:after="0"/>
              <w:jc w:val="left"/>
              <w:rPr>
                <w:sz w:val="20"/>
              </w:rPr>
            </w:pPr>
            <w:r>
              <w:rPr>
                <w:sz w:val="20"/>
              </w:rPr>
              <w:t>$</w:t>
            </w:r>
          </w:p>
        </w:tc>
        <w:tc>
          <w:tcPr>
            <w:tcW w:w="1032" w:type="dxa"/>
            <w:tcBorders>
              <w:bottom w:val="single" w:sz="12" w:space="0" w:color="000000"/>
            </w:tcBorders>
            <w:tcMar>
              <w:bottom w:w="28" w:type="dxa"/>
            </w:tcMar>
            <w:vAlign w:val="bottom"/>
          </w:tcPr>
          <w:p>
            <w:pPr>
              <w:pStyle w:val="TableContents"/>
              <w:bidi w:val="0"/>
              <w:spacing w:before="0" w:after="0"/>
              <w:jc w:val="right"/>
              <w:rPr>
                <w:sz w:val="20"/>
              </w:rPr>
            </w:pPr>
            <w:r>
              <w:rPr>
                <w:sz w:val="20"/>
              </w:rPr>
              <w:t>887,845</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85" w:type="dxa"/>
            <w:tcBorders>
              <w:bottom w:val="single" w:sz="12" w:space="0" w:color="000000"/>
            </w:tcBorders>
            <w:tcMar>
              <w:bottom w:w="28" w:type="dxa"/>
            </w:tcMar>
            <w:vAlign w:val="bottom"/>
          </w:tcPr>
          <w:p>
            <w:pPr>
              <w:pStyle w:val="TableContents"/>
              <w:bidi w:val="0"/>
              <w:spacing w:before="0" w:after="0"/>
              <w:jc w:val="left"/>
              <w:rPr>
                <w:sz w:val="20"/>
              </w:rPr>
            </w:pPr>
            <w:r>
              <w:rPr>
                <w:sz w:val="20"/>
              </w:rPr>
              <w:t>$</w:t>
            </w:r>
          </w:p>
        </w:tc>
        <w:tc>
          <w:tcPr>
            <w:tcW w:w="965" w:type="dxa"/>
            <w:tcBorders>
              <w:bottom w:val="single" w:sz="12" w:space="0" w:color="000000"/>
            </w:tcBorders>
            <w:tcMar>
              <w:bottom w:w="28" w:type="dxa"/>
            </w:tcMar>
            <w:vAlign w:val="bottom"/>
          </w:tcPr>
          <w:p>
            <w:pPr>
              <w:pStyle w:val="TableContents"/>
              <w:bidi w:val="0"/>
              <w:spacing w:before="0" w:after="0"/>
              <w:jc w:val="right"/>
              <w:rPr>
                <w:sz w:val="20"/>
              </w:rPr>
            </w:pPr>
            <w:r>
              <w:rPr>
                <w:sz w:val="20"/>
              </w:rPr>
              <w:t>(83,604</w:t>
            </w:r>
          </w:p>
        </w:tc>
        <w:tc>
          <w:tcPr>
            <w:tcW w:w="80" w:type="dxa"/>
            <w:tcBorders/>
            <w:vAlign w:val="bottom"/>
          </w:tcPr>
          <w:p>
            <w:pPr>
              <w:pStyle w:val="TableContents"/>
              <w:bidi w:val="0"/>
              <w:spacing w:before="0" w:after="0"/>
              <w:jc w:val="left"/>
              <w:rPr>
                <w:sz w:val="20"/>
              </w:rPr>
            </w:pPr>
            <w:r>
              <w:rPr>
                <w:sz w:val="20"/>
              </w:rPr>
              <w:t>)</w:t>
            </w:r>
          </w:p>
        </w:tc>
        <w:tc>
          <w:tcPr>
            <w:tcW w:w="60" w:type="dxa"/>
            <w:tcBorders/>
            <w:vAlign w:val="bottom"/>
          </w:tcPr>
          <w:p>
            <w:pPr>
              <w:pStyle w:val="TableContents"/>
              <w:bidi w:val="0"/>
              <w:spacing w:before="0" w:after="283"/>
              <w:jc w:val="right"/>
              <w:rPr/>
            </w:pPr>
            <w:r>
              <w:rPr/>
              <w:t> </w:t>
            </w:r>
          </w:p>
        </w:tc>
        <w:tc>
          <w:tcPr>
            <w:tcW w:w="244" w:type="dxa"/>
            <w:tcBorders>
              <w:bottom w:val="single" w:sz="12" w:space="0" w:color="000000"/>
            </w:tcBorders>
            <w:tcMar>
              <w:bottom w:w="28" w:type="dxa"/>
            </w:tcMar>
            <w:vAlign w:val="bottom"/>
          </w:tcPr>
          <w:p>
            <w:pPr>
              <w:pStyle w:val="TableContents"/>
              <w:bidi w:val="0"/>
              <w:spacing w:before="0" w:after="0"/>
              <w:jc w:val="left"/>
              <w:rPr>
                <w:sz w:val="20"/>
              </w:rPr>
            </w:pPr>
            <w:r>
              <w:rPr>
                <w:sz w:val="20"/>
              </w:rPr>
              <w:t>$</w:t>
            </w:r>
          </w:p>
        </w:tc>
        <w:tc>
          <w:tcPr>
            <w:tcW w:w="1070" w:type="dxa"/>
            <w:tcBorders>
              <w:bottom w:val="single" w:sz="12" w:space="0" w:color="000000"/>
            </w:tcBorders>
            <w:tcMar>
              <w:bottom w:w="28" w:type="dxa"/>
            </w:tcMar>
            <w:vAlign w:val="bottom"/>
          </w:tcPr>
          <w:p>
            <w:pPr>
              <w:pStyle w:val="TableContents"/>
              <w:bidi w:val="0"/>
              <w:spacing w:before="0" w:after="0"/>
              <w:jc w:val="right"/>
              <w:rPr>
                <w:sz w:val="20"/>
              </w:rPr>
            </w:pPr>
            <w:r>
              <w:rPr>
                <w:sz w:val="20"/>
              </w:rPr>
              <w:t>(2,724</w:t>
            </w:r>
          </w:p>
        </w:tc>
        <w:tc>
          <w:tcPr>
            <w:tcW w:w="80" w:type="dxa"/>
            <w:tcBorders/>
            <w:vAlign w:val="bottom"/>
          </w:tcPr>
          <w:p>
            <w:pPr>
              <w:pStyle w:val="TableContents"/>
              <w:bidi w:val="0"/>
              <w:spacing w:before="0" w:after="0"/>
              <w:jc w:val="left"/>
              <w:rPr>
                <w:sz w:val="20"/>
              </w:rPr>
            </w:pPr>
            <w:r>
              <w:rPr>
                <w:sz w:val="20"/>
              </w:rPr>
              <w:t>)</w:t>
            </w:r>
          </w:p>
        </w:tc>
        <w:tc>
          <w:tcPr>
            <w:tcW w:w="60" w:type="dxa"/>
            <w:tcBorders/>
            <w:vAlign w:val="bottom"/>
          </w:tcPr>
          <w:p>
            <w:pPr>
              <w:pStyle w:val="TableContents"/>
              <w:bidi w:val="0"/>
              <w:spacing w:before="0" w:after="283"/>
              <w:jc w:val="right"/>
              <w:rPr/>
            </w:pPr>
            <w:r>
              <w:rPr/>
              <w:t> </w:t>
            </w:r>
          </w:p>
        </w:tc>
        <w:tc>
          <w:tcPr>
            <w:tcW w:w="175" w:type="dxa"/>
            <w:tcBorders>
              <w:bottom w:val="single" w:sz="12" w:space="0" w:color="000000"/>
            </w:tcBorders>
            <w:tcMar>
              <w:bottom w:w="28" w:type="dxa"/>
            </w:tcMar>
            <w:vAlign w:val="bottom"/>
          </w:tcPr>
          <w:p>
            <w:pPr>
              <w:pStyle w:val="TableContents"/>
              <w:bidi w:val="0"/>
              <w:spacing w:before="0" w:after="0"/>
              <w:jc w:val="left"/>
              <w:rPr>
                <w:sz w:val="20"/>
              </w:rPr>
            </w:pPr>
            <w:r>
              <w:rPr>
                <w:sz w:val="20"/>
              </w:rPr>
              <w:t>$</w:t>
            </w:r>
          </w:p>
        </w:tc>
        <w:tc>
          <w:tcPr>
            <w:tcW w:w="987" w:type="dxa"/>
            <w:tcBorders>
              <w:bottom w:val="single" w:sz="12" w:space="0" w:color="000000"/>
            </w:tcBorders>
            <w:tcMar>
              <w:bottom w:w="28" w:type="dxa"/>
            </w:tcMar>
            <w:vAlign w:val="bottom"/>
          </w:tcPr>
          <w:p>
            <w:pPr>
              <w:pStyle w:val="TableContents"/>
              <w:bidi w:val="0"/>
              <w:spacing w:before="0" w:after="0"/>
              <w:jc w:val="right"/>
              <w:rPr>
                <w:sz w:val="20"/>
              </w:rPr>
            </w:pPr>
            <w:r>
              <w:rPr>
                <w:sz w:val="20"/>
              </w:rPr>
              <w:t>801,517</w:t>
            </w:r>
          </w:p>
        </w:tc>
        <w:tc>
          <w:tcPr>
            <w:tcW w:w="84" w:type="dxa"/>
            <w:tcBorders/>
            <w:vAlign w:val="bottom"/>
          </w:tcPr>
          <w:p>
            <w:pPr>
              <w:pStyle w:val="TableContents"/>
              <w:bidi w:val="0"/>
              <w:spacing w:before="0" w:after="283"/>
              <w:jc w:val="left"/>
              <w:rPr/>
            </w:pPr>
            <w:r>
              <w:rPr/>
              <w:t> </w:t>
            </w:r>
          </w:p>
        </w:tc>
      </w:tr>
    </w:tbl>
    <w:p>
      <w:pPr>
        <w:pStyle w:val="TextBody"/>
        <w:bidi w:val="0"/>
        <w:spacing w:before="0" w:after="0"/>
        <w:jc w:val="both"/>
        <w:rPr/>
      </w:pPr>
      <w:r>
        <w:rPr/>
      </w:r>
    </w:p>
    <w:p>
      <w:pPr>
        <w:pStyle w:val="TextBody"/>
        <w:bidi w:val="0"/>
        <w:spacing w:before="0" w:after="0"/>
        <w:jc w:val="center"/>
        <w:rPr>
          <w:rFonts w:ascii="Times New Roman" w:hAnsi="Times New Roman"/>
          <w:b w:val="false"/>
          <w:color w:val="000000"/>
          <w:sz w:val="20"/>
          <w:shd w:fill="FFFFFF" w:val="clear"/>
        </w:rPr>
      </w:pPr>
      <w:r>
        <w:rPr>
          <w:rFonts w:ascii="Times New Roman" w:hAnsi="Times New Roman"/>
          <w:b w:val="false"/>
          <w:color w:val="000000"/>
          <w:sz w:val="20"/>
          <w:shd w:fill="FFFFFF" w:val="clear"/>
        </w:rPr>
        <w:t>The accompanying notes are an integral part of these unaudited consolidated interim financial statements.</w:t>
      </w:r>
    </w:p>
    <w:p>
      <w:pPr>
        <w:pStyle w:val="TextBody"/>
        <w:bidi w:val="0"/>
        <w:spacing w:before="0" w:after="0"/>
        <w:jc w:val="both"/>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8</w:t>
      </w:r>
    </w:p>
    <w:p>
      <w:pPr>
        <w:pStyle w:val="HorizontalLine"/>
        <w:bidi w:val="0"/>
        <w:spacing w:before="200" w:after="200"/>
        <w:jc w:val="both"/>
        <w:rPr/>
      </w:pPr>
      <w:r>
        <w:rPr/>
      </w:r>
    </w:p>
    <w:p>
      <w:pPr>
        <w:pStyle w:val="TextBody"/>
        <w:bidi w:val="0"/>
        <w:spacing w:before="200" w:after="200"/>
        <w:jc w:val="both"/>
        <w:rPr/>
      </w:pPr>
      <w:hyperlink w:anchor="Contents">
        <w:r>
          <w:rPr>
            <w:rStyle w:val="InternetLink"/>
            <w:rFonts w:ascii="Times New Roman" w:hAnsi="Times New Roman"/>
            <w:b w:val="false"/>
            <w:i/>
            <w:color w:val="000000"/>
            <w:sz w:val="16"/>
            <w:shd w:fill="FFFFFF" w:val="clear"/>
          </w:rPr>
          <w:t>Table of Contents</w:t>
        </w:r>
      </w:hyperlink>
    </w:p>
    <w:p>
      <w:pPr>
        <w:pStyle w:val="TextBody"/>
        <w:bidi w:val="0"/>
        <w:spacing w:before="0" w:after="0"/>
        <w:jc w:val="right"/>
        <w:rPr>
          <w:rFonts w:ascii="Times New Roman" w:hAnsi="Times New Roman"/>
          <w:b/>
          <w:color w:val="000000"/>
          <w:sz w:val="22"/>
          <w:shd w:fill="FFFFFF" w:val="clear"/>
        </w:rPr>
      </w:pPr>
      <w:r>
        <w:rPr>
          <w:rFonts w:ascii="Times New Roman" w:hAnsi="Times New Roman"/>
          <w:b/>
          <w:color w:val="000000"/>
          <w:sz w:val="22"/>
          <w:shd w:fill="FFFFFF" w:val="clear"/>
        </w:rPr>
        <w:t>TABOOLA.COM LTD.</w:t>
      </w:r>
    </w:p>
    <w:p>
      <w:pPr>
        <w:pStyle w:val="TextBody"/>
        <w:bidi w:val="0"/>
        <w:spacing w:before="0" w:after="0"/>
        <w:jc w:val="right"/>
        <w:rPr>
          <w:b/>
        </w:rPr>
      </w:pPr>
      <w:r>
        <w:rPr>
          <w:b/>
        </w:rPr>
      </w:r>
    </w:p>
    <w:p>
      <w:pPr>
        <w:pStyle w:val="TextBody"/>
        <w:bidi w:val="0"/>
        <w:spacing w:before="0" w:after="0"/>
        <w:jc w:val="both"/>
        <w:rPr>
          <w:rFonts w:ascii="Times New Roman" w:hAnsi="Times New Roman"/>
          <w:b/>
          <w:color w:val="000000"/>
          <w:sz w:val="20"/>
          <w:shd w:fill="FFFFFF" w:val="clear"/>
        </w:rPr>
      </w:pPr>
      <w:bookmarkStart w:id="9" w:name="FLOWS"/>
      <w:bookmarkEnd w:id="9"/>
      <w:r>
        <w:rPr>
          <w:rFonts w:ascii="Times New Roman" w:hAnsi="Times New Roman"/>
          <w:b/>
          <w:color w:val="000000"/>
          <w:sz w:val="20"/>
          <w:shd w:fill="FFFFFF" w:val="clear"/>
        </w:rPr>
        <w:t>CONSOLIDATED INTERIM STATEMENTS OF CASH FLOWS</w:t>
      </w:r>
    </w:p>
    <w:p>
      <w:pPr>
        <w:pStyle w:val="HorizontalLine"/>
        <w:bidi w:val="0"/>
        <w:jc w:val="both"/>
        <w:rPr/>
      </w:pPr>
      <w:r>
        <w:rPr/>
      </w:r>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U.S. dollars in thousands</w:t>
      </w:r>
    </w:p>
    <w:p>
      <w:pPr>
        <w:pStyle w:val="TextBody"/>
        <w:bidi w:val="0"/>
        <w:spacing w:before="0" w:after="0"/>
        <w:jc w:val="both"/>
        <w:rPr/>
      </w:pPr>
      <w:r>
        <w:rPr/>
      </w:r>
    </w:p>
    <w:tbl>
      <w:tblPr>
        <w:tblW w:w="10065" w:type="dxa"/>
        <w:jc w:val="left"/>
        <w:tblInd w:w="0" w:type="dxa"/>
        <w:tblLayout w:type="fixed"/>
        <w:tblCellMar>
          <w:top w:w="0" w:type="dxa"/>
          <w:left w:w="0" w:type="dxa"/>
          <w:bottom w:w="0" w:type="dxa"/>
          <w:right w:w="0" w:type="dxa"/>
        </w:tblCellMar>
      </w:tblPr>
      <w:tblGrid>
        <w:gridCol w:w="7925"/>
        <w:gridCol w:w="60"/>
        <w:gridCol w:w="125"/>
        <w:gridCol w:w="695"/>
        <w:gridCol w:w="80"/>
        <w:gridCol w:w="60"/>
        <w:gridCol w:w="125"/>
        <w:gridCol w:w="755"/>
        <w:gridCol w:w="240"/>
      </w:tblGrid>
      <w:tr>
        <w:trPr/>
        <w:tc>
          <w:tcPr>
            <w:tcW w:w="79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40" w:type="dxa"/>
            <w:gridSpan w:val="6"/>
            <w:tcBorders>
              <w:bottom w:val="single" w:sz="12" w:space="0" w:color="000000"/>
            </w:tcBorders>
            <w:tcMar>
              <w:bottom w:w="28" w:type="dxa"/>
            </w:tcMar>
            <w:vAlign w:val="bottom"/>
          </w:tcPr>
          <w:p>
            <w:pPr>
              <w:pStyle w:val="TableContents"/>
              <w:bidi w:val="0"/>
              <w:spacing w:before="0" w:after="0"/>
              <w:jc w:val="center"/>
              <w:rPr>
                <w:b/>
                <w:sz w:val="20"/>
              </w:rPr>
            </w:pPr>
            <w:r>
              <w:rPr>
                <w:b/>
                <w:sz w:val="20"/>
              </w:rPr>
              <w:t>Nine months ended</w:t>
            </w:r>
          </w:p>
          <w:p>
            <w:pPr>
              <w:pStyle w:val="TableContents"/>
              <w:bidi w:val="0"/>
              <w:spacing w:before="0" w:after="0"/>
              <w:jc w:val="center"/>
              <w:rPr>
                <w:b/>
                <w:sz w:val="20"/>
              </w:rPr>
            </w:pPr>
            <w:r>
              <w:rPr>
                <w:b/>
                <w:sz w:val="20"/>
              </w:rPr>
              <w:t>September 30,</w:t>
            </w:r>
          </w:p>
        </w:tc>
        <w:tc>
          <w:tcPr>
            <w:tcW w:w="240" w:type="dxa"/>
            <w:tcBorders/>
            <w:vAlign w:val="bottom"/>
          </w:tcPr>
          <w:p>
            <w:pPr>
              <w:pStyle w:val="TableContents"/>
              <w:bidi w:val="0"/>
              <w:spacing w:before="0" w:after="283"/>
              <w:jc w:val="left"/>
              <w:rPr/>
            </w:pPr>
            <w:r>
              <w:rPr/>
              <w:t> </w:t>
            </w:r>
          </w:p>
        </w:tc>
      </w:tr>
      <w:tr>
        <w:trPr/>
        <w:tc>
          <w:tcPr>
            <w:tcW w:w="79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bottom"/>
          </w:tcPr>
          <w:p>
            <w:pPr>
              <w:pStyle w:val="TableContents"/>
              <w:bidi w:val="0"/>
              <w:spacing w:before="0" w:after="0"/>
              <w:jc w:val="center"/>
              <w:rPr>
                <w:b/>
                <w:sz w:val="20"/>
              </w:rPr>
            </w:pPr>
            <w:r>
              <w:rPr>
                <w:b/>
                <w:sz w:val="20"/>
              </w:rPr>
              <w:t>2023</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0" w:type="dxa"/>
            <w:gridSpan w:val="2"/>
            <w:tcBorders>
              <w:bottom w:val="single" w:sz="12" w:space="0" w:color="000000"/>
            </w:tcBorders>
            <w:tcMar>
              <w:bottom w:w="28" w:type="dxa"/>
            </w:tcMar>
            <w:vAlign w:val="bottom"/>
          </w:tcPr>
          <w:p>
            <w:pPr>
              <w:pStyle w:val="TableContents"/>
              <w:bidi w:val="0"/>
              <w:spacing w:before="0" w:after="0"/>
              <w:jc w:val="center"/>
              <w:rPr>
                <w:b/>
                <w:sz w:val="20"/>
              </w:rPr>
            </w:pPr>
            <w:r>
              <w:rPr>
                <w:b/>
                <w:sz w:val="20"/>
              </w:rPr>
              <w:t>2022</w:t>
            </w:r>
          </w:p>
        </w:tc>
        <w:tc>
          <w:tcPr>
            <w:tcW w:w="240" w:type="dxa"/>
            <w:tcBorders/>
            <w:vAlign w:val="bottom"/>
          </w:tcPr>
          <w:p>
            <w:pPr>
              <w:pStyle w:val="TableContents"/>
              <w:bidi w:val="0"/>
              <w:spacing w:before="0" w:after="283"/>
              <w:jc w:val="left"/>
              <w:rPr/>
            </w:pPr>
            <w:r>
              <w:rPr/>
              <w:t> </w:t>
            </w:r>
          </w:p>
        </w:tc>
      </w:tr>
      <w:tr>
        <w:trPr/>
        <w:tc>
          <w:tcPr>
            <w:tcW w:w="79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40" w:type="dxa"/>
            <w:gridSpan w:val="6"/>
            <w:tcBorders>
              <w:bottom w:val="single" w:sz="12" w:space="0" w:color="000000"/>
            </w:tcBorders>
            <w:tcMar>
              <w:bottom w:w="28" w:type="dxa"/>
            </w:tcMar>
            <w:vAlign w:val="bottom"/>
          </w:tcPr>
          <w:p>
            <w:pPr>
              <w:pStyle w:val="TableContents"/>
              <w:bidi w:val="0"/>
              <w:spacing w:before="0" w:after="0"/>
              <w:jc w:val="center"/>
              <w:rPr>
                <w:b/>
                <w:sz w:val="20"/>
              </w:rPr>
            </w:pPr>
            <w:r>
              <w:rPr>
                <w:b/>
                <w:sz w:val="20"/>
              </w:rPr>
              <w:t>Unaudited</w:t>
            </w:r>
          </w:p>
        </w:tc>
        <w:tc>
          <w:tcPr>
            <w:tcW w:w="240" w:type="dxa"/>
            <w:tcBorders/>
            <w:vAlign w:val="bottom"/>
          </w:tcPr>
          <w:p>
            <w:pPr>
              <w:pStyle w:val="TableContents"/>
              <w:bidi w:val="0"/>
              <w:spacing w:before="0" w:after="283"/>
              <w:jc w:val="left"/>
              <w:rPr/>
            </w:pPr>
            <w:r>
              <w:rPr/>
              <w:t> </w:t>
            </w:r>
          </w:p>
        </w:tc>
      </w:tr>
      <w:tr>
        <w:trPr/>
        <w:tc>
          <w:tcPr>
            <w:tcW w:w="7925" w:type="dxa"/>
            <w:tcBorders/>
            <w:vAlign w:val="bottom"/>
          </w:tcPr>
          <w:p>
            <w:pPr>
              <w:pStyle w:val="TableContents"/>
              <w:bidi w:val="0"/>
              <w:spacing w:before="0" w:after="0"/>
              <w:ind w:left="180" w:right="0" w:hanging="180"/>
              <w:jc w:val="left"/>
              <w:rPr>
                <w:sz w:val="20"/>
                <w:u w:val="single"/>
              </w:rPr>
            </w:pPr>
            <w:r>
              <w:rPr>
                <w:sz w:val="20"/>
                <w:u w:val="single"/>
              </w:rPr>
              <w:t>Cash flows from operating activities</w:t>
            </w:r>
          </w:p>
        </w:tc>
        <w:tc>
          <w:tcPr>
            <w:tcW w:w="60" w:type="dxa"/>
            <w:tcBorders/>
            <w:vAlign w:val="bottom"/>
          </w:tcPr>
          <w:p>
            <w:pPr>
              <w:pStyle w:val="TableContents"/>
              <w:bidi w:val="0"/>
              <w:spacing w:before="0" w:after="283"/>
              <w:jc w:val="left"/>
              <w:rPr/>
            </w:pPr>
            <w:r>
              <w:rPr/>
              <w:t> </w:t>
            </w:r>
          </w:p>
        </w:tc>
        <w:tc>
          <w:tcPr>
            <w:tcW w:w="820" w:type="dxa"/>
            <w:gridSpan w:val="2"/>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0" w:type="dxa"/>
            <w:gridSpan w:val="2"/>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r>
      <w:tr>
        <w:trPr/>
        <w:tc>
          <w:tcPr>
            <w:tcW w:w="7925" w:type="dxa"/>
            <w:tcBorders/>
            <w:shd w:fill="CCEEFF" w:val="clear"/>
            <w:vAlign w:val="bottom"/>
          </w:tcPr>
          <w:p>
            <w:pPr>
              <w:pStyle w:val="TableContents"/>
              <w:bidi w:val="0"/>
              <w:spacing w:before="0" w:after="0"/>
              <w:ind w:left="180" w:right="0" w:hanging="180"/>
              <w:jc w:val="left"/>
              <w:rPr>
                <w:sz w:val="20"/>
              </w:rPr>
            </w:pPr>
            <w:r>
              <w:rPr>
                <w:sz w:val="20"/>
              </w:rPr>
              <w:t>Net loss</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sz w:val="20"/>
              </w:rPr>
            </w:pPr>
            <w:r>
              <w:rPr>
                <w:sz w:val="20"/>
              </w:rPr>
              <w:t>$</w:t>
            </w:r>
          </w:p>
        </w:tc>
        <w:tc>
          <w:tcPr>
            <w:tcW w:w="695" w:type="dxa"/>
            <w:tcBorders/>
            <w:shd w:fill="CCEEFF" w:val="clear"/>
            <w:vAlign w:val="bottom"/>
          </w:tcPr>
          <w:p>
            <w:pPr>
              <w:pStyle w:val="TableContents"/>
              <w:bidi w:val="0"/>
              <w:spacing w:before="0" w:after="0"/>
              <w:jc w:val="right"/>
              <w:rPr>
                <w:sz w:val="20"/>
              </w:rPr>
            </w:pPr>
            <w:r>
              <w:rPr>
                <w:sz w:val="20"/>
              </w:rPr>
              <w:t>(85,763</w:t>
            </w:r>
          </w:p>
        </w:tc>
        <w:tc>
          <w:tcPr>
            <w:tcW w:w="80" w:type="dxa"/>
            <w:tcBorders/>
            <w:shd w:fill="CCEEFF" w:val="clear"/>
            <w:vAlign w:val="bottom"/>
          </w:tcPr>
          <w:p>
            <w:pPr>
              <w:pStyle w:val="TableContents"/>
              <w:bidi w:val="0"/>
              <w:spacing w:before="0" w:after="0"/>
              <w:jc w:val="left"/>
              <w:rPr>
                <w:sz w:val="20"/>
              </w:rPr>
            </w:pPr>
            <w:r>
              <w:rPr>
                <w:sz w:val="20"/>
              </w:rPr>
              <w:t>)</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sz w:val="20"/>
              </w:rPr>
            </w:pPr>
            <w:r>
              <w:rPr>
                <w:sz w:val="20"/>
              </w:rPr>
              <w:t>$</w:t>
            </w:r>
          </w:p>
        </w:tc>
        <w:tc>
          <w:tcPr>
            <w:tcW w:w="755" w:type="dxa"/>
            <w:tcBorders/>
            <w:shd w:fill="CCEEFF" w:val="clear"/>
            <w:vAlign w:val="bottom"/>
          </w:tcPr>
          <w:p>
            <w:pPr>
              <w:pStyle w:val="TableContents"/>
              <w:bidi w:val="0"/>
              <w:spacing w:before="0" w:after="0"/>
              <w:jc w:val="right"/>
              <w:rPr>
                <w:sz w:val="20"/>
              </w:rPr>
            </w:pPr>
            <w:r>
              <w:rPr>
                <w:sz w:val="20"/>
              </w:rPr>
              <w:t>(27,159</w:t>
            </w:r>
          </w:p>
        </w:tc>
        <w:tc>
          <w:tcPr>
            <w:tcW w:w="240" w:type="dxa"/>
            <w:tcBorders/>
            <w:shd w:fill="CCEEFF" w:val="clear"/>
            <w:vAlign w:val="bottom"/>
          </w:tcPr>
          <w:p>
            <w:pPr>
              <w:pStyle w:val="TableContents"/>
              <w:bidi w:val="0"/>
              <w:spacing w:before="0" w:after="0"/>
              <w:jc w:val="left"/>
              <w:rPr>
                <w:sz w:val="20"/>
              </w:rPr>
            </w:pPr>
            <w:r>
              <w:rPr>
                <w:sz w:val="20"/>
              </w:rPr>
              <w:t>)</w:t>
            </w:r>
          </w:p>
        </w:tc>
      </w:tr>
      <w:tr>
        <w:trPr/>
        <w:tc>
          <w:tcPr>
            <w:tcW w:w="79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 </w:t>
            </w:r>
          </w:p>
        </w:tc>
        <w:tc>
          <w:tcPr>
            <w:tcW w:w="240" w:type="dxa"/>
            <w:tcBorders/>
            <w:vAlign w:val="bottom"/>
          </w:tcPr>
          <w:p>
            <w:pPr>
              <w:pStyle w:val="TableContents"/>
              <w:bidi w:val="0"/>
              <w:spacing w:before="0" w:after="283"/>
              <w:jc w:val="left"/>
              <w:rPr/>
            </w:pPr>
            <w:r>
              <w:rPr/>
              <w:t> </w:t>
            </w:r>
          </w:p>
        </w:tc>
      </w:tr>
      <w:tr>
        <w:trPr/>
        <w:tc>
          <w:tcPr>
            <w:tcW w:w="7925" w:type="dxa"/>
            <w:tcBorders/>
            <w:shd w:fill="CCEEFF" w:val="clear"/>
            <w:vAlign w:val="bottom"/>
          </w:tcPr>
          <w:p>
            <w:pPr>
              <w:pStyle w:val="TableContents"/>
              <w:bidi w:val="0"/>
              <w:spacing w:before="0" w:after="0"/>
              <w:ind w:left="180" w:right="0" w:hanging="180"/>
              <w:jc w:val="left"/>
              <w:rPr>
                <w:sz w:val="20"/>
                <w:u w:val="single"/>
              </w:rPr>
            </w:pPr>
            <w:r>
              <w:rPr>
                <w:sz w:val="20"/>
                <w:u w:val="single"/>
              </w:rPr>
              <w:t>Adjustments to reconcile net loss to net cash flows provided by operating activities:</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 </w:t>
            </w:r>
          </w:p>
        </w:tc>
        <w:tc>
          <w:tcPr>
            <w:tcW w:w="240" w:type="dxa"/>
            <w:tcBorders/>
            <w:shd w:fill="CCEEFF" w:val="clear"/>
            <w:vAlign w:val="bottom"/>
          </w:tcPr>
          <w:p>
            <w:pPr>
              <w:pStyle w:val="TableContents"/>
              <w:bidi w:val="0"/>
              <w:spacing w:before="0" w:after="283"/>
              <w:jc w:val="left"/>
              <w:rPr/>
            </w:pPr>
            <w:r>
              <w:rPr/>
              <w:t> </w:t>
            </w:r>
          </w:p>
        </w:tc>
      </w:tr>
      <w:tr>
        <w:trPr/>
        <w:tc>
          <w:tcPr>
            <w:tcW w:w="7925" w:type="dxa"/>
            <w:tcBorders/>
            <w:vAlign w:val="bottom"/>
          </w:tcPr>
          <w:p>
            <w:pPr>
              <w:pStyle w:val="TableContents"/>
              <w:bidi w:val="0"/>
              <w:spacing w:before="0" w:after="0"/>
              <w:ind w:left="180" w:right="0" w:hanging="0"/>
              <w:jc w:val="left"/>
              <w:rPr>
                <w:sz w:val="20"/>
              </w:rPr>
            </w:pPr>
            <w:r>
              <w:rPr>
                <w:sz w:val="20"/>
              </w:rPr>
              <w:t>Depreciation and amortization</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sz w:val="20"/>
              </w:rPr>
            </w:pPr>
            <w:r>
              <w:rPr>
                <w:sz w:val="20"/>
              </w:rPr>
              <w:t>70,709</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0"/>
              <w:jc w:val="right"/>
              <w:rPr>
                <w:sz w:val="20"/>
              </w:rPr>
            </w:pPr>
            <w:r>
              <w:rPr>
                <w:sz w:val="20"/>
              </w:rPr>
              <w:t>68,711</w:t>
            </w:r>
          </w:p>
        </w:tc>
        <w:tc>
          <w:tcPr>
            <w:tcW w:w="240" w:type="dxa"/>
            <w:tcBorders/>
            <w:vAlign w:val="bottom"/>
          </w:tcPr>
          <w:p>
            <w:pPr>
              <w:pStyle w:val="TableContents"/>
              <w:bidi w:val="0"/>
              <w:spacing w:before="0" w:after="283"/>
              <w:jc w:val="left"/>
              <w:rPr/>
            </w:pPr>
            <w:r>
              <w:rPr/>
              <w:t> </w:t>
            </w:r>
          </w:p>
        </w:tc>
      </w:tr>
      <w:tr>
        <w:trPr/>
        <w:tc>
          <w:tcPr>
            <w:tcW w:w="7925" w:type="dxa"/>
            <w:tcBorders/>
            <w:shd w:fill="CCEEFF" w:val="clear"/>
            <w:vAlign w:val="bottom"/>
          </w:tcPr>
          <w:p>
            <w:pPr>
              <w:pStyle w:val="TableContents"/>
              <w:bidi w:val="0"/>
              <w:spacing w:before="0" w:after="0"/>
              <w:ind w:left="180" w:right="0" w:hanging="0"/>
              <w:jc w:val="left"/>
              <w:rPr>
                <w:sz w:val="20"/>
              </w:rPr>
            </w:pPr>
            <w:r>
              <w:rPr>
                <w:sz w:val="20"/>
              </w:rPr>
              <w:t>Share-based compensation expenses</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sz w:val="20"/>
              </w:rPr>
            </w:pPr>
            <w:r>
              <w:rPr>
                <w:sz w:val="20"/>
              </w:rPr>
              <w:t>48,868</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0"/>
              <w:jc w:val="right"/>
              <w:rPr>
                <w:sz w:val="20"/>
              </w:rPr>
            </w:pPr>
            <w:r>
              <w:rPr>
                <w:sz w:val="20"/>
              </w:rPr>
              <w:t>58,971</w:t>
            </w:r>
          </w:p>
        </w:tc>
        <w:tc>
          <w:tcPr>
            <w:tcW w:w="240" w:type="dxa"/>
            <w:tcBorders/>
            <w:shd w:fill="CCEEFF" w:val="clear"/>
            <w:vAlign w:val="bottom"/>
          </w:tcPr>
          <w:p>
            <w:pPr>
              <w:pStyle w:val="TableContents"/>
              <w:bidi w:val="0"/>
              <w:spacing w:before="0" w:after="283"/>
              <w:jc w:val="left"/>
              <w:rPr/>
            </w:pPr>
            <w:r>
              <w:rPr/>
              <w:t> </w:t>
            </w:r>
          </w:p>
        </w:tc>
      </w:tr>
      <w:tr>
        <w:trPr/>
        <w:tc>
          <w:tcPr>
            <w:tcW w:w="7925" w:type="dxa"/>
            <w:tcBorders/>
            <w:vAlign w:val="bottom"/>
          </w:tcPr>
          <w:p>
            <w:pPr>
              <w:pStyle w:val="TableContents"/>
              <w:bidi w:val="0"/>
              <w:spacing w:before="0" w:after="0"/>
              <w:ind w:left="180" w:right="0" w:hanging="0"/>
              <w:jc w:val="left"/>
              <w:rPr>
                <w:sz w:val="20"/>
              </w:rPr>
            </w:pPr>
            <w:r>
              <w:rPr>
                <w:sz w:val="20"/>
              </w:rPr>
              <w:t>Net loss from financing expenses</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sz w:val="20"/>
              </w:rPr>
            </w:pPr>
            <w:r>
              <w:rPr>
                <w:sz w:val="20"/>
              </w:rPr>
              <w:t>1,269</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0"/>
              <w:jc w:val="right"/>
              <w:rPr>
                <w:sz w:val="20"/>
              </w:rPr>
            </w:pPr>
            <w:r>
              <w:rPr>
                <w:sz w:val="20"/>
              </w:rPr>
              <w:t>7,733</w:t>
            </w:r>
          </w:p>
        </w:tc>
        <w:tc>
          <w:tcPr>
            <w:tcW w:w="240" w:type="dxa"/>
            <w:tcBorders/>
            <w:vAlign w:val="bottom"/>
          </w:tcPr>
          <w:p>
            <w:pPr>
              <w:pStyle w:val="TableContents"/>
              <w:bidi w:val="0"/>
              <w:spacing w:before="0" w:after="283"/>
              <w:jc w:val="left"/>
              <w:rPr/>
            </w:pPr>
            <w:r>
              <w:rPr/>
              <w:t> </w:t>
            </w:r>
          </w:p>
        </w:tc>
      </w:tr>
      <w:tr>
        <w:trPr/>
        <w:tc>
          <w:tcPr>
            <w:tcW w:w="7925" w:type="dxa"/>
            <w:tcBorders/>
            <w:shd w:fill="CCEEFF" w:val="clear"/>
            <w:vAlign w:val="bottom"/>
          </w:tcPr>
          <w:p>
            <w:pPr>
              <w:pStyle w:val="TableContents"/>
              <w:bidi w:val="0"/>
              <w:spacing w:before="0" w:after="0"/>
              <w:ind w:left="180" w:right="0" w:hanging="0"/>
              <w:jc w:val="left"/>
              <w:rPr>
                <w:sz w:val="20"/>
              </w:rPr>
            </w:pPr>
            <w:r>
              <w:rPr>
                <w:sz w:val="20"/>
              </w:rPr>
              <w:t>Revaluation of the Warrants liability</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sz w:val="20"/>
              </w:rPr>
            </w:pPr>
            <w:r>
              <w:rPr>
                <w:sz w:val="20"/>
              </w:rPr>
              <w:t>(733</w:t>
            </w:r>
          </w:p>
        </w:tc>
        <w:tc>
          <w:tcPr>
            <w:tcW w:w="80" w:type="dxa"/>
            <w:tcBorders/>
            <w:shd w:fill="CCEEFF" w:val="clear"/>
            <w:vAlign w:val="bottom"/>
          </w:tcPr>
          <w:p>
            <w:pPr>
              <w:pStyle w:val="TableContents"/>
              <w:bidi w:val="0"/>
              <w:spacing w:before="0" w:after="0"/>
              <w:jc w:val="left"/>
              <w:rPr>
                <w:sz w:val="20"/>
              </w:rPr>
            </w:pPr>
            <w:r>
              <w:rPr>
                <w:sz w:val="20"/>
              </w:rPr>
              <w:t>)</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0"/>
              <w:jc w:val="right"/>
              <w:rPr>
                <w:sz w:val="20"/>
              </w:rPr>
            </w:pPr>
            <w:r>
              <w:rPr>
                <w:sz w:val="20"/>
              </w:rPr>
              <w:t>(26,988</w:t>
            </w:r>
          </w:p>
        </w:tc>
        <w:tc>
          <w:tcPr>
            <w:tcW w:w="240" w:type="dxa"/>
            <w:tcBorders/>
            <w:shd w:fill="CCEEFF" w:val="clear"/>
            <w:vAlign w:val="bottom"/>
          </w:tcPr>
          <w:p>
            <w:pPr>
              <w:pStyle w:val="TableContents"/>
              <w:bidi w:val="0"/>
              <w:spacing w:before="0" w:after="0"/>
              <w:jc w:val="left"/>
              <w:rPr>
                <w:sz w:val="20"/>
              </w:rPr>
            </w:pPr>
            <w:r>
              <w:rPr>
                <w:sz w:val="20"/>
              </w:rPr>
              <w:t>)</w:t>
            </w:r>
          </w:p>
        </w:tc>
      </w:tr>
      <w:tr>
        <w:trPr/>
        <w:tc>
          <w:tcPr>
            <w:tcW w:w="7925" w:type="dxa"/>
            <w:tcBorders/>
            <w:vAlign w:val="bottom"/>
          </w:tcPr>
          <w:p>
            <w:pPr>
              <w:pStyle w:val="TableContents"/>
              <w:bidi w:val="0"/>
              <w:spacing w:before="0" w:after="0"/>
              <w:ind w:left="180" w:right="0" w:hanging="0"/>
              <w:jc w:val="left"/>
              <w:rPr>
                <w:sz w:val="20"/>
              </w:rPr>
            </w:pPr>
            <w:r>
              <w:rPr>
                <w:sz w:val="20"/>
              </w:rPr>
              <w:t>Amortization of loan and credit facility issuance costs</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sz w:val="20"/>
              </w:rPr>
            </w:pPr>
            <w:r>
              <w:rPr>
                <w:sz w:val="20"/>
              </w:rPr>
              <w:t>1,220</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0"/>
              <w:jc w:val="right"/>
              <w:rPr>
                <w:sz w:val="20"/>
              </w:rPr>
            </w:pPr>
            <w:r>
              <w:rPr>
                <w:sz w:val="20"/>
              </w:rPr>
              <w:t>1,006</w:t>
            </w:r>
          </w:p>
        </w:tc>
        <w:tc>
          <w:tcPr>
            <w:tcW w:w="240" w:type="dxa"/>
            <w:tcBorders/>
            <w:vAlign w:val="bottom"/>
          </w:tcPr>
          <w:p>
            <w:pPr>
              <w:pStyle w:val="TableContents"/>
              <w:bidi w:val="0"/>
              <w:spacing w:before="0" w:after="283"/>
              <w:jc w:val="left"/>
              <w:rPr/>
            </w:pPr>
            <w:r>
              <w:rPr/>
              <w:t> </w:t>
            </w:r>
          </w:p>
        </w:tc>
      </w:tr>
      <w:tr>
        <w:trPr/>
        <w:tc>
          <w:tcPr>
            <w:tcW w:w="7925" w:type="dxa"/>
            <w:tcBorders/>
            <w:shd w:fill="CCEEFF" w:val="clear"/>
            <w:vAlign w:val="bottom"/>
          </w:tcPr>
          <w:p>
            <w:pPr>
              <w:pStyle w:val="TableContents"/>
              <w:bidi w:val="0"/>
              <w:spacing w:before="0" w:after="0"/>
              <w:ind w:left="180" w:right="0" w:hanging="0"/>
              <w:jc w:val="left"/>
              <w:rPr>
                <w:sz w:val="20"/>
              </w:rPr>
            </w:pPr>
            <w:r>
              <w:rPr>
                <w:sz w:val="20"/>
              </w:rPr>
              <w:t>Amortization of premium and accretion of discount on short-term investments, net</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sz w:val="20"/>
              </w:rPr>
            </w:pPr>
            <w:r>
              <w:rPr>
                <w:sz w:val="20"/>
              </w:rPr>
              <w:t>(923</w:t>
            </w:r>
          </w:p>
        </w:tc>
        <w:tc>
          <w:tcPr>
            <w:tcW w:w="80" w:type="dxa"/>
            <w:tcBorders/>
            <w:shd w:fill="CCEEFF" w:val="clear"/>
            <w:vAlign w:val="bottom"/>
          </w:tcPr>
          <w:p>
            <w:pPr>
              <w:pStyle w:val="TableContents"/>
              <w:bidi w:val="0"/>
              <w:spacing w:before="0" w:after="0"/>
              <w:jc w:val="left"/>
              <w:rPr>
                <w:sz w:val="20"/>
              </w:rPr>
            </w:pPr>
            <w:r>
              <w:rPr>
                <w:sz w:val="20"/>
              </w:rPr>
              <w:t>)</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0"/>
              <w:jc w:val="right"/>
              <w:rPr>
                <w:sz w:val="20"/>
              </w:rPr>
            </w:pPr>
            <w:r>
              <w:rPr>
                <w:sz w:val="20"/>
              </w:rPr>
              <w:t>(322</w:t>
            </w:r>
          </w:p>
        </w:tc>
        <w:tc>
          <w:tcPr>
            <w:tcW w:w="240" w:type="dxa"/>
            <w:tcBorders/>
            <w:shd w:fill="CCEEFF" w:val="clear"/>
            <w:vAlign w:val="bottom"/>
          </w:tcPr>
          <w:p>
            <w:pPr>
              <w:pStyle w:val="TableContents"/>
              <w:bidi w:val="0"/>
              <w:spacing w:before="0" w:after="0"/>
              <w:jc w:val="left"/>
              <w:rPr>
                <w:sz w:val="20"/>
              </w:rPr>
            </w:pPr>
            <w:r>
              <w:rPr>
                <w:sz w:val="20"/>
              </w:rPr>
              <w:t>)</w:t>
            </w:r>
          </w:p>
        </w:tc>
      </w:tr>
      <w:tr>
        <w:trPr/>
        <w:tc>
          <w:tcPr>
            <w:tcW w:w="79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 </w:t>
            </w:r>
          </w:p>
        </w:tc>
        <w:tc>
          <w:tcPr>
            <w:tcW w:w="240" w:type="dxa"/>
            <w:tcBorders/>
            <w:vAlign w:val="bottom"/>
          </w:tcPr>
          <w:p>
            <w:pPr>
              <w:pStyle w:val="TableContents"/>
              <w:bidi w:val="0"/>
              <w:spacing w:before="0" w:after="283"/>
              <w:jc w:val="left"/>
              <w:rPr/>
            </w:pPr>
            <w:r>
              <w:rPr/>
              <w:t> </w:t>
            </w:r>
          </w:p>
        </w:tc>
      </w:tr>
      <w:tr>
        <w:trPr/>
        <w:tc>
          <w:tcPr>
            <w:tcW w:w="7925" w:type="dxa"/>
            <w:tcBorders/>
            <w:shd w:fill="CCEEFF" w:val="clear"/>
            <w:vAlign w:val="bottom"/>
          </w:tcPr>
          <w:p>
            <w:pPr>
              <w:pStyle w:val="TableContents"/>
              <w:bidi w:val="0"/>
              <w:spacing w:before="0" w:after="0"/>
              <w:ind w:left="180" w:right="0" w:hanging="180"/>
              <w:jc w:val="left"/>
              <w:rPr>
                <w:sz w:val="20"/>
                <w:u w:val="single"/>
              </w:rPr>
            </w:pPr>
            <w:r>
              <w:rPr>
                <w:sz w:val="20"/>
                <w:u w:val="single"/>
              </w:rPr>
              <w:t>Change in operating assets and liabilities:</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 </w:t>
            </w:r>
          </w:p>
        </w:tc>
        <w:tc>
          <w:tcPr>
            <w:tcW w:w="240" w:type="dxa"/>
            <w:tcBorders/>
            <w:shd w:fill="CCEEFF" w:val="clear"/>
            <w:vAlign w:val="bottom"/>
          </w:tcPr>
          <w:p>
            <w:pPr>
              <w:pStyle w:val="TableContents"/>
              <w:bidi w:val="0"/>
              <w:spacing w:before="0" w:after="283"/>
              <w:jc w:val="left"/>
              <w:rPr/>
            </w:pPr>
            <w:r>
              <w:rPr/>
              <w:t> </w:t>
            </w:r>
          </w:p>
        </w:tc>
      </w:tr>
      <w:tr>
        <w:trPr/>
        <w:tc>
          <w:tcPr>
            <w:tcW w:w="7925" w:type="dxa"/>
            <w:tcBorders/>
            <w:vAlign w:val="bottom"/>
          </w:tcPr>
          <w:p>
            <w:pPr>
              <w:pStyle w:val="TableContents"/>
              <w:bidi w:val="0"/>
              <w:spacing w:before="0" w:after="0"/>
              <w:ind w:left="180" w:right="0" w:hanging="0"/>
              <w:jc w:val="left"/>
              <w:rPr>
                <w:sz w:val="20"/>
              </w:rPr>
            </w:pPr>
            <w:r>
              <w:rPr>
                <w:sz w:val="20"/>
              </w:rPr>
              <w:t>Decrease in trade receivables, net</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sz w:val="20"/>
              </w:rPr>
            </w:pPr>
            <w:r>
              <w:rPr>
                <w:sz w:val="20"/>
              </w:rPr>
              <w:t>24,590</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0"/>
              <w:jc w:val="right"/>
              <w:rPr>
                <w:sz w:val="20"/>
              </w:rPr>
            </w:pPr>
            <w:r>
              <w:rPr>
                <w:sz w:val="20"/>
              </w:rPr>
              <w:t>60,672</w:t>
            </w:r>
          </w:p>
        </w:tc>
        <w:tc>
          <w:tcPr>
            <w:tcW w:w="240" w:type="dxa"/>
            <w:tcBorders/>
            <w:vAlign w:val="bottom"/>
          </w:tcPr>
          <w:p>
            <w:pPr>
              <w:pStyle w:val="TableContents"/>
              <w:bidi w:val="0"/>
              <w:spacing w:before="0" w:after="283"/>
              <w:jc w:val="left"/>
              <w:rPr/>
            </w:pPr>
            <w:r>
              <w:rPr/>
              <w:t> </w:t>
            </w:r>
          </w:p>
        </w:tc>
      </w:tr>
      <w:tr>
        <w:trPr/>
        <w:tc>
          <w:tcPr>
            <w:tcW w:w="7925" w:type="dxa"/>
            <w:tcBorders/>
            <w:shd w:fill="CCEEFF" w:val="clear"/>
            <w:vAlign w:val="bottom"/>
          </w:tcPr>
          <w:p>
            <w:pPr>
              <w:pStyle w:val="TableContents"/>
              <w:bidi w:val="0"/>
              <w:spacing w:before="0" w:after="0"/>
              <w:ind w:left="180" w:right="0" w:hanging="0"/>
              <w:jc w:val="left"/>
              <w:rPr>
                <w:sz w:val="20"/>
              </w:rPr>
            </w:pPr>
            <w:r>
              <w:rPr>
                <w:sz w:val="20"/>
              </w:rPr>
              <w:t>Decrease (increase) in prepaid expenses and other current assets and long-term prepaid expenses</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sz w:val="20"/>
              </w:rPr>
            </w:pPr>
            <w:r>
              <w:rPr>
                <w:sz w:val="20"/>
              </w:rPr>
              <w:t>2,554</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0"/>
              <w:jc w:val="right"/>
              <w:rPr>
                <w:sz w:val="20"/>
              </w:rPr>
            </w:pPr>
            <w:r>
              <w:rPr>
                <w:sz w:val="20"/>
              </w:rPr>
              <w:t>(13,921</w:t>
            </w:r>
          </w:p>
        </w:tc>
        <w:tc>
          <w:tcPr>
            <w:tcW w:w="240" w:type="dxa"/>
            <w:tcBorders/>
            <w:shd w:fill="CCEEFF" w:val="clear"/>
            <w:vAlign w:val="bottom"/>
          </w:tcPr>
          <w:p>
            <w:pPr>
              <w:pStyle w:val="TableContents"/>
              <w:bidi w:val="0"/>
              <w:spacing w:before="0" w:after="0"/>
              <w:jc w:val="left"/>
              <w:rPr>
                <w:sz w:val="20"/>
              </w:rPr>
            </w:pPr>
            <w:r>
              <w:rPr>
                <w:sz w:val="20"/>
              </w:rPr>
              <w:t>)</w:t>
            </w:r>
          </w:p>
        </w:tc>
      </w:tr>
      <w:tr>
        <w:trPr/>
        <w:tc>
          <w:tcPr>
            <w:tcW w:w="7925" w:type="dxa"/>
            <w:tcBorders/>
            <w:vAlign w:val="bottom"/>
          </w:tcPr>
          <w:p>
            <w:pPr>
              <w:pStyle w:val="TableContents"/>
              <w:bidi w:val="0"/>
              <w:spacing w:before="0" w:after="0"/>
              <w:ind w:left="180" w:right="0" w:hanging="0"/>
              <w:jc w:val="left"/>
              <w:rPr>
                <w:sz w:val="20"/>
              </w:rPr>
            </w:pPr>
            <w:r>
              <w:rPr>
                <w:sz w:val="20"/>
              </w:rPr>
              <w:t>Increase (decrease) in trade payables</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sz w:val="20"/>
              </w:rPr>
            </w:pPr>
            <w:r>
              <w:rPr>
                <w:sz w:val="20"/>
              </w:rPr>
              <w:t>2,222</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0"/>
              <w:jc w:val="right"/>
              <w:rPr>
                <w:sz w:val="20"/>
              </w:rPr>
            </w:pPr>
            <w:r>
              <w:rPr>
                <w:sz w:val="20"/>
              </w:rPr>
              <w:t>(54,659</w:t>
            </w:r>
          </w:p>
        </w:tc>
        <w:tc>
          <w:tcPr>
            <w:tcW w:w="240" w:type="dxa"/>
            <w:tcBorders/>
            <w:vAlign w:val="bottom"/>
          </w:tcPr>
          <w:p>
            <w:pPr>
              <w:pStyle w:val="TableContents"/>
              <w:bidi w:val="0"/>
              <w:spacing w:before="0" w:after="0"/>
              <w:jc w:val="left"/>
              <w:rPr>
                <w:sz w:val="20"/>
              </w:rPr>
            </w:pPr>
            <w:r>
              <w:rPr>
                <w:sz w:val="20"/>
              </w:rPr>
              <w:t>)</w:t>
            </w:r>
          </w:p>
        </w:tc>
      </w:tr>
      <w:tr>
        <w:trPr/>
        <w:tc>
          <w:tcPr>
            <w:tcW w:w="7925" w:type="dxa"/>
            <w:tcBorders/>
            <w:shd w:fill="CCEEFF" w:val="clear"/>
            <w:vAlign w:val="bottom"/>
          </w:tcPr>
          <w:p>
            <w:pPr>
              <w:pStyle w:val="TableContents"/>
              <w:bidi w:val="0"/>
              <w:spacing w:before="0" w:after="0"/>
              <w:ind w:left="180" w:right="0" w:hanging="0"/>
              <w:jc w:val="left"/>
              <w:rPr>
                <w:sz w:val="20"/>
              </w:rPr>
            </w:pPr>
            <w:r>
              <w:rPr>
                <w:sz w:val="20"/>
              </w:rPr>
              <w:t>Increase (decrease) in accrued expenses and other current liabilities and other long-term liabilities</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sz w:val="20"/>
              </w:rPr>
            </w:pPr>
            <w:r>
              <w:rPr>
                <w:sz w:val="20"/>
              </w:rPr>
              <w:t>5,377</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0"/>
              <w:jc w:val="right"/>
              <w:rPr>
                <w:sz w:val="20"/>
              </w:rPr>
            </w:pPr>
            <w:r>
              <w:rPr>
                <w:sz w:val="20"/>
              </w:rPr>
              <w:t>(25,516</w:t>
            </w:r>
          </w:p>
        </w:tc>
        <w:tc>
          <w:tcPr>
            <w:tcW w:w="240" w:type="dxa"/>
            <w:tcBorders/>
            <w:shd w:fill="CCEEFF" w:val="clear"/>
            <w:vAlign w:val="bottom"/>
          </w:tcPr>
          <w:p>
            <w:pPr>
              <w:pStyle w:val="TableContents"/>
              <w:bidi w:val="0"/>
              <w:spacing w:before="0" w:after="0"/>
              <w:jc w:val="left"/>
              <w:rPr>
                <w:sz w:val="20"/>
              </w:rPr>
            </w:pPr>
            <w:r>
              <w:rPr>
                <w:sz w:val="20"/>
              </w:rPr>
              <w:t>)</w:t>
            </w:r>
          </w:p>
        </w:tc>
      </w:tr>
      <w:tr>
        <w:trPr/>
        <w:tc>
          <w:tcPr>
            <w:tcW w:w="7925" w:type="dxa"/>
            <w:tcBorders/>
            <w:vAlign w:val="bottom"/>
          </w:tcPr>
          <w:p>
            <w:pPr>
              <w:pStyle w:val="TableContents"/>
              <w:bidi w:val="0"/>
              <w:spacing w:before="0" w:after="0"/>
              <w:ind w:left="180" w:right="0" w:hanging="0"/>
              <w:jc w:val="left"/>
              <w:rPr>
                <w:sz w:val="20"/>
              </w:rPr>
            </w:pPr>
            <w:r>
              <w:rPr>
                <w:sz w:val="20"/>
              </w:rPr>
              <w:t>Decrease in deferred taxes, net</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sz w:val="20"/>
              </w:rPr>
            </w:pPr>
            <w:r>
              <w:rPr>
                <w:sz w:val="20"/>
              </w:rPr>
              <w:t>(8,218</w:t>
            </w:r>
          </w:p>
        </w:tc>
        <w:tc>
          <w:tcPr>
            <w:tcW w:w="80" w:type="dxa"/>
            <w:tcBorders/>
            <w:vAlign w:val="bottom"/>
          </w:tcPr>
          <w:p>
            <w:pPr>
              <w:pStyle w:val="TableContents"/>
              <w:bidi w:val="0"/>
              <w:spacing w:before="0" w:after="0"/>
              <w:jc w:val="left"/>
              <w:rPr>
                <w:sz w:val="20"/>
              </w:rPr>
            </w:pPr>
            <w:r>
              <w:rPr>
                <w:sz w:val="20"/>
              </w:rPr>
              <w:t>)</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0"/>
              <w:jc w:val="right"/>
              <w:rPr>
                <w:sz w:val="20"/>
              </w:rPr>
            </w:pPr>
            <w:r>
              <w:rPr>
                <w:sz w:val="20"/>
              </w:rPr>
              <w:t>(9,676</w:t>
            </w:r>
          </w:p>
        </w:tc>
        <w:tc>
          <w:tcPr>
            <w:tcW w:w="240" w:type="dxa"/>
            <w:tcBorders/>
            <w:vAlign w:val="bottom"/>
          </w:tcPr>
          <w:p>
            <w:pPr>
              <w:pStyle w:val="TableContents"/>
              <w:bidi w:val="0"/>
              <w:spacing w:before="0" w:after="0"/>
              <w:jc w:val="left"/>
              <w:rPr>
                <w:sz w:val="20"/>
              </w:rPr>
            </w:pPr>
            <w:r>
              <w:rPr>
                <w:sz w:val="20"/>
              </w:rPr>
              <w:t>)</w:t>
            </w:r>
          </w:p>
        </w:tc>
      </w:tr>
      <w:tr>
        <w:trPr/>
        <w:tc>
          <w:tcPr>
            <w:tcW w:w="7925" w:type="dxa"/>
            <w:tcBorders/>
            <w:shd w:fill="CCEEFF" w:val="clear"/>
            <w:vAlign w:val="bottom"/>
          </w:tcPr>
          <w:p>
            <w:pPr>
              <w:pStyle w:val="TableContents"/>
              <w:bidi w:val="0"/>
              <w:spacing w:before="0" w:after="0"/>
              <w:ind w:left="180" w:right="0" w:hanging="0"/>
              <w:jc w:val="left"/>
              <w:rPr>
                <w:sz w:val="20"/>
              </w:rPr>
            </w:pPr>
            <w:r>
              <w:rPr>
                <w:sz w:val="20"/>
              </w:rPr>
              <w:t>Change in operating lease right of use assets</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sz w:val="20"/>
              </w:rPr>
            </w:pPr>
            <w:r>
              <w:rPr>
                <w:sz w:val="20"/>
              </w:rPr>
              <w:t>12,447</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0"/>
              <w:jc w:val="right"/>
              <w:rPr>
                <w:sz w:val="20"/>
              </w:rPr>
            </w:pPr>
            <w:r>
              <w:rPr>
                <w:sz w:val="20"/>
              </w:rPr>
              <w:t>11,536</w:t>
            </w:r>
          </w:p>
        </w:tc>
        <w:tc>
          <w:tcPr>
            <w:tcW w:w="240" w:type="dxa"/>
            <w:tcBorders/>
            <w:shd w:fill="CCEEFF" w:val="clear"/>
            <w:vAlign w:val="bottom"/>
          </w:tcPr>
          <w:p>
            <w:pPr>
              <w:pStyle w:val="TableContents"/>
              <w:bidi w:val="0"/>
              <w:spacing w:before="0" w:after="283"/>
              <w:jc w:val="left"/>
              <w:rPr/>
            </w:pPr>
            <w:r>
              <w:rPr/>
              <w:t> </w:t>
            </w:r>
          </w:p>
        </w:tc>
      </w:tr>
      <w:tr>
        <w:trPr/>
        <w:tc>
          <w:tcPr>
            <w:tcW w:w="7925" w:type="dxa"/>
            <w:tcBorders/>
            <w:vAlign w:val="bottom"/>
          </w:tcPr>
          <w:p>
            <w:pPr>
              <w:pStyle w:val="TableContents"/>
              <w:bidi w:val="0"/>
              <w:spacing w:before="0" w:after="0"/>
              <w:ind w:left="180" w:right="0" w:hanging="0"/>
              <w:jc w:val="left"/>
              <w:rPr>
                <w:sz w:val="20"/>
              </w:rPr>
            </w:pPr>
            <w:r>
              <w:rPr>
                <w:sz w:val="20"/>
              </w:rPr>
              <w:t>Change in operating lease liabilities</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tcMar>
              <w:bottom w:w="28" w:type="dxa"/>
            </w:tcMar>
            <w:vAlign w:val="bottom"/>
          </w:tcPr>
          <w:p>
            <w:pPr>
              <w:pStyle w:val="TableContents"/>
              <w:bidi w:val="0"/>
              <w:spacing w:before="0" w:after="0"/>
              <w:jc w:val="right"/>
              <w:rPr>
                <w:sz w:val="20"/>
              </w:rPr>
            </w:pPr>
            <w:r>
              <w:rPr>
                <w:sz w:val="20"/>
              </w:rPr>
              <w:t>(12,038</w:t>
            </w:r>
          </w:p>
        </w:tc>
        <w:tc>
          <w:tcPr>
            <w:tcW w:w="80" w:type="dxa"/>
            <w:tcBorders/>
            <w:vAlign w:val="bottom"/>
          </w:tcPr>
          <w:p>
            <w:pPr>
              <w:pStyle w:val="TableContents"/>
              <w:bidi w:val="0"/>
              <w:spacing w:before="0" w:after="0"/>
              <w:jc w:val="left"/>
              <w:rPr>
                <w:sz w:val="20"/>
              </w:rPr>
            </w:pPr>
            <w:r>
              <w:rPr>
                <w:sz w:val="20"/>
              </w:rPr>
              <w:t>)</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755" w:type="dxa"/>
            <w:tcBorders>
              <w:bottom w:val="single" w:sz="12" w:space="0" w:color="000000"/>
            </w:tcBorders>
            <w:tcMar>
              <w:bottom w:w="28" w:type="dxa"/>
            </w:tcMar>
            <w:vAlign w:val="bottom"/>
          </w:tcPr>
          <w:p>
            <w:pPr>
              <w:pStyle w:val="TableContents"/>
              <w:bidi w:val="0"/>
              <w:spacing w:before="0" w:after="0"/>
              <w:jc w:val="right"/>
              <w:rPr>
                <w:sz w:val="20"/>
              </w:rPr>
            </w:pPr>
            <w:r>
              <w:rPr>
                <w:sz w:val="20"/>
              </w:rPr>
              <w:t>(16,962</w:t>
            </w:r>
          </w:p>
        </w:tc>
        <w:tc>
          <w:tcPr>
            <w:tcW w:w="240" w:type="dxa"/>
            <w:tcBorders/>
            <w:vAlign w:val="bottom"/>
          </w:tcPr>
          <w:p>
            <w:pPr>
              <w:pStyle w:val="TableContents"/>
              <w:bidi w:val="0"/>
              <w:spacing w:before="0" w:after="0"/>
              <w:jc w:val="left"/>
              <w:rPr>
                <w:sz w:val="20"/>
              </w:rPr>
            </w:pPr>
            <w:r>
              <w:rPr>
                <w:sz w:val="20"/>
              </w:rPr>
              <w:t>)</w:t>
            </w:r>
          </w:p>
        </w:tc>
      </w:tr>
      <w:tr>
        <w:trPr/>
        <w:tc>
          <w:tcPr>
            <w:tcW w:w="7925" w:type="dxa"/>
            <w:tcBorders/>
            <w:shd w:fill="CCEEFF" w:val="clear"/>
            <w:vAlign w:val="bottom"/>
          </w:tcPr>
          <w:p>
            <w:pPr>
              <w:pStyle w:val="TableContents"/>
              <w:bidi w:val="0"/>
              <w:spacing w:before="0" w:after="0"/>
              <w:ind w:left="180" w:right="0" w:hanging="180"/>
              <w:jc w:val="left"/>
              <w:rPr>
                <w:sz w:val="20"/>
              </w:rPr>
            </w:pPr>
            <w:r>
              <w:rPr>
                <w:sz w:val="20"/>
              </w:rPr>
              <w:t>Net cash provided by operating activities</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shd w:fill="CCEEFF" w:val="clear"/>
            <w:tcMar>
              <w:bottom w:w="28" w:type="dxa"/>
            </w:tcMar>
            <w:vAlign w:val="bottom"/>
          </w:tcPr>
          <w:p>
            <w:pPr>
              <w:pStyle w:val="TableContents"/>
              <w:bidi w:val="0"/>
              <w:spacing w:before="0" w:after="0"/>
              <w:jc w:val="right"/>
              <w:rPr>
                <w:sz w:val="20"/>
              </w:rPr>
            </w:pPr>
            <w:r>
              <w:rPr>
                <w:sz w:val="20"/>
              </w:rPr>
              <w:t>61,581</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bottom"/>
          </w:tcPr>
          <w:p>
            <w:pPr>
              <w:pStyle w:val="TableContents"/>
              <w:bidi w:val="0"/>
              <w:spacing w:before="0" w:after="0"/>
              <w:jc w:val="right"/>
              <w:rPr>
                <w:sz w:val="20"/>
              </w:rPr>
            </w:pPr>
            <w:r>
              <w:rPr>
                <w:sz w:val="20"/>
              </w:rPr>
              <w:t>33,426</w:t>
            </w:r>
          </w:p>
        </w:tc>
        <w:tc>
          <w:tcPr>
            <w:tcW w:w="240" w:type="dxa"/>
            <w:tcBorders/>
            <w:shd w:fill="CCEEFF" w:val="clear"/>
            <w:vAlign w:val="bottom"/>
          </w:tcPr>
          <w:p>
            <w:pPr>
              <w:pStyle w:val="TableContents"/>
              <w:bidi w:val="0"/>
              <w:spacing w:before="0" w:after="283"/>
              <w:jc w:val="left"/>
              <w:rPr/>
            </w:pPr>
            <w:r>
              <w:rPr/>
              <w:t> </w:t>
            </w:r>
          </w:p>
        </w:tc>
      </w:tr>
      <w:tr>
        <w:trPr/>
        <w:tc>
          <w:tcPr>
            <w:tcW w:w="79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 </w:t>
            </w:r>
          </w:p>
        </w:tc>
        <w:tc>
          <w:tcPr>
            <w:tcW w:w="240" w:type="dxa"/>
            <w:tcBorders/>
            <w:vAlign w:val="bottom"/>
          </w:tcPr>
          <w:p>
            <w:pPr>
              <w:pStyle w:val="TableContents"/>
              <w:bidi w:val="0"/>
              <w:spacing w:before="0" w:after="283"/>
              <w:jc w:val="left"/>
              <w:rPr/>
            </w:pPr>
            <w:r>
              <w:rPr/>
              <w:t> </w:t>
            </w:r>
          </w:p>
        </w:tc>
      </w:tr>
      <w:tr>
        <w:trPr/>
        <w:tc>
          <w:tcPr>
            <w:tcW w:w="7925" w:type="dxa"/>
            <w:tcBorders/>
            <w:shd w:fill="CCEEFF" w:val="clear"/>
            <w:vAlign w:val="bottom"/>
          </w:tcPr>
          <w:p>
            <w:pPr>
              <w:pStyle w:val="TableContents"/>
              <w:bidi w:val="0"/>
              <w:spacing w:before="0" w:after="0"/>
              <w:ind w:left="180" w:right="0" w:hanging="180"/>
              <w:jc w:val="left"/>
              <w:rPr>
                <w:sz w:val="20"/>
                <w:u w:val="single"/>
              </w:rPr>
            </w:pPr>
            <w:r>
              <w:rPr>
                <w:sz w:val="20"/>
                <w:u w:val="single"/>
              </w:rPr>
              <w:t>Cash flows from investing activities</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 </w:t>
            </w:r>
          </w:p>
        </w:tc>
        <w:tc>
          <w:tcPr>
            <w:tcW w:w="240" w:type="dxa"/>
            <w:tcBorders/>
            <w:shd w:fill="CCEEFF" w:val="clear"/>
            <w:vAlign w:val="bottom"/>
          </w:tcPr>
          <w:p>
            <w:pPr>
              <w:pStyle w:val="TableContents"/>
              <w:bidi w:val="0"/>
              <w:spacing w:before="0" w:after="283"/>
              <w:jc w:val="left"/>
              <w:rPr/>
            </w:pPr>
            <w:r>
              <w:rPr/>
              <w:t> </w:t>
            </w:r>
          </w:p>
        </w:tc>
      </w:tr>
      <w:tr>
        <w:trPr/>
        <w:tc>
          <w:tcPr>
            <w:tcW w:w="7925" w:type="dxa"/>
            <w:tcBorders/>
            <w:vAlign w:val="bottom"/>
          </w:tcPr>
          <w:p>
            <w:pPr>
              <w:pStyle w:val="TableContents"/>
              <w:bidi w:val="0"/>
              <w:spacing w:before="0" w:after="0"/>
              <w:ind w:left="180" w:right="0" w:hanging="0"/>
              <w:jc w:val="left"/>
              <w:rPr>
                <w:sz w:val="20"/>
              </w:rPr>
            </w:pPr>
            <w:r>
              <w:rPr>
                <w:sz w:val="20"/>
              </w:rPr>
              <w:t>Purchase of property and equipment, including capitalized internal-use software</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sz w:val="20"/>
              </w:rPr>
            </w:pPr>
            <w:r>
              <w:rPr>
                <w:sz w:val="20"/>
              </w:rPr>
              <w:t>(19,839</w:t>
            </w:r>
          </w:p>
        </w:tc>
        <w:tc>
          <w:tcPr>
            <w:tcW w:w="80" w:type="dxa"/>
            <w:tcBorders/>
            <w:vAlign w:val="bottom"/>
          </w:tcPr>
          <w:p>
            <w:pPr>
              <w:pStyle w:val="TableContents"/>
              <w:bidi w:val="0"/>
              <w:spacing w:before="0" w:after="0"/>
              <w:jc w:val="left"/>
              <w:rPr>
                <w:sz w:val="20"/>
              </w:rPr>
            </w:pPr>
            <w:r>
              <w:rPr>
                <w:sz w:val="20"/>
              </w:rPr>
              <w:t>)</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0"/>
              <w:jc w:val="right"/>
              <w:rPr>
                <w:sz w:val="20"/>
              </w:rPr>
            </w:pPr>
            <w:r>
              <w:rPr>
                <w:sz w:val="20"/>
              </w:rPr>
              <w:t>(28,476</w:t>
            </w:r>
          </w:p>
        </w:tc>
        <w:tc>
          <w:tcPr>
            <w:tcW w:w="240" w:type="dxa"/>
            <w:tcBorders/>
            <w:vAlign w:val="bottom"/>
          </w:tcPr>
          <w:p>
            <w:pPr>
              <w:pStyle w:val="TableContents"/>
              <w:bidi w:val="0"/>
              <w:spacing w:before="0" w:after="0"/>
              <w:jc w:val="left"/>
              <w:rPr>
                <w:sz w:val="20"/>
              </w:rPr>
            </w:pPr>
            <w:r>
              <w:rPr>
                <w:sz w:val="20"/>
              </w:rPr>
              <w:t>)</w:t>
            </w:r>
          </w:p>
        </w:tc>
      </w:tr>
      <w:tr>
        <w:trPr/>
        <w:tc>
          <w:tcPr>
            <w:tcW w:w="7925" w:type="dxa"/>
            <w:tcBorders/>
            <w:shd w:fill="CCEEFF" w:val="clear"/>
            <w:vAlign w:val="bottom"/>
          </w:tcPr>
          <w:p>
            <w:pPr>
              <w:pStyle w:val="TableContents"/>
              <w:bidi w:val="0"/>
              <w:spacing w:before="0" w:after="0"/>
              <w:ind w:left="180" w:right="0" w:hanging="0"/>
              <w:jc w:val="left"/>
              <w:rPr>
                <w:sz w:val="20"/>
              </w:rPr>
            </w:pPr>
            <w:r>
              <w:rPr>
                <w:sz w:val="20"/>
              </w:rPr>
              <w:t>Cash paid in connection with acquisitions, net of cash acquired</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pPr>
            <w:r>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0"/>
              <w:jc w:val="right"/>
              <w:rPr>
                <w:sz w:val="20"/>
              </w:rPr>
            </w:pPr>
            <w:r>
              <w:rPr>
                <w:sz w:val="20"/>
              </w:rPr>
              <w:t>(7,981</w:t>
            </w:r>
          </w:p>
        </w:tc>
        <w:tc>
          <w:tcPr>
            <w:tcW w:w="240" w:type="dxa"/>
            <w:tcBorders/>
            <w:shd w:fill="CCEEFF" w:val="clear"/>
            <w:vAlign w:val="bottom"/>
          </w:tcPr>
          <w:p>
            <w:pPr>
              <w:pStyle w:val="TableContents"/>
              <w:bidi w:val="0"/>
              <w:spacing w:before="0" w:after="0"/>
              <w:jc w:val="left"/>
              <w:rPr>
                <w:sz w:val="20"/>
              </w:rPr>
            </w:pPr>
            <w:r>
              <w:rPr>
                <w:sz w:val="20"/>
              </w:rPr>
              <w:t>)</w:t>
            </w:r>
          </w:p>
        </w:tc>
      </w:tr>
      <w:tr>
        <w:trPr/>
        <w:tc>
          <w:tcPr>
            <w:tcW w:w="7925" w:type="dxa"/>
            <w:tcBorders/>
            <w:vAlign w:val="bottom"/>
          </w:tcPr>
          <w:p>
            <w:pPr>
              <w:pStyle w:val="TableContents"/>
              <w:bidi w:val="0"/>
              <w:spacing w:before="0" w:after="0"/>
              <w:ind w:left="180" w:right="0" w:hanging="0"/>
              <w:jc w:val="left"/>
              <w:rPr>
                <w:sz w:val="20"/>
              </w:rPr>
            </w:pPr>
            <w:r>
              <w:rPr>
                <w:sz w:val="20"/>
              </w:rPr>
              <w:t>Proceeds from (investment in) restricted deposits</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sz w:val="20"/>
              </w:rPr>
            </w:pPr>
            <w:r>
              <w:rPr>
                <w:sz w:val="20"/>
              </w:rPr>
              <w:t>(594</w:t>
            </w:r>
          </w:p>
        </w:tc>
        <w:tc>
          <w:tcPr>
            <w:tcW w:w="80" w:type="dxa"/>
            <w:tcBorders/>
            <w:vAlign w:val="bottom"/>
          </w:tcPr>
          <w:p>
            <w:pPr>
              <w:pStyle w:val="TableContents"/>
              <w:bidi w:val="0"/>
              <w:spacing w:before="0" w:after="0"/>
              <w:jc w:val="left"/>
              <w:rPr>
                <w:sz w:val="20"/>
              </w:rPr>
            </w:pPr>
            <w:r>
              <w:rPr>
                <w:sz w:val="20"/>
              </w:rPr>
              <w:t>)</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0"/>
              <w:jc w:val="right"/>
              <w:rPr>
                <w:sz w:val="20"/>
              </w:rPr>
            </w:pPr>
            <w:r>
              <w:rPr>
                <w:sz w:val="20"/>
              </w:rPr>
              <w:t>98</w:t>
            </w:r>
          </w:p>
        </w:tc>
        <w:tc>
          <w:tcPr>
            <w:tcW w:w="240" w:type="dxa"/>
            <w:tcBorders/>
            <w:vAlign w:val="bottom"/>
          </w:tcPr>
          <w:p>
            <w:pPr>
              <w:pStyle w:val="TableContents"/>
              <w:bidi w:val="0"/>
              <w:spacing w:before="0" w:after="283"/>
              <w:jc w:val="left"/>
              <w:rPr/>
            </w:pPr>
            <w:r>
              <w:rPr/>
              <w:t> </w:t>
            </w:r>
          </w:p>
        </w:tc>
      </w:tr>
      <w:tr>
        <w:trPr/>
        <w:tc>
          <w:tcPr>
            <w:tcW w:w="7925" w:type="dxa"/>
            <w:tcBorders/>
            <w:shd w:fill="CCEEFF" w:val="clear"/>
            <w:vAlign w:val="bottom"/>
          </w:tcPr>
          <w:p>
            <w:pPr>
              <w:pStyle w:val="TableContents"/>
              <w:bidi w:val="0"/>
              <w:spacing w:before="0" w:after="0"/>
              <w:ind w:left="180" w:right="0" w:hanging="0"/>
              <w:jc w:val="left"/>
              <w:rPr>
                <w:sz w:val="20"/>
              </w:rPr>
            </w:pPr>
            <w:r>
              <w:rPr>
                <w:sz w:val="20"/>
              </w:rPr>
              <w:t>Proceeds from sales and maturities of short-term investments</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sz w:val="20"/>
              </w:rPr>
            </w:pPr>
            <w:r>
              <w:rPr>
                <w:sz w:val="20"/>
              </w:rPr>
              <w:t>107,669</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0"/>
              <w:jc w:val="right"/>
              <w:rPr>
                <w:sz w:val="20"/>
              </w:rPr>
            </w:pPr>
            <w:r>
              <w:rPr>
                <w:sz w:val="20"/>
              </w:rPr>
              <w:t>6,160</w:t>
            </w:r>
          </w:p>
        </w:tc>
        <w:tc>
          <w:tcPr>
            <w:tcW w:w="240" w:type="dxa"/>
            <w:tcBorders/>
            <w:shd w:fill="CCEEFF" w:val="clear"/>
            <w:vAlign w:val="bottom"/>
          </w:tcPr>
          <w:p>
            <w:pPr>
              <w:pStyle w:val="TableContents"/>
              <w:bidi w:val="0"/>
              <w:spacing w:before="0" w:after="283"/>
              <w:ind w:left="0" w:right="0" w:firstLine="180"/>
              <w:jc w:val="left"/>
              <w:rPr/>
            </w:pPr>
            <w:r>
              <w:rPr/>
              <w:t> </w:t>
            </w:r>
          </w:p>
        </w:tc>
      </w:tr>
      <w:tr>
        <w:trPr/>
        <w:tc>
          <w:tcPr>
            <w:tcW w:w="7925" w:type="dxa"/>
            <w:tcBorders/>
            <w:vAlign w:val="bottom"/>
          </w:tcPr>
          <w:p>
            <w:pPr>
              <w:pStyle w:val="TableContents"/>
              <w:bidi w:val="0"/>
              <w:spacing w:before="0" w:after="0"/>
              <w:jc w:val="left"/>
              <w:rPr>
                <w:sz w:val="20"/>
              </w:rPr>
            </w:pPr>
            <w:r>
              <w:rPr>
                <w:sz w:val="20"/>
              </w:rPr>
              <w:t>Purchase of short-term investments</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tcMar>
              <w:bottom w:w="28" w:type="dxa"/>
            </w:tcMar>
            <w:vAlign w:val="bottom"/>
          </w:tcPr>
          <w:p>
            <w:pPr>
              <w:pStyle w:val="TableContents"/>
              <w:bidi w:val="0"/>
              <w:spacing w:before="0" w:after="283"/>
              <w:jc w:val="right"/>
              <w:rPr>
                <w:sz w:val="20"/>
              </w:rPr>
            </w:pPr>
            <w:r>
              <w:rPr>
                <w:sz w:val="20"/>
              </w:rPr>
              <w:t>(21,991</w:t>
            </w:r>
          </w:p>
        </w:tc>
        <w:tc>
          <w:tcPr>
            <w:tcW w:w="80" w:type="dxa"/>
            <w:tcBorders/>
            <w:vAlign w:val="bottom"/>
          </w:tcPr>
          <w:p>
            <w:pPr>
              <w:pStyle w:val="TableContents"/>
              <w:bidi w:val="0"/>
              <w:spacing w:before="0" w:after="283"/>
              <w:jc w:val="left"/>
              <w:rPr>
                <w:sz w:val="20"/>
              </w:rPr>
            </w:pPr>
            <w:r>
              <w:rPr>
                <w:sz w:val="20"/>
              </w:rPr>
              <w:t>)</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755" w:type="dxa"/>
            <w:tcBorders>
              <w:bottom w:val="single" w:sz="12" w:space="0" w:color="000000"/>
            </w:tcBorders>
            <w:tcMar>
              <w:bottom w:w="28" w:type="dxa"/>
            </w:tcMar>
            <w:vAlign w:val="bottom"/>
          </w:tcPr>
          <w:p>
            <w:pPr>
              <w:pStyle w:val="TableContents"/>
              <w:bidi w:val="0"/>
              <w:spacing w:before="0" w:after="283"/>
              <w:jc w:val="right"/>
              <w:rPr>
                <w:sz w:val="20"/>
              </w:rPr>
            </w:pPr>
            <w:r>
              <w:rPr>
                <w:sz w:val="20"/>
              </w:rPr>
              <w:t>(126,382</w:t>
            </w:r>
          </w:p>
        </w:tc>
        <w:tc>
          <w:tcPr>
            <w:tcW w:w="240" w:type="dxa"/>
            <w:tcBorders/>
            <w:vAlign w:val="bottom"/>
          </w:tcPr>
          <w:p>
            <w:pPr>
              <w:pStyle w:val="TableContents"/>
              <w:bidi w:val="0"/>
              <w:spacing w:before="0" w:after="283"/>
              <w:jc w:val="left"/>
              <w:rPr>
                <w:sz w:val="20"/>
              </w:rPr>
            </w:pPr>
            <w:r>
              <w:rPr>
                <w:sz w:val="20"/>
              </w:rPr>
              <w:t>)</w:t>
            </w:r>
          </w:p>
        </w:tc>
      </w:tr>
      <w:tr>
        <w:trPr/>
        <w:tc>
          <w:tcPr>
            <w:tcW w:w="7925" w:type="dxa"/>
            <w:tcBorders/>
            <w:shd w:fill="CCEEFF" w:val="clear"/>
            <w:vAlign w:val="bottom"/>
          </w:tcPr>
          <w:p>
            <w:pPr>
              <w:pStyle w:val="TableContents"/>
              <w:bidi w:val="0"/>
              <w:spacing w:before="0" w:after="0"/>
              <w:jc w:val="left"/>
              <w:rPr>
                <w:sz w:val="20"/>
              </w:rPr>
            </w:pPr>
            <w:r>
              <w:rPr>
                <w:sz w:val="20"/>
              </w:rPr>
              <w:t>Net cash provided by (used in) investing activities</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shd w:fill="CCEEFF" w:val="clear"/>
            <w:tcMar>
              <w:bottom w:w="28" w:type="dxa"/>
            </w:tcMar>
            <w:vAlign w:val="bottom"/>
          </w:tcPr>
          <w:p>
            <w:pPr>
              <w:pStyle w:val="TableContents"/>
              <w:bidi w:val="0"/>
              <w:spacing w:before="0" w:after="0"/>
              <w:jc w:val="right"/>
              <w:rPr>
                <w:sz w:val="20"/>
              </w:rPr>
            </w:pPr>
            <w:r>
              <w:rPr>
                <w:sz w:val="20"/>
              </w:rPr>
              <w:t>65,245</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bottom"/>
          </w:tcPr>
          <w:p>
            <w:pPr>
              <w:pStyle w:val="TableContents"/>
              <w:bidi w:val="0"/>
              <w:spacing w:before="0" w:after="0"/>
              <w:jc w:val="right"/>
              <w:rPr>
                <w:sz w:val="20"/>
              </w:rPr>
            </w:pPr>
            <w:r>
              <w:rPr>
                <w:sz w:val="20"/>
              </w:rPr>
              <w:t>(156,581</w:t>
            </w:r>
          </w:p>
        </w:tc>
        <w:tc>
          <w:tcPr>
            <w:tcW w:w="240" w:type="dxa"/>
            <w:tcBorders/>
            <w:shd w:fill="CCEEFF" w:val="clear"/>
            <w:vAlign w:val="bottom"/>
          </w:tcPr>
          <w:p>
            <w:pPr>
              <w:pStyle w:val="TableContents"/>
              <w:bidi w:val="0"/>
              <w:spacing w:before="0" w:after="0"/>
              <w:jc w:val="left"/>
              <w:rPr>
                <w:sz w:val="20"/>
              </w:rPr>
            </w:pPr>
            <w:r>
              <w:rPr>
                <w:sz w:val="20"/>
              </w:rPr>
              <w:t>)</w:t>
            </w:r>
          </w:p>
        </w:tc>
      </w:tr>
      <w:tr>
        <w:trPr/>
        <w:tc>
          <w:tcPr>
            <w:tcW w:w="79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 </w:t>
            </w:r>
          </w:p>
        </w:tc>
        <w:tc>
          <w:tcPr>
            <w:tcW w:w="240" w:type="dxa"/>
            <w:tcBorders/>
            <w:vAlign w:val="bottom"/>
          </w:tcPr>
          <w:p>
            <w:pPr>
              <w:pStyle w:val="TableContents"/>
              <w:bidi w:val="0"/>
              <w:spacing w:before="0" w:after="283"/>
              <w:jc w:val="left"/>
              <w:rPr/>
            </w:pPr>
            <w:r>
              <w:rPr/>
              <w:t> </w:t>
            </w:r>
          </w:p>
        </w:tc>
      </w:tr>
      <w:tr>
        <w:trPr/>
        <w:tc>
          <w:tcPr>
            <w:tcW w:w="7925" w:type="dxa"/>
            <w:tcBorders/>
            <w:shd w:fill="CCEEFF" w:val="clear"/>
            <w:vAlign w:val="bottom"/>
          </w:tcPr>
          <w:p>
            <w:pPr>
              <w:pStyle w:val="TableContents"/>
              <w:bidi w:val="0"/>
              <w:spacing w:before="0" w:after="0"/>
              <w:ind w:left="180" w:right="0" w:hanging="180"/>
              <w:jc w:val="left"/>
              <w:rPr>
                <w:sz w:val="20"/>
                <w:u w:val="single"/>
              </w:rPr>
            </w:pPr>
            <w:r>
              <w:rPr>
                <w:sz w:val="20"/>
                <w:u w:val="single"/>
              </w:rPr>
              <w:t>Cash flows from financing activities</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 </w:t>
            </w:r>
          </w:p>
        </w:tc>
        <w:tc>
          <w:tcPr>
            <w:tcW w:w="240" w:type="dxa"/>
            <w:tcBorders/>
            <w:shd w:fill="CCEEFF" w:val="clear"/>
            <w:vAlign w:val="bottom"/>
          </w:tcPr>
          <w:p>
            <w:pPr>
              <w:pStyle w:val="TableContents"/>
              <w:bidi w:val="0"/>
              <w:spacing w:before="0" w:after="283"/>
              <w:jc w:val="left"/>
              <w:rPr/>
            </w:pPr>
            <w:r>
              <w:rPr/>
              <w:t> </w:t>
            </w:r>
          </w:p>
        </w:tc>
      </w:tr>
      <w:tr>
        <w:trPr/>
        <w:tc>
          <w:tcPr>
            <w:tcW w:w="7925" w:type="dxa"/>
            <w:tcBorders/>
            <w:vAlign w:val="bottom"/>
          </w:tcPr>
          <w:p>
            <w:pPr>
              <w:pStyle w:val="TableContents"/>
              <w:bidi w:val="0"/>
              <w:spacing w:before="0" w:after="0"/>
              <w:ind w:left="180" w:right="0" w:hanging="0"/>
              <w:jc w:val="left"/>
              <w:rPr>
                <w:sz w:val="20"/>
              </w:rPr>
            </w:pPr>
            <w:r>
              <w:rPr>
                <w:sz w:val="20"/>
              </w:rPr>
              <w:t>Exercise of options and vested RSUs</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sz w:val="20"/>
              </w:rPr>
            </w:pPr>
            <w:r>
              <w:rPr>
                <w:sz w:val="20"/>
              </w:rPr>
              <w:t>5,429</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0"/>
              <w:jc w:val="right"/>
              <w:rPr>
                <w:sz w:val="20"/>
              </w:rPr>
            </w:pPr>
            <w:r>
              <w:rPr>
                <w:sz w:val="20"/>
              </w:rPr>
              <w:t>7,467</w:t>
            </w:r>
          </w:p>
        </w:tc>
        <w:tc>
          <w:tcPr>
            <w:tcW w:w="240" w:type="dxa"/>
            <w:tcBorders/>
            <w:vAlign w:val="bottom"/>
          </w:tcPr>
          <w:p>
            <w:pPr>
              <w:pStyle w:val="TableContents"/>
              <w:bidi w:val="0"/>
              <w:spacing w:before="0" w:after="283"/>
              <w:jc w:val="left"/>
              <w:rPr/>
            </w:pPr>
            <w:r>
              <w:rPr/>
              <w:t> </w:t>
            </w:r>
          </w:p>
        </w:tc>
      </w:tr>
      <w:tr>
        <w:trPr/>
        <w:tc>
          <w:tcPr>
            <w:tcW w:w="7925" w:type="dxa"/>
            <w:tcBorders/>
            <w:shd w:fill="CCEEFF" w:val="clear"/>
            <w:vAlign w:val="bottom"/>
          </w:tcPr>
          <w:p>
            <w:pPr>
              <w:pStyle w:val="TableContents"/>
              <w:bidi w:val="0"/>
              <w:spacing w:before="0" w:after="0"/>
              <w:ind w:left="180" w:right="0" w:hanging="0"/>
              <w:jc w:val="left"/>
              <w:rPr>
                <w:sz w:val="20"/>
              </w:rPr>
            </w:pPr>
            <w:r>
              <w:rPr>
                <w:sz w:val="20"/>
              </w:rPr>
              <w:t>Payment of tax withholding for share-based compensation expenses</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sz w:val="20"/>
              </w:rPr>
            </w:pPr>
            <w:r>
              <w:rPr>
                <w:sz w:val="20"/>
              </w:rPr>
              <w:t>(3,213</w:t>
            </w:r>
          </w:p>
        </w:tc>
        <w:tc>
          <w:tcPr>
            <w:tcW w:w="80" w:type="dxa"/>
            <w:tcBorders/>
            <w:shd w:fill="CCEEFF" w:val="clear"/>
            <w:vAlign w:val="bottom"/>
          </w:tcPr>
          <w:p>
            <w:pPr>
              <w:pStyle w:val="TableContents"/>
              <w:bidi w:val="0"/>
              <w:spacing w:before="0" w:after="0"/>
              <w:jc w:val="left"/>
              <w:rPr>
                <w:sz w:val="20"/>
              </w:rPr>
            </w:pPr>
            <w:r>
              <w:rPr>
                <w:sz w:val="20"/>
              </w:rPr>
              <w:t>)</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0"/>
              <w:jc w:val="right"/>
              <w:rPr>
                <w:sz w:val="20"/>
              </w:rPr>
            </w:pPr>
            <w:r>
              <w:rPr>
                <w:sz w:val="20"/>
              </w:rPr>
              <w:t>(4,110</w:t>
            </w:r>
          </w:p>
        </w:tc>
        <w:tc>
          <w:tcPr>
            <w:tcW w:w="240" w:type="dxa"/>
            <w:tcBorders/>
            <w:shd w:fill="CCEEFF" w:val="clear"/>
            <w:vAlign w:val="bottom"/>
          </w:tcPr>
          <w:p>
            <w:pPr>
              <w:pStyle w:val="TableContents"/>
              <w:bidi w:val="0"/>
              <w:spacing w:before="0" w:after="0"/>
              <w:jc w:val="left"/>
              <w:rPr>
                <w:sz w:val="20"/>
              </w:rPr>
            </w:pPr>
            <w:r>
              <w:rPr>
                <w:sz w:val="20"/>
              </w:rPr>
              <w:t>)</w:t>
            </w:r>
          </w:p>
        </w:tc>
      </w:tr>
      <w:tr>
        <w:trPr/>
        <w:tc>
          <w:tcPr>
            <w:tcW w:w="7925" w:type="dxa"/>
            <w:tcBorders/>
            <w:vAlign w:val="bottom"/>
          </w:tcPr>
          <w:p>
            <w:pPr>
              <w:pStyle w:val="TableContents"/>
              <w:bidi w:val="0"/>
              <w:spacing w:before="0" w:after="0"/>
              <w:ind w:left="180" w:right="0" w:hanging="0"/>
              <w:jc w:val="left"/>
              <w:rPr>
                <w:sz w:val="20"/>
              </w:rPr>
            </w:pPr>
            <w:r>
              <w:rPr>
                <w:sz w:val="20"/>
              </w:rPr>
              <w:t>Repurchase of Ordinary shares</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right"/>
              <w:rPr>
                <w:sz w:val="20"/>
              </w:rPr>
            </w:pPr>
            <w:r>
              <w:rPr>
                <w:sz w:val="20"/>
              </w:rPr>
              <w:t>(23,157</w:t>
            </w:r>
          </w:p>
        </w:tc>
        <w:tc>
          <w:tcPr>
            <w:tcW w:w="80" w:type="dxa"/>
            <w:tcBorders/>
            <w:vAlign w:val="bottom"/>
          </w:tcPr>
          <w:p>
            <w:pPr>
              <w:pStyle w:val="TableContents"/>
              <w:bidi w:val="0"/>
              <w:spacing w:before="0" w:after="283"/>
              <w:jc w:val="left"/>
              <w:rPr>
                <w:sz w:val="20"/>
              </w:rPr>
            </w:pPr>
            <w:r>
              <w:rPr>
                <w:sz w:val="20"/>
              </w:rPr>
              <w:t>)</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w:t>
            </w:r>
          </w:p>
        </w:tc>
        <w:tc>
          <w:tcPr>
            <w:tcW w:w="240" w:type="dxa"/>
            <w:tcBorders/>
            <w:vAlign w:val="bottom"/>
          </w:tcPr>
          <w:p>
            <w:pPr>
              <w:pStyle w:val="TableContents"/>
              <w:bidi w:val="0"/>
              <w:spacing w:before="0" w:after="283"/>
              <w:jc w:val="left"/>
              <w:rPr/>
            </w:pPr>
            <w:r>
              <w:rPr/>
              <w:t> </w:t>
            </w:r>
          </w:p>
        </w:tc>
      </w:tr>
      <w:tr>
        <w:trPr/>
        <w:tc>
          <w:tcPr>
            <w:tcW w:w="7925" w:type="dxa"/>
            <w:tcBorders/>
            <w:shd w:fill="CCEEFF" w:val="clear"/>
            <w:vAlign w:val="bottom"/>
          </w:tcPr>
          <w:p>
            <w:pPr>
              <w:pStyle w:val="TableContents"/>
              <w:bidi w:val="0"/>
              <w:spacing w:before="0" w:after="0"/>
              <w:ind w:left="180" w:right="0" w:hanging="0"/>
              <w:jc w:val="left"/>
              <w:rPr>
                <w:sz w:val="20"/>
              </w:rPr>
            </w:pPr>
            <w:r>
              <w:rPr>
                <w:sz w:val="20"/>
              </w:rPr>
              <w:t>Repayment of long-term loan</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sz w:val="20"/>
              </w:rPr>
            </w:pPr>
            <w:r>
              <w:rPr>
                <w:sz w:val="20"/>
              </w:rPr>
              <w:t>(32,250</w:t>
            </w:r>
          </w:p>
        </w:tc>
        <w:tc>
          <w:tcPr>
            <w:tcW w:w="80" w:type="dxa"/>
            <w:tcBorders/>
            <w:shd w:fill="CCEEFF" w:val="clear"/>
            <w:vAlign w:val="bottom"/>
          </w:tcPr>
          <w:p>
            <w:pPr>
              <w:pStyle w:val="TableContents"/>
              <w:bidi w:val="0"/>
              <w:spacing w:before="0" w:after="0"/>
              <w:jc w:val="left"/>
              <w:rPr>
                <w:sz w:val="20"/>
              </w:rPr>
            </w:pPr>
            <w:r>
              <w:rPr>
                <w:sz w:val="20"/>
              </w:rPr>
              <w:t>)</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0"/>
              <w:jc w:val="right"/>
              <w:rPr>
                <w:sz w:val="20"/>
              </w:rPr>
            </w:pPr>
            <w:r>
              <w:rPr>
                <w:sz w:val="20"/>
              </w:rPr>
              <w:t>(2,250</w:t>
            </w:r>
          </w:p>
        </w:tc>
        <w:tc>
          <w:tcPr>
            <w:tcW w:w="240" w:type="dxa"/>
            <w:tcBorders/>
            <w:shd w:fill="CCEEFF" w:val="clear"/>
            <w:vAlign w:val="bottom"/>
          </w:tcPr>
          <w:p>
            <w:pPr>
              <w:pStyle w:val="TableContents"/>
              <w:bidi w:val="0"/>
              <w:spacing w:before="0" w:after="0"/>
              <w:jc w:val="left"/>
              <w:rPr>
                <w:sz w:val="20"/>
              </w:rPr>
            </w:pPr>
            <w:r>
              <w:rPr>
                <w:sz w:val="20"/>
              </w:rPr>
              <w:t>)</w:t>
            </w:r>
          </w:p>
        </w:tc>
      </w:tr>
      <w:tr>
        <w:trPr/>
        <w:tc>
          <w:tcPr>
            <w:tcW w:w="7925" w:type="dxa"/>
            <w:tcBorders/>
            <w:vAlign w:val="bottom"/>
          </w:tcPr>
          <w:p>
            <w:pPr>
              <w:pStyle w:val="TableContents"/>
              <w:bidi w:val="0"/>
              <w:spacing w:before="0" w:after="283"/>
              <w:jc w:val="left"/>
              <w:rPr/>
            </w:pPr>
            <w:r>
              <w:rPr/>
              <w:t xml:space="preserve">   </w:t>
            </w:r>
            <w:r>
              <w:rPr>
                <w:sz w:val="20"/>
              </w:rPr>
              <w:t>Costs associated with entering into a revolving credit facility</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tcMar>
              <w:bottom w:w="28" w:type="dxa"/>
            </w:tcMar>
            <w:vAlign w:val="bottom"/>
          </w:tcPr>
          <w:p>
            <w:pPr>
              <w:pStyle w:val="TableContents"/>
              <w:bidi w:val="0"/>
              <w:spacing w:before="0" w:after="283"/>
              <w:jc w:val="right"/>
              <w:rPr/>
            </w:pPr>
            <w:r>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755" w:type="dxa"/>
            <w:tcBorders>
              <w:bottom w:val="single" w:sz="12" w:space="0" w:color="000000"/>
            </w:tcBorders>
            <w:tcMar>
              <w:bottom w:w="28" w:type="dxa"/>
            </w:tcMar>
            <w:vAlign w:val="bottom"/>
          </w:tcPr>
          <w:p>
            <w:pPr>
              <w:pStyle w:val="TableContents"/>
              <w:bidi w:val="0"/>
              <w:spacing w:before="0" w:after="283"/>
              <w:jc w:val="right"/>
              <w:rPr>
                <w:sz w:val="20"/>
              </w:rPr>
            </w:pPr>
            <w:r>
              <w:rPr>
                <w:sz w:val="20"/>
              </w:rPr>
              <w:t>(1,061</w:t>
            </w:r>
          </w:p>
        </w:tc>
        <w:tc>
          <w:tcPr>
            <w:tcW w:w="240" w:type="dxa"/>
            <w:tcBorders/>
            <w:vAlign w:val="bottom"/>
          </w:tcPr>
          <w:p>
            <w:pPr>
              <w:pStyle w:val="TableContents"/>
              <w:bidi w:val="0"/>
              <w:spacing w:before="0" w:after="283"/>
              <w:jc w:val="left"/>
              <w:rPr>
                <w:sz w:val="20"/>
              </w:rPr>
            </w:pPr>
            <w:r>
              <w:rPr>
                <w:sz w:val="20"/>
              </w:rPr>
              <w:t>)</w:t>
            </w:r>
          </w:p>
        </w:tc>
      </w:tr>
      <w:tr>
        <w:trPr/>
        <w:tc>
          <w:tcPr>
            <w:tcW w:w="7925" w:type="dxa"/>
            <w:tcBorders/>
            <w:shd w:fill="CCEEFF" w:val="clear"/>
            <w:vAlign w:val="bottom"/>
          </w:tcPr>
          <w:p>
            <w:pPr>
              <w:pStyle w:val="TableContents"/>
              <w:bidi w:val="0"/>
              <w:spacing w:before="0" w:after="0"/>
              <w:ind w:left="180" w:right="0" w:hanging="180"/>
              <w:jc w:val="left"/>
              <w:rPr>
                <w:sz w:val="20"/>
              </w:rPr>
            </w:pPr>
            <w:r>
              <w:rPr>
                <w:sz w:val="20"/>
              </w:rPr>
              <w:t>Net cash provided by (used in) financing activities</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shd w:fill="CCEEFF" w:val="clear"/>
            <w:tcMar>
              <w:bottom w:w="28" w:type="dxa"/>
            </w:tcMar>
            <w:vAlign w:val="bottom"/>
          </w:tcPr>
          <w:p>
            <w:pPr>
              <w:pStyle w:val="TableContents"/>
              <w:bidi w:val="0"/>
              <w:spacing w:before="0" w:after="0"/>
              <w:jc w:val="right"/>
              <w:rPr>
                <w:sz w:val="20"/>
              </w:rPr>
            </w:pPr>
            <w:r>
              <w:rPr>
                <w:sz w:val="20"/>
              </w:rPr>
              <w:t>(53,191</w:t>
            </w:r>
          </w:p>
        </w:tc>
        <w:tc>
          <w:tcPr>
            <w:tcW w:w="80" w:type="dxa"/>
            <w:tcBorders/>
            <w:shd w:fill="CCEEFF" w:val="clear"/>
            <w:vAlign w:val="bottom"/>
          </w:tcPr>
          <w:p>
            <w:pPr>
              <w:pStyle w:val="TableContents"/>
              <w:bidi w:val="0"/>
              <w:spacing w:before="0" w:after="0"/>
              <w:jc w:val="left"/>
              <w:rPr>
                <w:sz w:val="20"/>
              </w:rPr>
            </w:pPr>
            <w:r>
              <w:rPr>
                <w:sz w:val="20"/>
              </w:rPr>
              <w:t>)</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bottom"/>
          </w:tcPr>
          <w:p>
            <w:pPr>
              <w:pStyle w:val="TableContents"/>
              <w:bidi w:val="0"/>
              <w:spacing w:before="0" w:after="0"/>
              <w:jc w:val="right"/>
              <w:rPr>
                <w:sz w:val="20"/>
              </w:rPr>
            </w:pPr>
            <w:r>
              <w:rPr>
                <w:sz w:val="20"/>
              </w:rPr>
              <w:t>46</w:t>
            </w:r>
          </w:p>
        </w:tc>
        <w:tc>
          <w:tcPr>
            <w:tcW w:w="240" w:type="dxa"/>
            <w:tcBorders/>
            <w:shd w:fill="CCEEFF" w:val="clear"/>
            <w:vAlign w:val="bottom"/>
          </w:tcPr>
          <w:p>
            <w:pPr>
              <w:pStyle w:val="TableContents"/>
              <w:bidi w:val="0"/>
              <w:spacing w:before="0" w:after="283"/>
              <w:jc w:val="left"/>
              <w:rPr/>
            </w:pPr>
            <w:r>
              <w:rPr/>
              <w:t> </w:t>
            </w:r>
          </w:p>
        </w:tc>
      </w:tr>
      <w:tr>
        <w:trPr/>
        <w:tc>
          <w:tcPr>
            <w:tcW w:w="79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 </w:t>
            </w:r>
          </w:p>
        </w:tc>
        <w:tc>
          <w:tcPr>
            <w:tcW w:w="240" w:type="dxa"/>
            <w:tcBorders/>
            <w:vAlign w:val="bottom"/>
          </w:tcPr>
          <w:p>
            <w:pPr>
              <w:pStyle w:val="TableContents"/>
              <w:bidi w:val="0"/>
              <w:spacing w:before="0" w:after="283"/>
              <w:jc w:val="left"/>
              <w:rPr/>
            </w:pPr>
            <w:r>
              <w:rPr/>
              <w:t> </w:t>
            </w:r>
          </w:p>
        </w:tc>
      </w:tr>
      <w:tr>
        <w:trPr/>
        <w:tc>
          <w:tcPr>
            <w:tcW w:w="7925" w:type="dxa"/>
            <w:tcBorders/>
            <w:shd w:fill="CCEEFF" w:val="clear"/>
            <w:vAlign w:val="bottom"/>
          </w:tcPr>
          <w:p>
            <w:pPr>
              <w:pStyle w:val="TableContents"/>
              <w:bidi w:val="0"/>
              <w:spacing w:before="0" w:after="0"/>
              <w:ind w:left="180" w:right="0" w:hanging="180"/>
              <w:jc w:val="left"/>
              <w:rPr>
                <w:sz w:val="20"/>
              </w:rPr>
            </w:pPr>
            <w:r>
              <w:rPr>
                <w:sz w:val="20"/>
              </w:rPr>
              <w:t>Exchange rate differences on balances of cash and cash equivalents</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shd w:fill="CCEEFF" w:val="clear"/>
            <w:tcMar>
              <w:bottom w:w="28" w:type="dxa"/>
            </w:tcMar>
            <w:vAlign w:val="bottom"/>
          </w:tcPr>
          <w:p>
            <w:pPr>
              <w:pStyle w:val="TableContents"/>
              <w:bidi w:val="0"/>
              <w:spacing w:before="0" w:after="0"/>
              <w:jc w:val="right"/>
              <w:rPr>
                <w:sz w:val="20"/>
              </w:rPr>
            </w:pPr>
            <w:r>
              <w:rPr>
                <w:sz w:val="20"/>
              </w:rPr>
              <w:t>(1,269</w:t>
            </w:r>
          </w:p>
        </w:tc>
        <w:tc>
          <w:tcPr>
            <w:tcW w:w="80" w:type="dxa"/>
            <w:tcBorders/>
            <w:shd w:fill="CCEEFF" w:val="clear"/>
            <w:vAlign w:val="bottom"/>
          </w:tcPr>
          <w:p>
            <w:pPr>
              <w:pStyle w:val="TableContents"/>
              <w:bidi w:val="0"/>
              <w:spacing w:before="0" w:after="0"/>
              <w:jc w:val="left"/>
              <w:rPr>
                <w:sz w:val="20"/>
              </w:rPr>
            </w:pPr>
            <w:r>
              <w:rPr>
                <w:sz w:val="20"/>
              </w:rPr>
              <w:t>)</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bottom"/>
          </w:tcPr>
          <w:p>
            <w:pPr>
              <w:pStyle w:val="TableContents"/>
              <w:bidi w:val="0"/>
              <w:spacing w:before="0" w:after="0"/>
              <w:jc w:val="right"/>
              <w:rPr>
                <w:sz w:val="20"/>
              </w:rPr>
            </w:pPr>
            <w:r>
              <w:rPr>
                <w:sz w:val="20"/>
              </w:rPr>
              <w:t>(7,733</w:t>
            </w:r>
          </w:p>
        </w:tc>
        <w:tc>
          <w:tcPr>
            <w:tcW w:w="240" w:type="dxa"/>
            <w:tcBorders/>
            <w:shd w:fill="CCEEFF" w:val="clear"/>
            <w:vAlign w:val="bottom"/>
          </w:tcPr>
          <w:p>
            <w:pPr>
              <w:pStyle w:val="TableContents"/>
              <w:bidi w:val="0"/>
              <w:spacing w:before="0" w:after="0"/>
              <w:jc w:val="left"/>
              <w:rPr>
                <w:sz w:val="20"/>
              </w:rPr>
            </w:pPr>
            <w:r>
              <w:rPr>
                <w:sz w:val="20"/>
              </w:rPr>
              <w:t>)</w:t>
            </w:r>
          </w:p>
        </w:tc>
      </w:tr>
      <w:tr>
        <w:trPr/>
        <w:tc>
          <w:tcPr>
            <w:tcW w:w="7925" w:type="dxa"/>
            <w:tcBorders/>
            <w:vAlign w:val="bottom"/>
          </w:tcPr>
          <w:p>
            <w:pPr>
              <w:pStyle w:val="TableContents"/>
              <w:bidi w:val="0"/>
              <w:spacing w:before="0" w:after="0"/>
              <w:ind w:left="180" w:right="0" w:hanging="180"/>
              <w:jc w:val="left"/>
              <w:rPr>
                <w:sz w:val="20"/>
              </w:rPr>
            </w:pPr>
            <w:r>
              <w:rPr>
                <w:sz w:val="20"/>
              </w:rPr>
              <w:t>Increase (decrease) in cash and cash equivalents</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sz w:val="20"/>
              </w:rPr>
            </w:pPr>
            <w:r>
              <w:rPr>
                <w:sz w:val="20"/>
              </w:rPr>
              <w:t>72,366</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0"/>
              <w:jc w:val="right"/>
              <w:rPr>
                <w:sz w:val="20"/>
              </w:rPr>
            </w:pPr>
            <w:r>
              <w:rPr>
                <w:sz w:val="20"/>
              </w:rPr>
              <w:t>(130,842</w:t>
            </w:r>
          </w:p>
        </w:tc>
        <w:tc>
          <w:tcPr>
            <w:tcW w:w="240" w:type="dxa"/>
            <w:tcBorders/>
            <w:vAlign w:val="bottom"/>
          </w:tcPr>
          <w:p>
            <w:pPr>
              <w:pStyle w:val="TableContents"/>
              <w:bidi w:val="0"/>
              <w:spacing w:before="0" w:after="0"/>
              <w:jc w:val="left"/>
              <w:rPr>
                <w:sz w:val="20"/>
              </w:rPr>
            </w:pPr>
            <w:r>
              <w:rPr>
                <w:sz w:val="20"/>
              </w:rPr>
              <w:t>)</w:t>
            </w:r>
          </w:p>
        </w:tc>
      </w:tr>
      <w:tr>
        <w:trPr/>
        <w:tc>
          <w:tcPr>
            <w:tcW w:w="7925" w:type="dxa"/>
            <w:tcBorders/>
            <w:shd w:fill="CCEEFF" w:val="clear"/>
            <w:vAlign w:val="bottom"/>
          </w:tcPr>
          <w:p>
            <w:pPr>
              <w:pStyle w:val="TableContents"/>
              <w:bidi w:val="0"/>
              <w:spacing w:before="0" w:after="0"/>
              <w:ind w:left="180" w:right="0" w:hanging="180"/>
              <w:jc w:val="left"/>
              <w:rPr>
                <w:sz w:val="20"/>
              </w:rPr>
            </w:pPr>
            <w:r>
              <w:rPr>
                <w:sz w:val="20"/>
              </w:rPr>
              <w:t>Cash and cash equivalents - at the beginning of the period</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shd w:fill="CCEEFF" w:val="clear"/>
            <w:tcMar>
              <w:bottom w:w="28" w:type="dxa"/>
            </w:tcMar>
            <w:vAlign w:val="bottom"/>
          </w:tcPr>
          <w:p>
            <w:pPr>
              <w:pStyle w:val="TableContents"/>
              <w:bidi w:val="0"/>
              <w:spacing w:before="0" w:after="0"/>
              <w:jc w:val="right"/>
              <w:rPr>
                <w:sz w:val="20"/>
              </w:rPr>
            </w:pPr>
            <w:r>
              <w:rPr>
                <w:sz w:val="20"/>
              </w:rPr>
              <w:t>165,893</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bottom"/>
          </w:tcPr>
          <w:p>
            <w:pPr>
              <w:pStyle w:val="TableContents"/>
              <w:bidi w:val="0"/>
              <w:spacing w:before="0" w:after="0"/>
              <w:jc w:val="right"/>
              <w:rPr>
                <w:sz w:val="20"/>
              </w:rPr>
            </w:pPr>
            <w:r>
              <w:rPr>
                <w:sz w:val="20"/>
              </w:rPr>
              <w:t>319,319</w:t>
            </w:r>
          </w:p>
        </w:tc>
        <w:tc>
          <w:tcPr>
            <w:tcW w:w="240" w:type="dxa"/>
            <w:tcBorders/>
            <w:shd w:fill="CCEEFF" w:val="clear"/>
            <w:vAlign w:val="bottom"/>
          </w:tcPr>
          <w:p>
            <w:pPr>
              <w:pStyle w:val="TableContents"/>
              <w:bidi w:val="0"/>
              <w:spacing w:before="0" w:after="283"/>
              <w:jc w:val="left"/>
              <w:rPr/>
            </w:pPr>
            <w:r>
              <w:rPr/>
              <w:t> </w:t>
            </w:r>
          </w:p>
        </w:tc>
      </w:tr>
      <w:tr>
        <w:trPr/>
        <w:tc>
          <w:tcPr>
            <w:tcW w:w="7925" w:type="dxa"/>
            <w:tcBorders/>
            <w:vAlign w:val="bottom"/>
          </w:tcPr>
          <w:p>
            <w:pPr>
              <w:pStyle w:val="TableContents"/>
              <w:bidi w:val="0"/>
              <w:spacing w:before="0" w:after="0"/>
              <w:ind w:left="180" w:right="0" w:hanging="180"/>
              <w:jc w:val="left"/>
              <w:rPr>
                <w:sz w:val="20"/>
              </w:rPr>
            </w:pPr>
            <w:r>
              <w:rPr>
                <w:sz w:val="20"/>
              </w:rPr>
              <w:t>Cash and cash equivalents - at end of the period</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0"/>
              <w:jc w:val="left"/>
              <w:rPr>
                <w:sz w:val="20"/>
              </w:rPr>
            </w:pPr>
            <w:r>
              <w:rPr>
                <w:sz w:val="20"/>
              </w:rPr>
              <w:t>$</w:t>
            </w:r>
          </w:p>
        </w:tc>
        <w:tc>
          <w:tcPr>
            <w:tcW w:w="695" w:type="dxa"/>
            <w:tcBorders>
              <w:bottom w:val="single" w:sz="12" w:space="0" w:color="000000"/>
            </w:tcBorders>
            <w:tcMar>
              <w:bottom w:w="28" w:type="dxa"/>
            </w:tcMar>
            <w:vAlign w:val="bottom"/>
          </w:tcPr>
          <w:p>
            <w:pPr>
              <w:pStyle w:val="TableContents"/>
              <w:bidi w:val="0"/>
              <w:spacing w:before="0" w:after="0"/>
              <w:jc w:val="right"/>
              <w:rPr>
                <w:sz w:val="20"/>
              </w:rPr>
            </w:pPr>
            <w:r>
              <w:rPr>
                <w:sz w:val="20"/>
              </w:rPr>
              <w:t>238,259</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0"/>
              <w:jc w:val="left"/>
              <w:rPr>
                <w:sz w:val="20"/>
              </w:rPr>
            </w:pPr>
            <w:r>
              <w:rPr>
                <w:sz w:val="20"/>
              </w:rPr>
              <w:t>$</w:t>
            </w:r>
          </w:p>
        </w:tc>
        <w:tc>
          <w:tcPr>
            <w:tcW w:w="755" w:type="dxa"/>
            <w:tcBorders>
              <w:bottom w:val="single" w:sz="12" w:space="0" w:color="000000"/>
            </w:tcBorders>
            <w:tcMar>
              <w:bottom w:w="28" w:type="dxa"/>
            </w:tcMar>
            <w:vAlign w:val="bottom"/>
          </w:tcPr>
          <w:p>
            <w:pPr>
              <w:pStyle w:val="TableContents"/>
              <w:bidi w:val="0"/>
              <w:spacing w:before="0" w:after="0"/>
              <w:jc w:val="right"/>
              <w:rPr>
                <w:sz w:val="20"/>
              </w:rPr>
            </w:pPr>
            <w:r>
              <w:rPr>
                <w:sz w:val="20"/>
              </w:rPr>
              <w:t>188,477</w:t>
            </w:r>
          </w:p>
        </w:tc>
        <w:tc>
          <w:tcPr>
            <w:tcW w:w="240" w:type="dxa"/>
            <w:tcBorders/>
            <w:vAlign w:val="bottom"/>
          </w:tcPr>
          <w:p>
            <w:pPr>
              <w:pStyle w:val="TableContents"/>
              <w:bidi w:val="0"/>
              <w:spacing w:before="0" w:after="283"/>
              <w:jc w:val="left"/>
              <w:rPr/>
            </w:pPr>
            <w:r>
              <w:rPr/>
              <w:t> </w:t>
            </w:r>
          </w:p>
        </w:tc>
      </w:tr>
    </w:tbl>
    <w:p>
      <w:pPr>
        <w:pStyle w:val="TextBody"/>
        <w:bidi w:val="0"/>
        <w:spacing w:before="0" w:after="0"/>
        <w:jc w:val="both"/>
        <w:rPr/>
      </w:pPr>
      <w:r>
        <w:rPr/>
      </w:r>
    </w:p>
    <w:p>
      <w:pPr>
        <w:pStyle w:val="TextBody"/>
        <w:bidi w:val="0"/>
        <w:spacing w:before="0" w:after="0"/>
        <w:jc w:val="center"/>
        <w:rPr>
          <w:rFonts w:ascii="Times New Roman" w:hAnsi="Times New Roman"/>
          <w:b w:val="false"/>
          <w:color w:val="000000"/>
          <w:sz w:val="20"/>
          <w:shd w:fill="FFFFFF" w:val="clear"/>
        </w:rPr>
      </w:pPr>
      <w:r>
        <w:rPr>
          <w:rFonts w:ascii="Times New Roman" w:hAnsi="Times New Roman"/>
          <w:b w:val="false"/>
          <w:color w:val="000000"/>
          <w:sz w:val="20"/>
          <w:shd w:fill="FFFFFF" w:val="clear"/>
        </w:rPr>
        <w:t>The accompanying notes are an integral part of these unaudited consolidated interim financial statements.</w:t>
      </w:r>
    </w:p>
    <w:p>
      <w:pPr>
        <w:pStyle w:val="TextBody"/>
        <w:bidi w:val="0"/>
        <w:spacing w:before="0" w:after="0"/>
        <w:jc w:val="both"/>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9</w:t>
      </w:r>
    </w:p>
    <w:p>
      <w:pPr>
        <w:pStyle w:val="HorizontalLine"/>
        <w:bidi w:val="0"/>
        <w:spacing w:before="200" w:after="200"/>
        <w:jc w:val="both"/>
        <w:rPr/>
      </w:pPr>
      <w:r>
        <w:rPr/>
      </w:r>
    </w:p>
    <w:p>
      <w:pPr>
        <w:pStyle w:val="TextBody"/>
        <w:bidi w:val="0"/>
        <w:spacing w:before="200" w:after="200"/>
        <w:jc w:val="both"/>
        <w:rPr/>
      </w:pPr>
      <w:hyperlink w:anchor="Contents">
        <w:r>
          <w:rPr>
            <w:rStyle w:val="InternetLink"/>
            <w:rFonts w:ascii="Times New Roman" w:hAnsi="Times New Roman"/>
            <w:b w:val="false"/>
            <w:i/>
            <w:color w:val="000000"/>
            <w:sz w:val="16"/>
            <w:shd w:fill="FFFFFF" w:val="clear"/>
          </w:rPr>
          <w:t>Table of Contents</w:t>
        </w:r>
      </w:hyperlink>
    </w:p>
    <w:p>
      <w:pPr>
        <w:pStyle w:val="TextBody"/>
        <w:bidi w:val="0"/>
        <w:spacing w:before="0" w:after="0"/>
        <w:jc w:val="right"/>
        <w:rPr>
          <w:rFonts w:ascii="Times New Roman" w:hAnsi="Times New Roman"/>
          <w:b/>
          <w:color w:val="000000"/>
          <w:sz w:val="20"/>
          <w:shd w:fill="FFFFFF" w:val="clear"/>
        </w:rPr>
      </w:pPr>
      <w:r>
        <w:rPr>
          <w:rFonts w:ascii="Times New Roman" w:hAnsi="Times New Roman"/>
          <w:b/>
          <w:color w:val="000000"/>
          <w:sz w:val="20"/>
          <w:shd w:fill="FFFFFF" w:val="clear"/>
        </w:rPr>
        <w:t>TABOOLA.COM LTD.</w:t>
      </w:r>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br/>
        <w:t>CONSOLIDATED INTERIM STATEMENTS OF CASH FLOWS</w:t>
      </w:r>
    </w:p>
    <w:p>
      <w:pPr>
        <w:pStyle w:val="HorizontalLine"/>
        <w:bidi w:val="0"/>
        <w:jc w:val="both"/>
        <w:rPr/>
      </w:pPr>
      <w:r>
        <w:rPr/>
      </w:r>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U.S. dollars in thousands</w:t>
      </w:r>
    </w:p>
    <w:p>
      <w:pPr>
        <w:pStyle w:val="TextBody"/>
        <w:bidi w:val="0"/>
        <w:spacing w:before="0" w:after="0"/>
        <w:jc w:val="both"/>
        <w:rPr/>
      </w:pPr>
      <w:r>
        <w:rPr/>
      </w:r>
    </w:p>
    <w:tbl>
      <w:tblPr>
        <w:tblW w:w="8226" w:type="dxa"/>
        <w:jc w:val="left"/>
        <w:tblInd w:w="0" w:type="dxa"/>
        <w:tblLayout w:type="fixed"/>
        <w:tblCellMar>
          <w:top w:w="0" w:type="dxa"/>
          <w:left w:w="0" w:type="dxa"/>
          <w:bottom w:w="0" w:type="dxa"/>
          <w:right w:w="0" w:type="dxa"/>
        </w:tblCellMar>
      </w:tblPr>
      <w:tblGrid>
        <w:gridCol w:w="6500"/>
        <w:gridCol w:w="60"/>
        <w:gridCol w:w="129"/>
        <w:gridCol w:w="612"/>
        <w:gridCol w:w="62"/>
        <w:gridCol w:w="62"/>
        <w:gridCol w:w="129"/>
        <w:gridCol w:w="612"/>
        <w:gridCol w:w="60"/>
      </w:tblGrid>
      <w:tr>
        <w:trPr/>
        <w:tc>
          <w:tcPr>
            <w:tcW w:w="650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06" w:type="dxa"/>
            <w:gridSpan w:val="6"/>
            <w:tcBorders>
              <w:bottom w:val="single" w:sz="12" w:space="0" w:color="000000"/>
            </w:tcBorders>
            <w:tcMar>
              <w:bottom w:w="28" w:type="dxa"/>
            </w:tcMar>
            <w:vAlign w:val="bottom"/>
          </w:tcPr>
          <w:p>
            <w:pPr>
              <w:pStyle w:val="TableContents"/>
              <w:bidi w:val="0"/>
              <w:spacing w:before="0" w:after="0"/>
              <w:jc w:val="center"/>
              <w:rPr>
                <w:b/>
                <w:sz w:val="20"/>
              </w:rPr>
            </w:pPr>
            <w:r>
              <w:rPr>
                <w:b/>
                <w:sz w:val="20"/>
              </w:rPr>
              <w:t>Nine months ended</w:t>
            </w:r>
          </w:p>
          <w:p>
            <w:pPr>
              <w:pStyle w:val="TableContents"/>
              <w:bidi w:val="0"/>
              <w:spacing w:before="0" w:after="0"/>
              <w:jc w:val="center"/>
              <w:rPr>
                <w:b/>
                <w:sz w:val="20"/>
              </w:rPr>
            </w:pPr>
            <w:r>
              <w:rPr>
                <w:b/>
                <w:sz w:val="20"/>
              </w:rPr>
              <w:t>September 30,</w:t>
            </w:r>
          </w:p>
        </w:tc>
        <w:tc>
          <w:tcPr>
            <w:tcW w:w="60" w:type="dxa"/>
            <w:tcBorders/>
            <w:vAlign w:val="bottom"/>
          </w:tcPr>
          <w:p>
            <w:pPr>
              <w:pStyle w:val="TableContents"/>
              <w:bidi w:val="0"/>
              <w:spacing w:before="0" w:after="283"/>
              <w:jc w:val="left"/>
              <w:rPr/>
            </w:pPr>
            <w:r>
              <w:rPr/>
              <w:t> </w:t>
            </w:r>
          </w:p>
        </w:tc>
      </w:tr>
      <w:tr>
        <w:trPr/>
        <w:tc>
          <w:tcPr>
            <w:tcW w:w="650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1" w:type="dxa"/>
            <w:gridSpan w:val="2"/>
            <w:tcBorders>
              <w:bottom w:val="single" w:sz="12" w:space="0" w:color="000000"/>
            </w:tcBorders>
            <w:tcMar>
              <w:bottom w:w="28" w:type="dxa"/>
            </w:tcMar>
            <w:vAlign w:val="bottom"/>
          </w:tcPr>
          <w:p>
            <w:pPr>
              <w:pStyle w:val="TableContents"/>
              <w:bidi w:val="0"/>
              <w:spacing w:before="0" w:after="0"/>
              <w:jc w:val="center"/>
              <w:rPr>
                <w:b/>
                <w:sz w:val="20"/>
              </w:rPr>
            </w:pPr>
            <w:r>
              <w:rPr>
                <w:b/>
                <w:sz w:val="20"/>
              </w:rPr>
              <w:t>2023</w:t>
            </w:r>
          </w:p>
        </w:tc>
        <w:tc>
          <w:tcPr>
            <w:tcW w:w="62"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741" w:type="dxa"/>
            <w:gridSpan w:val="2"/>
            <w:tcBorders>
              <w:bottom w:val="single" w:sz="12" w:space="0" w:color="000000"/>
            </w:tcBorders>
            <w:tcMar>
              <w:bottom w:w="28" w:type="dxa"/>
            </w:tcMar>
            <w:vAlign w:val="bottom"/>
          </w:tcPr>
          <w:p>
            <w:pPr>
              <w:pStyle w:val="TableContents"/>
              <w:bidi w:val="0"/>
              <w:spacing w:before="0" w:after="0"/>
              <w:jc w:val="center"/>
              <w:rPr>
                <w:b/>
                <w:sz w:val="20"/>
              </w:rPr>
            </w:pPr>
            <w:r>
              <w:rPr>
                <w:b/>
                <w:sz w:val="20"/>
              </w:rPr>
              <w:t>2022</w:t>
            </w:r>
          </w:p>
        </w:tc>
        <w:tc>
          <w:tcPr>
            <w:tcW w:w="60" w:type="dxa"/>
            <w:tcBorders/>
            <w:vAlign w:val="bottom"/>
          </w:tcPr>
          <w:p>
            <w:pPr>
              <w:pStyle w:val="TableContents"/>
              <w:bidi w:val="0"/>
              <w:spacing w:before="0" w:after="283"/>
              <w:jc w:val="left"/>
              <w:rPr/>
            </w:pPr>
            <w:r>
              <w:rPr/>
              <w:t> </w:t>
            </w:r>
          </w:p>
        </w:tc>
      </w:tr>
      <w:tr>
        <w:trPr/>
        <w:tc>
          <w:tcPr>
            <w:tcW w:w="650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06" w:type="dxa"/>
            <w:gridSpan w:val="6"/>
            <w:tcBorders>
              <w:bottom w:val="single" w:sz="12" w:space="0" w:color="000000"/>
            </w:tcBorders>
            <w:tcMar>
              <w:bottom w:w="28" w:type="dxa"/>
            </w:tcMar>
            <w:vAlign w:val="bottom"/>
          </w:tcPr>
          <w:p>
            <w:pPr>
              <w:pStyle w:val="TableContents"/>
              <w:bidi w:val="0"/>
              <w:spacing w:before="0" w:after="0"/>
              <w:jc w:val="center"/>
              <w:rPr>
                <w:b/>
                <w:sz w:val="20"/>
              </w:rPr>
            </w:pPr>
            <w:r>
              <w:rPr>
                <w:b/>
                <w:sz w:val="20"/>
              </w:rPr>
              <w:t>Unaudited</w:t>
            </w:r>
          </w:p>
        </w:tc>
        <w:tc>
          <w:tcPr>
            <w:tcW w:w="60" w:type="dxa"/>
            <w:tcBorders/>
            <w:vAlign w:val="bottom"/>
          </w:tcPr>
          <w:p>
            <w:pPr>
              <w:pStyle w:val="TableContents"/>
              <w:bidi w:val="0"/>
              <w:spacing w:before="0" w:after="283"/>
              <w:jc w:val="left"/>
              <w:rPr/>
            </w:pPr>
            <w:r>
              <w:rPr/>
              <w:t> </w:t>
            </w:r>
          </w:p>
        </w:tc>
      </w:tr>
      <w:tr>
        <w:trPr/>
        <w:tc>
          <w:tcPr>
            <w:tcW w:w="8166" w:type="dxa"/>
            <w:gridSpan w:val="8"/>
            <w:tcBorders/>
            <w:vAlign w:val="bottom"/>
          </w:tcPr>
          <w:p>
            <w:pPr>
              <w:pStyle w:val="TableContents"/>
              <w:bidi w:val="0"/>
              <w:spacing w:before="0" w:after="0"/>
              <w:jc w:val="left"/>
              <w:rPr>
                <w:b/>
                <w:sz w:val="20"/>
              </w:rPr>
            </w:pPr>
            <w:r>
              <w:rPr>
                <w:b/>
                <w:sz w:val="20"/>
              </w:rPr>
              <w:t>Supplemental disclosures of cash flow information:</w:t>
            </w:r>
          </w:p>
        </w:tc>
        <w:tc>
          <w:tcPr>
            <w:tcW w:w="60" w:type="dxa"/>
            <w:tcBorders/>
            <w:vAlign w:val="bottom"/>
          </w:tcPr>
          <w:p>
            <w:pPr>
              <w:pStyle w:val="TableContents"/>
              <w:bidi w:val="0"/>
              <w:spacing w:before="0" w:after="283"/>
              <w:jc w:val="left"/>
              <w:rPr/>
            </w:pPr>
            <w:r>
              <w:rPr/>
              <w:t> </w:t>
            </w:r>
          </w:p>
        </w:tc>
      </w:tr>
      <w:tr>
        <w:trPr/>
        <w:tc>
          <w:tcPr>
            <w:tcW w:w="6500" w:type="dxa"/>
            <w:tcBorders/>
            <w:vAlign w:val="bottom"/>
          </w:tcPr>
          <w:p>
            <w:pPr>
              <w:pStyle w:val="TableContents"/>
              <w:bidi w:val="0"/>
              <w:spacing w:before="0" w:after="0"/>
              <w:jc w:val="left"/>
              <w:rPr>
                <w:sz w:val="20"/>
                <w:u w:val="single"/>
              </w:rPr>
            </w:pPr>
            <w:r>
              <w:rPr>
                <w:sz w:val="20"/>
                <w:u w:val="single"/>
              </w:rPr>
              <w:t>Cash paid during the year for:</w:t>
            </w:r>
          </w:p>
        </w:tc>
        <w:tc>
          <w:tcPr>
            <w:tcW w:w="60" w:type="dxa"/>
            <w:tcBorders/>
            <w:vAlign w:val="bottom"/>
          </w:tcPr>
          <w:p>
            <w:pPr>
              <w:pStyle w:val="TableContents"/>
              <w:bidi w:val="0"/>
              <w:spacing w:before="0" w:after="283"/>
              <w:jc w:val="left"/>
              <w:rPr/>
            </w:pPr>
            <w:r>
              <w:rPr/>
              <w:t> </w:t>
            </w:r>
          </w:p>
        </w:tc>
        <w:tc>
          <w:tcPr>
            <w:tcW w:w="741" w:type="dxa"/>
            <w:gridSpan w:val="2"/>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741"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r>
      <w:tr>
        <w:trPr/>
        <w:tc>
          <w:tcPr>
            <w:tcW w:w="6500" w:type="dxa"/>
            <w:tcBorders/>
            <w:shd w:fill="CCEEFF" w:val="clear"/>
            <w:vAlign w:val="bottom"/>
          </w:tcPr>
          <w:p>
            <w:pPr>
              <w:pStyle w:val="TableContents"/>
              <w:bidi w:val="0"/>
              <w:spacing w:before="0" w:after="0"/>
              <w:ind w:left="180" w:right="0" w:hanging="0"/>
              <w:jc w:val="left"/>
              <w:rPr>
                <w:sz w:val="20"/>
              </w:rPr>
            </w:pPr>
            <w:r>
              <w:rPr>
                <w:sz w:val="20"/>
              </w:rPr>
              <w:t>Income taxes</w:t>
            </w:r>
          </w:p>
        </w:tc>
        <w:tc>
          <w:tcPr>
            <w:tcW w:w="60"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0"/>
              <w:jc w:val="left"/>
              <w:rPr>
                <w:sz w:val="20"/>
              </w:rPr>
            </w:pPr>
            <w:r>
              <w:rPr>
                <w:sz w:val="20"/>
              </w:rPr>
              <w:t>$</w:t>
            </w:r>
          </w:p>
        </w:tc>
        <w:tc>
          <w:tcPr>
            <w:tcW w:w="612" w:type="dxa"/>
            <w:tcBorders/>
            <w:shd w:fill="CCEEFF" w:val="clear"/>
            <w:vAlign w:val="bottom"/>
          </w:tcPr>
          <w:p>
            <w:pPr>
              <w:pStyle w:val="TableContents"/>
              <w:bidi w:val="0"/>
              <w:spacing w:before="0" w:after="0"/>
              <w:jc w:val="right"/>
              <w:rPr>
                <w:sz w:val="20"/>
              </w:rPr>
            </w:pPr>
            <w:r>
              <w:rPr>
                <w:sz w:val="20"/>
              </w:rPr>
              <w:t>9,935</w:t>
            </w:r>
          </w:p>
        </w:tc>
        <w:tc>
          <w:tcPr>
            <w:tcW w:w="62"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0"/>
              <w:jc w:val="left"/>
              <w:rPr>
                <w:sz w:val="20"/>
              </w:rPr>
            </w:pPr>
            <w:r>
              <w:rPr>
                <w:sz w:val="20"/>
              </w:rPr>
              <w:t>$</w:t>
            </w:r>
          </w:p>
        </w:tc>
        <w:tc>
          <w:tcPr>
            <w:tcW w:w="612" w:type="dxa"/>
            <w:tcBorders/>
            <w:shd w:fill="CCEEFF" w:val="clear"/>
            <w:vAlign w:val="bottom"/>
          </w:tcPr>
          <w:p>
            <w:pPr>
              <w:pStyle w:val="TableContents"/>
              <w:bidi w:val="0"/>
              <w:spacing w:before="0" w:after="0"/>
              <w:jc w:val="right"/>
              <w:rPr>
                <w:sz w:val="20"/>
              </w:rPr>
            </w:pPr>
            <w:r>
              <w:rPr>
                <w:sz w:val="20"/>
              </w:rPr>
              <w:t>22,599</w:t>
            </w:r>
          </w:p>
        </w:tc>
        <w:tc>
          <w:tcPr>
            <w:tcW w:w="60" w:type="dxa"/>
            <w:tcBorders/>
            <w:shd w:fill="CCEEFF" w:val="clear"/>
            <w:vAlign w:val="bottom"/>
          </w:tcPr>
          <w:p>
            <w:pPr>
              <w:pStyle w:val="TableContents"/>
              <w:bidi w:val="0"/>
              <w:spacing w:before="0" w:after="283"/>
              <w:jc w:val="left"/>
              <w:rPr/>
            </w:pPr>
            <w:r>
              <w:rPr/>
              <w:t> </w:t>
            </w:r>
          </w:p>
        </w:tc>
      </w:tr>
      <w:tr>
        <w:trPr/>
        <w:tc>
          <w:tcPr>
            <w:tcW w:w="6500" w:type="dxa"/>
            <w:tcBorders/>
            <w:vAlign w:val="bottom"/>
          </w:tcPr>
          <w:p>
            <w:pPr>
              <w:pStyle w:val="TableContents"/>
              <w:bidi w:val="0"/>
              <w:spacing w:before="0" w:after="0"/>
              <w:ind w:left="180" w:right="0" w:hanging="0"/>
              <w:jc w:val="left"/>
              <w:rPr>
                <w:sz w:val="20"/>
              </w:rPr>
            </w:pPr>
            <w:r>
              <w:rPr>
                <w:sz w:val="20"/>
              </w:rPr>
              <w:t>Interest</w:t>
            </w:r>
          </w:p>
        </w:tc>
        <w:tc>
          <w:tcPr>
            <w:tcW w:w="60"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0"/>
              <w:jc w:val="left"/>
              <w:rPr>
                <w:sz w:val="20"/>
              </w:rPr>
            </w:pPr>
            <w:r>
              <w:rPr>
                <w:sz w:val="20"/>
              </w:rPr>
              <w:t>$</w:t>
            </w:r>
          </w:p>
        </w:tc>
        <w:tc>
          <w:tcPr>
            <w:tcW w:w="612" w:type="dxa"/>
            <w:tcBorders/>
            <w:vAlign w:val="bottom"/>
          </w:tcPr>
          <w:p>
            <w:pPr>
              <w:pStyle w:val="TableContents"/>
              <w:bidi w:val="0"/>
              <w:spacing w:before="0" w:after="0"/>
              <w:jc w:val="right"/>
              <w:rPr>
                <w:sz w:val="20"/>
              </w:rPr>
            </w:pPr>
            <w:r>
              <w:rPr>
                <w:sz w:val="20"/>
              </w:rPr>
              <w:t>14,580</w:t>
            </w:r>
          </w:p>
        </w:tc>
        <w:tc>
          <w:tcPr>
            <w:tcW w:w="62"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0"/>
              <w:jc w:val="left"/>
              <w:rPr>
                <w:sz w:val="20"/>
              </w:rPr>
            </w:pPr>
            <w:r>
              <w:rPr>
                <w:sz w:val="20"/>
              </w:rPr>
              <w:t>$</w:t>
            </w:r>
          </w:p>
        </w:tc>
        <w:tc>
          <w:tcPr>
            <w:tcW w:w="612" w:type="dxa"/>
            <w:tcBorders/>
            <w:vAlign w:val="bottom"/>
          </w:tcPr>
          <w:p>
            <w:pPr>
              <w:pStyle w:val="TableContents"/>
              <w:bidi w:val="0"/>
              <w:spacing w:before="0" w:after="0"/>
              <w:jc w:val="right"/>
              <w:rPr>
                <w:sz w:val="20"/>
              </w:rPr>
            </w:pPr>
            <w:r>
              <w:rPr>
                <w:sz w:val="20"/>
              </w:rPr>
              <w:t>15,094</w:t>
            </w:r>
          </w:p>
        </w:tc>
        <w:tc>
          <w:tcPr>
            <w:tcW w:w="60" w:type="dxa"/>
            <w:tcBorders/>
            <w:vAlign w:val="bottom"/>
          </w:tcPr>
          <w:p>
            <w:pPr>
              <w:pStyle w:val="TableContents"/>
              <w:bidi w:val="0"/>
              <w:spacing w:before="0" w:after="283"/>
              <w:jc w:val="left"/>
              <w:rPr/>
            </w:pPr>
            <w:r>
              <w:rPr/>
              <w:t> </w:t>
            </w:r>
          </w:p>
        </w:tc>
      </w:tr>
      <w:tr>
        <w:trPr/>
        <w:tc>
          <w:tcPr>
            <w:tcW w:w="6500" w:type="dxa"/>
            <w:tcBorders/>
            <w:shd w:fill="CCEEFF" w:val="clear"/>
            <w:vAlign w:val="bottom"/>
          </w:tcPr>
          <w:p>
            <w:pPr>
              <w:pStyle w:val="TableContents"/>
              <w:bidi w:val="0"/>
              <w:spacing w:before="0" w:after="0"/>
              <w:jc w:val="left"/>
              <w:rPr>
                <w:sz w:val="20"/>
                <w:u w:val="single"/>
              </w:rPr>
            </w:pPr>
            <w:r>
              <w:rPr>
                <w:sz w:val="20"/>
                <w:u w:val="single"/>
              </w:rPr>
              <w:t>Non-cash investing and financing activities:</w:t>
            </w:r>
          </w:p>
        </w:tc>
        <w:tc>
          <w:tcPr>
            <w:tcW w:w="60"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612" w:type="dxa"/>
            <w:tcBorders/>
            <w:shd w:fill="CCEEFF" w:val="clear"/>
            <w:vAlign w:val="bottom"/>
          </w:tcPr>
          <w:p>
            <w:pPr>
              <w:pStyle w:val="TableContents"/>
              <w:bidi w:val="0"/>
              <w:spacing w:before="0" w:after="283"/>
              <w:jc w:val="right"/>
              <w:rPr/>
            </w:pPr>
            <w:r>
              <w:rPr/>
              <w:t> </w:t>
            </w:r>
          </w:p>
        </w:tc>
        <w:tc>
          <w:tcPr>
            <w:tcW w:w="62"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61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6500" w:type="dxa"/>
            <w:tcBorders/>
            <w:vAlign w:val="bottom"/>
          </w:tcPr>
          <w:p>
            <w:pPr>
              <w:pStyle w:val="TableContents"/>
              <w:bidi w:val="0"/>
              <w:spacing w:before="0" w:after="0"/>
              <w:ind w:left="180" w:right="0" w:hanging="0"/>
              <w:jc w:val="left"/>
              <w:rPr>
                <w:sz w:val="20"/>
              </w:rPr>
            </w:pPr>
            <w:r>
              <w:rPr>
                <w:sz w:val="20"/>
              </w:rPr>
              <w:t>Purchase of property and equipment, including capitalized internal-use software</w:t>
            </w:r>
          </w:p>
        </w:tc>
        <w:tc>
          <w:tcPr>
            <w:tcW w:w="60"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0"/>
              <w:jc w:val="left"/>
              <w:rPr>
                <w:sz w:val="20"/>
              </w:rPr>
            </w:pPr>
            <w:r>
              <w:rPr>
                <w:sz w:val="20"/>
              </w:rPr>
              <w:t>$</w:t>
            </w:r>
          </w:p>
        </w:tc>
        <w:tc>
          <w:tcPr>
            <w:tcW w:w="612" w:type="dxa"/>
            <w:tcBorders/>
            <w:vAlign w:val="bottom"/>
          </w:tcPr>
          <w:p>
            <w:pPr>
              <w:pStyle w:val="TableContents"/>
              <w:bidi w:val="0"/>
              <w:spacing w:before="0" w:after="0"/>
              <w:jc w:val="right"/>
              <w:rPr>
                <w:sz w:val="20"/>
              </w:rPr>
            </w:pPr>
            <w:r>
              <w:rPr>
                <w:sz w:val="20"/>
              </w:rPr>
              <w:t>5,694</w:t>
            </w:r>
          </w:p>
        </w:tc>
        <w:tc>
          <w:tcPr>
            <w:tcW w:w="62"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0"/>
              <w:jc w:val="left"/>
              <w:rPr>
                <w:sz w:val="20"/>
              </w:rPr>
            </w:pPr>
            <w:r>
              <w:rPr>
                <w:sz w:val="20"/>
              </w:rPr>
              <w:t>$</w:t>
            </w:r>
          </w:p>
        </w:tc>
        <w:tc>
          <w:tcPr>
            <w:tcW w:w="612" w:type="dxa"/>
            <w:tcBorders/>
            <w:vAlign w:val="bottom"/>
          </w:tcPr>
          <w:p>
            <w:pPr>
              <w:pStyle w:val="TableContents"/>
              <w:bidi w:val="0"/>
              <w:spacing w:before="0" w:after="0"/>
              <w:jc w:val="right"/>
              <w:rPr>
                <w:sz w:val="20"/>
              </w:rPr>
            </w:pPr>
            <w:r>
              <w:rPr>
                <w:sz w:val="20"/>
              </w:rPr>
              <w:t>2,764</w:t>
            </w:r>
          </w:p>
        </w:tc>
        <w:tc>
          <w:tcPr>
            <w:tcW w:w="60" w:type="dxa"/>
            <w:tcBorders/>
            <w:vAlign w:val="bottom"/>
          </w:tcPr>
          <w:p>
            <w:pPr>
              <w:pStyle w:val="TableContents"/>
              <w:bidi w:val="0"/>
              <w:spacing w:before="0" w:after="283"/>
              <w:jc w:val="left"/>
              <w:rPr/>
            </w:pPr>
            <w:r>
              <w:rPr/>
              <w:t> </w:t>
            </w:r>
          </w:p>
        </w:tc>
      </w:tr>
      <w:tr>
        <w:trPr/>
        <w:tc>
          <w:tcPr>
            <w:tcW w:w="6500" w:type="dxa"/>
            <w:tcBorders/>
            <w:shd w:fill="CCEEFF" w:val="clear"/>
            <w:vAlign w:val="bottom"/>
          </w:tcPr>
          <w:p>
            <w:pPr>
              <w:pStyle w:val="TableContents"/>
              <w:bidi w:val="0"/>
              <w:spacing w:before="0" w:after="0"/>
              <w:ind w:left="180" w:right="0" w:hanging="0"/>
              <w:jc w:val="left"/>
              <w:rPr>
                <w:sz w:val="20"/>
              </w:rPr>
            </w:pPr>
            <w:r>
              <w:rPr>
                <w:sz w:val="20"/>
              </w:rPr>
              <w:t>Share-based compensation included in capitalized internal-use software</w:t>
            </w:r>
          </w:p>
        </w:tc>
        <w:tc>
          <w:tcPr>
            <w:tcW w:w="60"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0"/>
              <w:jc w:val="left"/>
              <w:rPr>
                <w:sz w:val="20"/>
              </w:rPr>
            </w:pPr>
            <w:r>
              <w:rPr>
                <w:sz w:val="20"/>
              </w:rPr>
              <w:t>$</w:t>
            </w:r>
          </w:p>
        </w:tc>
        <w:tc>
          <w:tcPr>
            <w:tcW w:w="612" w:type="dxa"/>
            <w:tcBorders/>
            <w:shd w:fill="CCEEFF" w:val="clear"/>
            <w:vAlign w:val="bottom"/>
          </w:tcPr>
          <w:p>
            <w:pPr>
              <w:pStyle w:val="TableContents"/>
              <w:bidi w:val="0"/>
              <w:spacing w:before="0" w:after="0"/>
              <w:jc w:val="right"/>
              <w:rPr>
                <w:sz w:val="20"/>
              </w:rPr>
            </w:pPr>
            <w:r>
              <w:rPr>
                <w:sz w:val="20"/>
              </w:rPr>
              <w:t>1,731</w:t>
            </w:r>
          </w:p>
        </w:tc>
        <w:tc>
          <w:tcPr>
            <w:tcW w:w="62"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0"/>
              <w:jc w:val="left"/>
              <w:rPr>
                <w:sz w:val="20"/>
              </w:rPr>
            </w:pPr>
            <w:r>
              <w:rPr>
                <w:sz w:val="20"/>
              </w:rPr>
              <w:t>$</w:t>
            </w:r>
          </w:p>
        </w:tc>
        <w:tc>
          <w:tcPr>
            <w:tcW w:w="612" w:type="dxa"/>
            <w:tcBorders/>
            <w:shd w:fill="CCEEFF" w:val="clear"/>
            <w:vAlign w:val="bottom"/>
          </w:tcPr>
          <w:p>
            <w:pPr>
              <w:pStyle w:val="TableContents"/>
              <w:bidi w:val="0"/>
              <w:spacing w:before="0" w:after="0"/>
              <w:jc w:val="right"/>
              <w:rPr>
                <w:sz w:val="20"/>
              </w:rPr>
            </w:pPr>
            <w:r>
              <w:rPr>
                <w:sz w:val="20"/>
              </w:rPr>
              <w:t>1,460</w:t>
            </w:r>
          </w:p>
        </w:tc>
        <w:tc>
          <w:tcPr>
            <w:tcW w:w="60" w:type="dxa"/>
            <w:tcBorders/>
            <w:shd w:fill="CCEEFF" w:val="clear"/>
            <w:vAlign w:val="bottom"/>
          </w:tcPr>
          <w:p>
            <w:pPr>
              <w:pStyle w:val="TableContents"/>
              <w:bidi w:val="0"/>
              <w:spacing w:before="0" w:after="283"/>
              <w:jc w:val="left"/>
              <w:rPr/>
            </w:pPr>
            <w:r>
              <w:rPr/>
              <w:t> </w:t>
            </w:r>
          </w:p>
        </w:tc>
      </w:tr>
      <w:tr>
        <w:trPr/>
        <w:tc>
          <w:tcPr>
            <w:tcW w:w="6500" w:type="dxa"/>
            <w:tcBorders/>
            <w:vAlign w:val="bottom"/>
          </w:tcPr>
          <w:p>
            <w:pPr>
              <w:pStyle w:val="TableContents"/>
              <w:bidi w:val="0"/>
              <w:spacing w:before="0" w:after="0"/>
              <w:ind w:left="180" w:right="0" w:hanging="0"/>
              <w:jc w:val="left"/>
              <w:rPr>
                <w:sz w:val="20"/>
              </w:rPr>
            </w:pPr>
            <w:r>
              <w:rPr>
                <w:sz w:val="20"/>
              </w:rPr>
              <w:t>Creation of operating lease right-of-use assets</w:t>
            </w:r>
          </w:p>
        </w:tc>
        <w:tc>
          <w:tcPr>
            <w:tcW w:w="60"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0"/>
              <w:jc w:val="left"/>
              <w:rPr>
                <w:sz w:val="20"/>
              </w:rPr>
            </w:pPr>
            <w:r>
              <w:rPr>
                <w:sz w:val="20"/>
              </w:rPr>
              <w:t>$</w:t>
            </w:r>
          </w:p>
        </w:tc>
        <w:tc>
          <w:tcPr>
            <w:tcW w:w="612" w:type="dxa"/>
            <w:tcBorders/>
            <w:vAlign w:val="bottom"/>
          </w:tcPr>
          <w:p>
            <w:pPr>
              <w:pStyle w:val="TableContents"/>
              <w:bidi w:val="0"/>
              <w:spacing w:before="0" w:after="0"/>
              <w:jc w:val="right"/>
              <w:rPr>
                <w:sz w:val="20"/>
              </w:rPr>
            </w:pPr>
            <w:r>
              <w:rPr>
                <w:sz w:val="20"/>
              </w:rPr>
              <w:t>10,604</w:t>
            </w:r>
          </w:p>
        </w:tc>
        <w:tc>
          <w:tcPr>
            <w:tcW w:w="62"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0"/>
              <w:jc w:val="left"/>
              <w:rPr>
                <w:sz w:val="20"/>
              </w:rPr>
            </w:pPr>
            <w:r>
              <w:rPr>
                <w:sz w:val="20"/>
              </w:rPr>
              <w:t>$</w:t>
            </w:r>
          </w:p>
        </w:tc>
        <w:tc>
          <w:tcPr>
            <w:tcW w:w="612" w:type="dxa"/>
            <w:tcBorders/>
            <w:vAlign w:val="bottom"/>
          </w:tcPr>
          <w:p>
            <w:pPr>
              <w:pStyle w:val="TableContents"/>
              <w:bidi w:val="0"/>
              <w:spacing w:before="0" w:after="0"/>
              <w:jc w:val="right"/>
              <w:rPr>
                <w:sz w:val="20"/>
              </w:rPr>
            </w:pPr>
            <w:r>
              <w:rPr>
                <w:sz w:val="20"/>
              </w:rPr>
              <w:t>11,648</w:t>
            </w:r>
          </w:p>
        </w:tc>
        <w:tc>
          <w:tcPr>
            <w:tcW w:w="60" w:type="dxa"/>
            <w:tcBorders/>
            <w:vAlign w:val="bottom"/>
          </w:tcPr>
          <w:p>
            <w:pPr>
              <w:pStyle w:val="TableContents"/>
              <w:bidi w:val="0"/>
              <w:spacing w:before="0" w:after="283"/>
              <w:jc w:val="left"/>
              <w:rPr/>
            </w:pPr>
            <w:r>
              <w:rPr/>
              <w:t> </w:t>
            </w:r>
          </w:p>
        </w:tc>
      </w:tr>
    </w:tbl>
    <w:p>
      <w:pPr>
        <w:pStyle w:val="TextBody"/>
        <w:bidi w:val="0"/>
        <w:spacing w:before="0" w:after="0"/>
        <w:jc w:val="both"/>
        <w:rPr/>
      </w:pPr>
      <w:r>
        <w:rPr/>
      </w:r>
    </w:p>
    <w:p>
      <w:pPr>
        <w:pStyle w:val="TextBody"/>
        <w:bidi w:val="0"/>
        <w:spacing w:before="0" w:after="0"/>
        <w:jc w:val="center"/>
        <w:rPr>
          <w:rFonts w:ascii="Times New Roman" w:hAnsi="Times New Roman"/>
          <w:b w:val="false"/>
          <w:color w:val="000000"/>
          <w:sz w:val="20"/>
          <w:shd w:fill="FFFFFF" w:val="clear"/>
        </w:rPr>
      </w:pPr>
      <w:r>
        <w:rPr>
          <w:rFonts w:ascii="Times New Roman" w:hAnsi="Times New Roman"/>
          <w:b w:val="false"/>
          <w:color w:val="000000"/>
          <w:sz w:val="20"/>
          <w:shd w:fill="FFFFFF" w:val="clear"/>
        </w:rPr>
        <w:t>The accompanying notes are an integral part of these unaudited consolidated interim financial statements.</w:t>
      </w:r>
    </w:p>
    <w:p>
      <w:pPr>
        <w:pStyle w:val="TextBody"/>
        <w:bidi w:val="0"/>
        <w:spacing w:before="0" w:after="0"/>
        <w:jc w:val="both"/>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10</w:t>
      </w:r>
    </w:p>
    <w:p>
      <w:pPr>
        <w:pStyle w:val="HorizontalLine"/>
        <w:bidi w:val="0"/>
        <w:spacing w:before="200" w:after="200"/>
        <w:jc w:val="both"/>
        <w:rPr/>
      </w:pPr>
      <w:r>
        <w:rPr/>
      </w:r>
    </w:p>
    <w:p>
      <w:pPr>
        <w:pStyle w:val="TextBody"/>
        <w:bidi w:val="0"/>
        <w:spacing w:before="200" w:after="200"/>
        <w:jc w:val="both"/>
        <w:rPr/>
      </w:pPr>
      <w:hyperlink w:anchor="Contents">
        <w:r>
          <w:rPr>
            <w:rStyle w:val="InternetLink"/>
            <w:rFonts w:ascii="Times New Roman" w:hAnsi="Times New Roman"/>
            <w:b w:val="false"/>
            <w:i/>
            <w:color w:val="000000"/>
            <w:sz w:val="16"/>
            <w:shd w:fill="FFFFFF" w:val="clear"/>
          </w:rPr>
          <w:t>Table of Contents</w:t>
        </w:r>
      </w:hyperlink>
    </w:p>
    <w:p>
      <w:pPr>
        <w:pStyle w:val="TextBody"/>
        <w:bidi w:val="0"/>
        <w:spacing w:before="0" w:after="0"/>
        <w:jc w:val="right"/>
        <w:rPr>
          <w:rFonts w:ascii="Times New Roman" w:hAnsi="Times New Roman"/>
          <w:b/>
          <w:color w:val="000000"/>
          <w:sz w:val="20"/>
          <w:bdr w:val="single" w:sz="12" w:space="1" w:color="000000"/>
          <w:shd w:fill="FFFFFF" w:val="clear"/>
        </w:rPr>
      </w:pPr>
      <w:r>
        <w:rPr>
          <w:rFonts w:ascii="Times New Roman" w:hAnsi="Times New Roman"/>
          <w:b/>
          <w:color w:val="000000"/>
          <w:sz w:val="20"/>
          <w:bdr w:val="single" w:sz="12" w:space="1" w:color="000000"/>
          <w:shd w:fill="FFFFFF" w:val="clear"/>
        </w:rPr>
        <w:t>TABOOLA.COM LTD.</w:t>
      </w:r>
    </w:p>
    <w:p>
      <w:pPr>
        <w:pStyle w:val="TextBody"/>
        <w:bidi w:val="0"/>
        <w:spacing w:before="0" w:after="0"/>
        <w:jc w:val="right"/>
        <w:rPr>
          <w:b/>
        </w:rPr>
      </w:pPr>
      <w:r>
        <w:rPr>
          <w:b/>
        </w:rPr>
      </w:r>
    </w:p>
    <w:p>
      <w:pPr>
        <w:pStyle w:val="TextBody"/>
        <w:bidi w:val="0"/>
        <w:spacing w:before="0" w:after="0"/>
        <w:jc w:val="both"/>
        <w:rPr>
          <w:rFonts w:ascii="Times New Roman" w:hAnsi="Times New Roman"/>
          <w:b/>
          <w:color w:val="000000"/>
          <w:sz w:val="20"/>
          <w:bdr w:val="single" w:sz="12" w:space="1" w:color="000000"/>
          <w:shd w:fill="FFFFFF" w:val="clear"/>
        </w:rPr>
      </w:pPr>
      <w:bookmarkStart w:id="10" w:name="NOTES"/>
      <w:bookmarkEnd w:id="10"/>
      <w:r>
        <w:rPr>
          <w:rFonts w:ascii="Times New Roman" w:hAnsi="Times New Roman"/>
          <w:b/>
          <w:color w:val="000000"/>
          <w:sz w:val="20"/>
          <w:bdr w:val="single" w:sz="12" w:space="1" w:color="000000"/>
          <w:shd w:fill="FFFFFF" w:val="clear"/>
        </w:rPr>
        <w:t>NOTES TO THE CONSOLIDATED INTERIM FINANCIAL STATEMENTS</w:t>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U.S. dollars in thousands, except share and per share data</w:t>
      </w:r>
    </w:p>
    <w:p>
      <w:pPr>
        <w:pStyle w:val="TextBody"/>
        <w:bidi w:val="0"/>
        <w:spacing w:before="0" w:after="0"/>
        <w:jc w:val="both"/>
        <w:rPr>
          <w:b/>
        </w:rPr>
      </w:pPr>
      <w:r>
        <w:rPr>
          <w:b/>
        </w:rPr>
      </w:r>
    </w:p>
    <w:tbl>
      <w:tblPr>
        <w:tblW w:w="1855" w:type="dxa"/>
        <w:jc w:val="left"/>
        <w:tblInd w:w="0" w:type="dxa"/>
        <w:tblLayout w:type="fixed"/>
        <w:tblCellMar>
          <w:top w:w="0" w:type="dxa"/>
          <w:left w:w="0" w:type="dxa"/>
          <w:bottom w:w="0" w:type="dxa"/>
          <w:right w:w="0" w:type="dxa"/>
        </w:tblCellMar>
      </w:tblPr>
      <w:tblGrid>
        <w:gridCol w:w="860"/>
        <w:gridCol w:w="995"/>
      </w:tblGrid>
      <w:tr>
        <w:trPr/>
        <w:tc>
          <w:tcPr>
            <w:tcW w:w="860" w:type="dxa"/>
            <w:tcBorders/>
            <w:vAlign w:val="center"/>
          </w:tcPr>
          <w:p>
            <w:pPr>
              <w:pStyle w:val="TableContents"/>
              <w:bidi w:val="0"/>
              <w:spacing w:before="0" w:after="283"/>
              <w:jc w:val="left"/>
              <w:rPr>
                <w:b/>
                <w:sz w:val="20"/>
              </w:rPr>
            </w:pPr>
            <w:r>
              <w:rPr>
                <w:b/>
                <w:sz w:val="20"/>
              </w:rPr>
              <w:t>NOTE 1:-</w:t>
            </w:r>
          </w:p>
        </w:tc>
        <w:tc>
          <w:tcPr>
            <w:tcW w:w="995" w:type="dxa"/>
            <w:tcBorders/>
            <w:vAlign w:val="center"/>
          </w:tcPr>
          <w:p>
            <w:pPr>
              <w:pStyle w:val="TableContents"/>
              <w:bidi w:val="0"/>
              <w:spacing w:before="0" w:after="0"/>
              <w:jc w:val="both"/>
              <w:rPr>
                <w:b/>
                <w:sz w:val="20"/>
              </w:rPr>
            </w:pPr>
            <w:r>
              <w:rPr>
                <w:b/>
                <w:sz w:val="20"/>
              </w:rPr>
              <w:t>GENERAL</w:t>
            </w:r>
          </w:p>
        </w:tc>
      </w:tr>
    </w:tbl>
    <w:tbl>
      <w:tblPr>
        <w:tblW w:w="10205" w:type="dxa"/>
        <w:jc w:val="left"/>
        <w:tblInd w:w="0" w:type="dxa"/>
        <w:tblLayout w:type="fixed"/>
        <w:tblCellMar>
          <w:top w:w="0" w:type="dxa"/>
          <w:left w:w="0" w:type="dxa"/>
          <w:bottom w:w="0" w:type="dxa"/>
          <w:right w:w="0" w:type="dxa"/>
        </w:tblCellMar>
      </w:tblPr>
      <w:tblGrid>
        <w:gridCol w:w="38"/>
        <w:gridCol w:w="155"/>
        <w:gridCol w:w="10012"/>
      </w:tblGrid>
      <w:tr>
        <w:trPr/>
        <w:tc>
          <w:tcPr>
            <w:tcW w:w="38" w:type="dxa"/>
            <w:tcBorders/>
            <w:vAlign w:val="center"/>
          </w:tcPr>
          <w:p>
            <w:pPr>
              <w:pStyle w:val="TableContents"/>
              <w:bidi w:val="0"/>
              <w:spacing w:before="0" w:after="283"/>
              <w:jc w:val="left"/>
              <w:rPr/>
            </w:pPr>
            <w:r>
              <w:rPr/>
            </w:r>
          </w:p>
        </w:tc>
        <w:tc>
          <w:tcPr>
            <w:tcW w:w="155" w:type="dxa"/>
            <w:tcBorders/>
            <w:vAlign w:val="center"/>
          </w:tcPr>
          <w:p>
            <w:pPr>
              <w:pStyle w:val="TableContents"/>
              <w:bidi w:val="0"/>
              <w:spacing w:before="0" w:after="283"/>
              <w:jc w:val="left"/>
              <w:rPr>
                <w:sz w:val="20"/>
              </w:rPr>
            </w:pPr>
            <w:r>
              <w:rPr>
                <w:sz w:val="20"/>
              </w:rPr>
              <w:t>a.</w:t>
            </w:r>
          </w:p>
        </w:tc>
        <w:tc>
          <w:tcPr>
            <w:tcW w:w="10012" w:type="dxa"/>
            <w:tcBorders/>
            <w:vAlign w:val="center"/>
          </w:tcPr>
          <w:p>
            <w:pPr>
              <w:pStyle w:val="TableContents"/>
              <w:bidi w:val="0"/>
              <w:spacing w:before="0" w:after="0"/>
              <w:jc w:val="both"/>
              <w:rPr>
                <w:sz w:val="20"/>
              </w:rPr>
            </w:pPr>
            <w:r>
              <w:rPr>
                <w:sz w:val="20"/>
              </w:rPr>
              <w:t>Taboola.com Ltd. (together with its subsidiaries, the “Company” or “Taboola”) was incorporated under the laws of the state of Israel on September 3, 2006.</w:t>
            </w:r>
          </w:p>
        </w:tc>
      </w:tr>
    </w:tbl>
    <w:p>
      <w:pPr>
        <w:pStyle w:val="TextBody"/>
        <w:bidi w:val="0"/>
        <w:spacing w:before="0" w:after="0"/>
        <w:ind w:left="1170" w:right="0" w:hanging="0"/>
        <w:jc w:val="both"/>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Taboola is a technology company that powers recommendations across the Open Web with an artificial intelligence-based, algorithmic engine developed since the Company began operations in 2007. Taboola partners with websites, devices, and mobile apps (collectively referred to as “digital properties”), to recommend editorial content and advertisements on the Open Web. Digital properties use Taboola’s technology platforms to achieve their business goals, such as driving new audiences to their sites and apps or increasing engagement with existing audiences. Taboola also provides monetization opportunities to digital properties by surfacing paid recommendations by advertisers. Taboola is a business-to-business company with no competing consumer interests. Taboola empowers advertisers to leverage its proprietary AI-powered recommendation platform to reach targeted audiences utilizing effective, native ad-formats across digital properties. As part of the Company e-Commerce offerings, it also syndicates its retailer advertisers’ monetized product listings and links (clickable advertisements) into commerce content-oriented consumer experiences on both the Open Web and within the dominant traditional ad platforms. Taboola generates revenues when people (consumers) click on, purchase from or, in some cases, view the ads that appear within its recommendation platform. The Company’s customers are the advertisers, merchants and affiliate networks that advertise on the Company’s platform (“Advertisers”). Advertisers pay Taboola for those clicks, purchases or impressions, and Taboola shares a portion of the resulting revenue with the digital properties who display those ads.</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sz w:val="20"/>
              </w:rPr>
            </w:pPr>
            <w:r>
              <w:rPr>
                <w:sz w:val="20"/>
              </w:rPr>
              <w:t>b.</w:t>
            </w:r>
          </w:p>
        </w:tc>
        <w:tc>
          <w:tcPr>
            <w:tcW w:w="9997" w:type="dxa"/>
            <w:tcBorders/>
            <w:vAlign w:val="center"/>
          </w:tcPr>
          <w:p>
            <w:pPr>
              <w:pStyle w:val="TableContents"/>
              <w:bidi w:val="0"/>
              <w:spacing w:before="0" w:after="0"/>
              <w:jc w:val="both"/>
              <w:rPr>
                <w:sz w:val="20"/>
              </w:rPr>
            </w:pPr>
            <w:r>
              <w:rPr>
                <w:sz w:val="20"/>
              </w:rPr>
              <w:t>In November 2022, the Company announced it entered into a 30-year exclusive commercial agreement (the “Commercial agreement”) with Yahoo Inc. and affiliated entities (“Yahoo”), under which Taboola will power native advertising across all of Yahoo’s digital properties, expanding the Company’s native advertising offering. In connection with this transaction, and following approval by the Company’s shareholders on December 30, 2022, the articles of association of the Company were amended and restated (the “Articles”) in their entirety to include a Non-voting Ordinary share class with an authorized share capital of 46,000,000. On January 17, 2023 (the “Transaction closing date”), the Company closed the transaction related agreements, including the issuance of 39,525,691 Ordinary shares and 45,198,702 Non-voting Ordinary shares to Yahoo. Based on the closing share price, on January 17, 2023, of $3.4 per share, the aggregate fair value of the issued shares amounted to $288,063. As part of the Ordinary and Non-voting Ordinary shares issuance, the Company incurred $1,388 issuance expenses.</w:t>
            </w:r>
          </w:p>
        </w:tc>
      </w:tr>
    </w:tbl>
    <w:p>
      <w:pPr>
        <w:pStyle w:val="TextBody"/>
        <w:bidi w:val="0"/>
        <w:spacing w:before="0" w:after="0"/>
        <w:ind w:left="1170" w:right="0" w:hanging="0"/>
        <w:jc w:val="both"/>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The Non-voting Ordinary shares are not entitled to vote on or receive notices with respect to any matter pursuant to our Articles and are not entitled to vote or to be counted for purposes of determining whether any vote required under the Articles has been approved by the requisite percentage of voting securities or to be counted towards any quorum required pursuant to the Articles. Except with respect to the voting rights and to the rights to receive notice of meetings of the shareholders, the Non-voting Ordinary shares have rights identical to the rights of Ordinary shares. In connection with the transaction, the Company and Yahoo entered into an Investor Rights Agreement, under which, inter alia, Yahoo is entitled, in certain circumstances, to cause the Company to register the Ordinary shares issued to Yahoo for resale under the Securities Act of 1933, as amended.</w:t>
      </w:r>
    </w:p>
    <w:p>
      <w:pPr>
        <w:pStyle w:val="TextBody"/>
        <w:bidi w:val="0"/>
        <w:spacing w:before="0" w:after="0"/>
        <w:ind w:left="1170" w:right="0" w:hanging="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11</w:t>
      </w:r>
    </w:p>
    <w:p>
      <w:pPr>
        <w:pStyle w:val="HorizontalLine"/>
        <w:bidi w:val="0"/>
        <w:spacing w:before="200" w:after="200"/>
        <w:jc w:val="left"/>
        <w:rPr/>
      </w:pPr>
      <w:r>
        <w:rPr/>
      </w:r>
    </w:p>
    <w:p>
      <w:pPr>
        <w:pStyle w:val="TextBody"/>
        <w:bidi w:val="0"/>
        <w:spacing w:before="200" w:after="200"/>
        <w:jc w:val="left"/>
        <w:rPr/>
      </w:pPr>
      <w:hyperlink w:anchor="Contents">
        <w:r>
          <w:rPr>
            <w:rStyle w:val="InternetLink"/>
            <w:rFonts w:ascii="Times New Roman" w:hAnsi="Times New Roman"/>
            <w:i/>
            <w:color w:val="000000"/>
            <w:sz w:val="16"/>
            <w:shd w:fill="FFFFFF" w:val="clear"/>
          </w:rPr>
          <w:t>Table of Contents</w:t>
        </w:r>
      </w:hyperlink>
    </w:p>
    <w:p>
      <w:pPr>
        <w:pStyle w:val="TextBody"/>
        <w:bidi w:val="0"/>
        <w:spacing w:before="200" w:after="200"/>
        <w:jc w:val="right"/>
        <w:rPr>
          <w:rFonts w:ascii="Times New Roman" w:hAnsi="Times New Roman"/>
          <w:b/>
          <w:color w:val="000000"/>
          <w:sz w:val="18"/>
          <w:bdr w:val="single" w:sz="12" w:space="1" w:color="000000"/>
          <w:shd w:fill="FFFFFF" w:val="clear"/>
        </w:rPr>
      </w:pPr>
      <w:r>
        <w:rPr>
          <w:rFonts w:ascii="Times New Roman" w:hAnsi="Times New Roman"/>
          <w:b/>
          <w:color w:val="000000"/>
          <w:sz w:val="18"/>
          <w:bdr w:val="single" w:sz="12" w:space="1" w:color="000000"/>
          <w:shd w:fill="FFFFFF" w:val="clear"/>
        </w:rPr>
        <w:t>TABOOLA.COM LTD.</w:t>
      </w:r>
    </w:p>
    <w:p>
      <w:pPr>
        <w:pStyle w:val="TextBody"/>
        <w:bidi w:val="0"/>
        <w:spacing w:before="200" w:after="200"/>
        <w:jc w:val="right"/>
        <w:rPr>
          <w:b/>
        </w:rPr>
      </w:pPr>
      <w:r>
        <w:rPr>
          <w:b/>
        </w:rPr>
      </w:r>
    </w:p>
    <w:p>
      <w:pPr>
        <w:pStyle w:val="TextBody"/>
        <w:bidi w:val="0"/>
        <w:spacing w:before="200" w:after="200"/>
        <w:jc w:val="left"/>
        <w:rPr>
          <w:rFonts w:ascii="Times New Roman" w:hAnsi="Times New Roman"/>
          <w:b/>
          <w:color w:val="000000"/>
          <w:sz w:val="18"/>
          <w:bdr w:val="single" w:sz="12" w:space="1" w:color="000000"/>
          <w:shd w:fill="FFFFFF" w:val="clear"/>
        </w:rPr>
      </w:pPr>
      <w:r>
        <w:rPr>
          <w:rFonts w:ascii="Times New Roman" w:hAnsi="Times New Roman"/>
          <w:b/>
          <w:color w:val="000000"/>
          <w:sz w:val="18"/>
          <w:bdr w:val="single" w:sz="12" w:space="1" w:color="000000"/>
          <w:shd w:fill="FFFFFF" w:val="clear"/>
        </w:rPr>
        <w:t>NOTES TO THE CONSOLIDATED INTERIM FINANCIAL STATEMENTS</w:t>
      </w:r>
    </w:p>
    <w:p>
      <w:pPr>
        <w:pStyle w:val="TextBody"/>
        <w:bidi w:val="0"/>
        <w:spacing w:before="200" w:after="200"/>
        <w:jc w:val="left"/>
        <w:rPr>
          <w:rFonts w:ascii="Times New Roman" w:hAnsi="Times New Roman"/>
          <w:b/>
          <w:color w:val="000000"/>
          <w:sz w:val="18"/>
          <w:shd w:fill="FFFFFF" w:val="clear"/>
        </w:rPr>
      </w:pPr>
      <w:r>
        <w:rPr>
          <w:rFonts w:ascii="Times New Roman" w:hAnsi="Times New Roman"/>
          <w:b/>
          <w:color w:val="000000"/>
          <w:sz w:val="18"/>
          <w:shd w:fill="FFFFFF" w:val="clear"/>
        </w:rPr>
        <w:t>U.S. dollars in thousands, except share and per share data</w:t>
      </w:r>
    </w:p>
    <w:tbl>
      <w:tblPr>
        <w:tblW w:w="4510" w:type="dxa"/>
        <w:jc w:val="left"/>
        <w:tblInd w:w="0" w:type="dxa"/>
        <w:tblLayout w:type="fixed"/>
        <w:tblCellMar>
          <w:top w:w="0" w:type="dxa"/>
          <w:left w:w="0" w:type="dxa"/>
          <w:bottom w:w="0" w:type="dxa"/>
          <w:right w:w="0" w:type="dxa"/>
        </w:tblCellMar>
      </w:tblPr>
      <w:tblGrid>
        <w:gridCol w:w="860"/>
        <w:gridCol w:w="3650"/>
      </w:tblGrid>
      <w:tr>
        <w:trPr/>
        <w:tc>
          <w:tcPr>
            <w:tcW w:w="860" w:type="dxa"/>
            <w:tcBorders/>
            <w:vAlign w:val="center"/>
          </w:tcPr>
          <w:p>
            <w:pPr>
              <w:pStyle w:val="TableContents"/>
              <w:bidi w:val="0"/>
              <w:spacing w:before="0" w:after="283"/>
              <w:jc w:val="left"/>
              <w:rPr>
                <w:b/>
                <w:color w:val="000000"/>
                <w:sz w:val="20"/>
              </w:rPr>
            </w:pPr>
            <w:r>
              <w:rPr>
                <w:b/>
                <w:color w:val="000000"/>
                <w:sz w:val="20"/>
              </w:rPr>
              <w:t>NOTE 2:-</w:t>
            </w:r>
          </w:p>
        </w:tc>
        <w:tc>
          <w:tcPr>
            <w:tcW w:w="3650" w:type="dxa"/>
            <w:tcBorders/>
            <w:vAlign w:val="center"/>
          </w:tcPr>
          <w:p>
            <w:pPr>
              <w:pStyle w:val="TableContents"/>
              <w:bidi w:val="0"/>
              <w:spacing w:before="0" w:after="0"/>
              <w:jc w:val="both"/>
              <w:rPr>
                <w:b/>
                <w:color w:val="000000"/>
                <w:sz w:val="20"/>
              </w:rPr>
            </w:pPr>
            <w:r>
              <w:rPr>
                <w:b/>
                <w:color w:val="000000"/>
                <w:sz w:val="20"/>
              </w:rPr>
              <w:t>SIGNIFICANT ACCOUNTING POLICIES</w:t>
            </w:r>
          </w:p>
        </w:tc>
      </w:tr>
    </w:tbl>
    <w:p>
      <w:pPr>
        <w:pStyle w:val="TextBody"/>
        <w:bidi w:val="0"/>
        <w:spacing w:before="0" w:after="0"/>
        <w:ind w:left="0" w:right="0" w:hanging="0"/>
        <w:jc w:val="left"/>
        <w:rPr/>
      </w:pPr>
      <w:r>
        <w:rPr/>
      </w:r>
    </w:p>
    <w:p>
      <w:pPr>
        <w:pStyle w:val="TextBody"/>
        <w:bidi w:val="0"/>
        <w:spacing w:before="0" w:after="0"/>
        <w:ind w:left="1170" w:right="0" w:hanging="0"/>
        <w:jc w:val="both"/>
        <w:rPr>
          <w:rFonts w:ascii="Times New Roman" w:hAnsi="Times New Roman"/>
          <w:b/>
          <w:i/>
          <w:caps w:val="false"/>
          <w:smallCaps w:val="false"/>
          <w:color w:val="000000"/>
          <w:sz w:val="20"/>
          <w:shd w:fill="FFFFFF" w:val="clear"/>
        </w:rPr>
      </w:pPr>
      <w:r>
        <w:rPr>
          <w:rFonts w:ascii="Times New Roman" w:hAnsi="Times New Roman"/>
          <w:b/>
          <w:i/>
          <w:caps w:val="false"/>
          <w:smallCaps w:val="false"/>
          <w:color w:val="000000"/>
          <w:sz w:val="20"/>
          <w:shd w:fill="FFFFFF" w:val="clear"/>
        </w:rPr>
        <w:t>Basis of Presentation</w:t>
      </w:r>
    </w:p>
    <w:p>
      <w:pPr>
        <w:pStyle w:val="TextBody"/>
        <w:bidi w:val="0"/>
        <w:spacing w:before="0" w:after="0"/>
        <w:ind w:left="1170" w:right="0" w:hanging="0"/>
        <w:jc w:val="both"/>
        <w:rPr>
          <w:rFonts w:ascii="Times New Roman" w:hAnsi="Times New Roman"/>
          <w:b/>
          <w:i/>
          <w:caps w:val="false"/>
          <w:smallCaps w:val="false"/>
          <w:sz w:val="20"/>
        </w:rPr>
      </w:pPr>
      <w:r>
        <w:rPr>
          <w:rFonts w:ascii="Times New Roman" w:hAnsi="Times New Roman"/>
          <w:b/>
          <w:i/>
          <w:caps w:val="false"/>
          <w:smallCaps w:val="false"/>
          <w:sz w:val="20"/>
        </w:rPr>
      </w:r>
    </w:p>
    <w:p>
      <w:pPr>
        <w:pStyle w:val="TextBody"/>
        <w:bidi w:val="0"/>
        <w:spacing w:before="0" w:after="0"/>
        <w:ind w:left="1170" w:right="0" w:hanging="0"/>
        <w:jc w:val="both"/>
        <w:rPr>
          <w:rFonts w:ascii="Times New Roman" w:hAnsi="Times New Roman"/>
          <w:caps w:val="false"/>
          <w:smallCaps w:val="false"/>
          <w:color w:val="000000"/>
          <w:sz w:val="20"/>
          <w:shd w:fill="FFFFFF" w:val="clear"/>
        </w:rPr>
      </w:pPr>
      <w:r>
        <w:rPr>
          <w:rFonts w:ascii="Times New Roman" w:hAnsi="Times New Roman"/>
          <w:caps w:val="false"/>
          <w:smallCaps w:val="false"/>
          <w:color w:val="000000"/>
          <w:sz w:val="20"/>
          <w:shd w:fill="FFFFFF" w:val="clear"/>
        </w:rPr>
        <w:t>The accompanying unaudited consolidated interim financial statements have been prepared in accordance with Generally Accepted Accounting Principles in the United States (“GAAP”), and applicable rules and regulations of the Securities and Exchange Commission (“SEC”) regarding interim financial reporting and include the accounts of Taboola.com Ltd. and its wholly-owned subsidiaries. All intercompany balances and transactions have been eliminated in consolidation.</w:t>
      </w:r>
    </w:p>
    <w:p>
      <w:pPr>
        <w:pStyle w:val="TextBody"/>
        <w:bidi w:val="0"/>
        <w:spacing w:before="0" w:after="0"/>
        <w:ind w:left="1170" w:right="0" w:hanging="0"/>
        <w:jc w:val="both"/>
        <w:rPr>
          <w:rFonts w:ascii="Times New Roman" w:hAnsi="Times New Roman"/>
          <w:caps w:val="false"/>
          <w:smallCaps w:val="false"/>
          <w:sz w:val="20"/>
        </w:rPr>
      </w:pPr>
      <w:r>
        <w:rPr>
          <w:rFonts w:ascii="Times New Roman" w:hAnsi="Times New Roman"/>
          <w:caps w:val="false"/>
          <w:smallCaps w:val="false"/>
          <w:sz w:val="20"/>
        </w:rPr>
      </w:r>
    </w:p>
    <w:p>
      <w:pPr>
        <w:pStyle w:val="TextBody"/>
        <w:bidi w:val="0"/>
        <w:spacing w:before="0" w:after="0"/>
        <w:ind w:left="1170" w:right="0" w:hanging="0"/>
        <w:jc w:val="both"/>
        <w:rPr>
          <w:rFonts w:ascii="Times New Roman" w:hAnsi="Times New Roman"/>
          <w:caps w:val="false"/>
          <w:smallCaps w:val="false"/>
          <w:color w:val="000000"/>
          <w:sz w:val="20"/>
          <w:shd w:fill="FFFFFF" w:val="clear"/>
        </w:rPr>
      </w:pPr>
      <w:r>
        <w:rPr>
          <w:rFonts w:ascii="Times New Roman" w:hAnsi="Times New Roman"/>
          <w:caps w:val="false"/>
          <w:smallCaps w:val="false"/>
          <w:color w:val="000000"/>
          <w:sz w:val="20"/>
          <w:shd w:fill="FFFFFF" w:val="clear"/>
        </w:rPr>
        <w:t>The consolidated balance sheet as of December 31, 2022, included herein, was derived from the audited consolidated financial statements as of that date, but does not include all of the disclosures, including certain notes required by GAAP on an annual reporting basis. Certain information and note disclosures normally included in the financial statements prepared in accordance with GAAP have been condensed or omitted pursuant to such rules and regulations.</w:t>
      </w:r>
    </w:p>
    <w:p>
      <w:pPr>
        <w:pStyle w:val="TextBody"/>
        <w:bidi w:val="0"/>
        <w:spacing w:before="0" w:after="0"/>
        <w:ind w:left="1170" w:right="0" w:hanging="0"/>
        <w:jc w:val="both"/>
        <w:rPr>
          <w:rFonts w:ascii="Times New Roman" w:hAnsi="Times New Roman"/>
          <w:caps w:val="false"/>
          <w:smallCaps w:val="false"/>
          <w:sz w:val="20"/>
        </w:rPr>
      </w:pPr>
      <w:r>
        <w:rPr>
          <w:rFonts w:ascii="Times New Roman" w:hAnsi="Times New Roman"/>
          <w:caps w:val="false"/>
          <w:smallCaps w:val="false"/>
          <w:sz w:val="20"/>
        </w:rPr>
      </w:r>
    </w:p>
    <w:p>
      <w:pPr>
        <w:pStyle w:val="TextBody"/>
        <w:bidi w:val="0"/>
        <w:spacing w:before="0" w:after="0"/>
        <w:ind w:left="1170" w:right="0" w:hanging="0"/>
        <w:jc w:val="both"/>
        <w:rPr>
          <w:rFonts w:ascii="Times New Roman" w:hAnsi="Times New Roman"/>
          <w:caps w:val="false"/>
          <w:smallCaps w:val="false"/>
          <w:color w:val="000000"/>
          <w:sz w:val="20"/>
          <w:shd w:fill="FFFFFF" w:val="clear"/>
        </w:rPr>
      </w:pPr>
      <w:r>
        <w:rPr>
          <w:rFonts w:ascii="Times New Roman" w:hAnsi="Times New Roman"/>
          <w:caps w:val="false"/>
          <w:smallCaps w:val="false"/>
          <w:color w:val="000000"/>
          <w:sz w:val="20"/>
          <w:shd w:fill="FFFFFF" w:val="clear"/>
        </w:rPr>
        <w:t>Therefore, these unaudited consolidated interim financial statements should be read in conjunction with the audited consolidated financial statements and the related notes thereto included in the Company’s Annual Report on Form 10-K as of and for the year ended December 31, 2022, filed with the SEC on March 13, 2023.</w:t>
      </w:r>
    </w:p>
    <w:p>
      <w:pPr>
        <w:pStyle w:val="TextBody"/>
        <w:bidi w:val="0"/>
        <w:spacing w:before="0" w:after="0"/>
        <w:ind w:left="1170" w:right="0" w:hanging="0"/>
        <w:jc w:val="both"/>
        <w:rPr>
          <w:rFonts w:ascii="Times New Roman" w:hAnsi="Times New Roman"/>
          <w:caps w:val="false"/>
          <w:smallCaps w:val="false"/>
          <w:sz w:val="20"/>
        </w:rPr>
      </w:pPr>
      <w:r>
        <w:rPr>
          <w:rFonts w:ascii="Times New Roman" w:hAnsi="Times New Roman"/>
          <w:caps w:val="false"/>
          <w:smallCaps w:val="false"/>
          <w:sz w:val="20"/>
        </w:rPr>
      </w:r>
    </w:p>
    <w:p>
      <w:pPr>
        <w:pStyle w:val="TextBody"/>
        <w:bidi w:val="0"/>
        <w:spacing w:before="0" w:after="0"/>
        <w:ind w:left="1170" w:right="0" w:hanging="0"/>
        <w:jc w:val="both"/>
        <w:rPr>
          <w:rFonts w:ascii="Times New Roman" w:hAnsi="Times New Roman"/>
          <w:caps w:val="false"/>
          <w:smallCaps w:val="false"/>
          <w:color w:val="000000"/>
          <w:sz w:val="20"/>
          <w:shd w:fill="FFFFFF" w:val="clear"/>
        </w:rPr>
      </w:pPr>
      <w:r>
        <w:rPr>
          <w:rFonts w:ascii="Times New Roman" w:hAnsi="Times New Roman"/>
          <w:caps w:val="false"/>
          <w:smallCaps w:val="false"/>
          <w:color w:val="000000"/>
          <w:sz w:val="20"/>
          <w:shd w:fill="FFFFFF" w:val="clear"/>
        </w:rPr>
        <w:t>In the opinion of the Company’s management, the unaudited consolidated interim financial statements have been prepared on a basis consistent with the annual consolidated financial statements and reflect all adjustments, which include only normal recurring adjustments necessary for the fair presentation of the Company’s unaudited interim consolidated financial statements. The results of operations for the three and nine months ended September 30, 2023, are not necessarily indicative of the results to be expected for the full year ending December 31, 2023, or any other future interim or annual period.</w:t>
      </w:r>
    </w:p>
    <w:p>
      <w:pPr>
        <w:pStyle w:val="TextBody"/>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r>
    </w:p>
    <w:p>
      <w:pPr>
        <w:pStyle w:val="TextBody"/>
        <w:bidi w:val="0"/>
        <w:spacing w:before="0" w:after="0"/>
        <w:ind w:left="1170" w:right="0" w:hanging="0"/>
        <w:jc w:val="both"/>
        <w:rPr>
          <w:rFonts w:ascii="Times New Roman" w:hAnsi="Times New Roman"/>
          <w:b/>
          <w:i/>
          <w:caps w:val="false"/>
          <w:smallCaps w:val="false"/>
          <w:color w:val="000000"/>
          <w:sz w:val="20"/>
          <w:shd w:fill="FFFFFF" w:val="clear"/>
        </w:rPr>
      </w:pPr>
      <w:r>
        <w:rPr>
          <w:rFonts w:ascii="Times New Roman" w:hAnsi="Times New Roman"/>
          <w:b/>
          <w:i/>
          <w:caps w:val="false"/>
          <w:smallCaps w:val="false"/>
          <w:color w:val="000000"/>
          <w:sz w:val="20"/>
          <w:shd w:fill="FFFFFF" w:val="clear"/>
        </w:rPr>
        <w:t>Use of Estimates</w:t>
      </w:r>
    </w:p>
    <w:p>
      <w:pPr>
        <w:pStyle w:val="TextBody"/>
        <w:bidi w:val="0"/>
        <w:spacing w:before="0" w:after="0"/>
        <w:ind w:left="1170" w:right="0" w:hanging="0"/>
        <w:jc w:val="both"/>
        <w:rPr>
          <w:rFonts w:ascii="Times New Roman" w:hAnsi="Times New Roman"/>
          <w:b/>
          <w:i/>
          <w:caps w:val="false"/>
          <w:smallCaps w:val="false"/>
          <w:sz w:val="20"/>
        </w:rPr>
      </w:pPr>
      <w:r>
        <w:rPr>
          <w:rFonts w:ascii="Times New Roman" w:hAnsi="Times New Roman"/>
          <w:b/>
          <w:i/>
          <w:caps w:val="false"/>
          <w:smallCaps w:val="false"/>
          <w:sz w:val="20"/>
        </w:rPr>
      </w:r>
    </w:p>
    <w:p>
      <w:pPr>
        <w:pStyle w:val="TextBody"/>
        <w:bidi w:val="0"/>
        <w:spacing w:before="0" w:after="0"/>
        <w:ind w:left="1170" w:right="0" w:hanging="0"/>
        <w:jc w:val="both"/>
        <w:rPr>
          <w:rFonts w:ascii="Times New Roman" w:hAnsi="Times New Roman"/>
          <w:caps w:val="false"/>
          <w:smallCaps w:val="false"/>
          <w:color w:val="000000"/>
          <w:sz w:val="20"/>
          <w:shd w:fill="FFFFFF" w:val="clear"/>
        </w:rPr>
      </w:pPr>
      <w:r>
        <w:rPr>
          <w:rFonts w:ascii="Times New Roman" w:hAnsi="Times New Roman"/>
          <w:caps w:val="false"/>
          <w:smallCaps w:val="false"/>
          <w:color w:val="000000"/>
          <w:sz w:val="20"/>
          <w:shd w:fill="FFFFFF" w:val="clear"/>
        </w:rPr>
        <w:t>The preparation of the interim consolidated financial statements in conformity with U.S. GAAP requires management to make estimates and assumptions that affect the reported amounts of assets and liabilities and disclosure of contingent assets and liabilities at the dates of the interim consolidated financial statements, and the reported amounts of revenues and expenses during the reporting period and accompanying notes. Actual results could differ from those estimates.</w:t>
      </w:r>
    </w:p>
    <w:p>
      <w:pPr>
        <w:pStyle w:val="TextBody"/>
        <w:bidi w:val="0"/>
        <w:spacing w:before="0" w:after="0"/>
        <w:ind w:left="1170" w:right="0" w:hanging="0"/>
        <w:jc w:val="both"/>
        <w:rPr>
          <w:rFonts w:ascii="Times New Roman" w:hAnsi="Times New Roman"/>
          <w:caps w:val="false"/>
          <w:smallCaps w:val="false"/>
          <w:sz w:val="20"/>
        </w:rPr>
      </w:pPr>
      <w:r>
        <w:rPr>
          <w:rFonts w:ascii="Times New Roman" w:hAnsi="Times New Roman"/>
          <w:caps w:val="false"/>
          <w:smallCaps w:val="false"/>
          <w:sz w:val="20"/>
        </w:rPr>
      </w:r>
    </w:p>
    <w:p>
      <w:pPr>
        <w:pStyle w:val="TextBody"/>
        <w:bidi w:val="0"/>
        <w:spacing w:before="0" w:after="0"/>
        <w:ind w:left="1170" w:right="0" w:hanging="0"/>
        <w:jc w:val="both"/>
        <w:rPr>
          <w:rFonts w:ascii="Times New Roman" w:hAnsi="Times New Roman"/>
          <w:caps w:val="false"/>
          <w:smallCaps w:val="false"/>
          <w:color w:val="000000"/>
          <w:sz w:val="20"/>
          <w:shd w:fill="FFFFFF" w:val="clear"/>
        </w:rPr>
      </w:pPr>
      <w:r>
        <w:rPr>
          <w:rFonts w:ascii="Times New Roman" w:hAnsi="Times New Roman"/>
          <w:caps w:val="false"/>
          <w:smallCaps w:val="false"/>
          <w:color w:val="000000"/>
          <w:sz w:val="20"/>
          <w:shd w:fill="FFFFFF" w:val="clear"/>
        </w:rPr>
        <w:t>The Company’s management regularly evaluates its estimates, primarily those related to: (1) revenue recognition criteria, including the determination of revenue reporting as gross versus net in the Company’s revenue arrangements, (2) allowances for credit losses, (3) operating lease assets and liabilities, including the incremental borrowing rate and terms and provisions of each lease (4) the useful lives of its Commercial agreement asset, property and equipment and capitalized software development costs, (5) income taxes, (6) assumptions used in the option pricing models to determine the fair value of share-based compensation (7) the fair value of financial assets and liabilities, including the fair value of marketable securities, Private Warrants and derivative instruments (8) the fair value of acquired intangible assets and goodwill annual impairment test, and (9) the recognition and disclosure of contingent liabilities.</w:t>
      </w:r>
    </w:p>
    <w:p>
      <w:pPr>
        <w:pStyle w:val="TextBody"/>
        <w:bidi w:val="0"/>
        <w:spacing w:before="0" w:after="0"/>
        <w:ind w:left="1170" w:right="0" w:hanging="0"/>
        <w:jc w:val="both"/>
        <w:rPr>
          <w:rFonts w:ascii="Times New Roman" w:hAnsi="Times New Roman"/>
          <w:caps w:val="false"/>
          <w:smallCaps w:val="false"/>
          <w:sz w:val="20"/>
        </w:rPr>
      </w:pPr>
      <w:r>
        <w:rPr>
          <w:rFonts w:ascii="Times New Roman" w:hAnsi="Times New Roman"/>
          <w:caps w:val="false"/>
          <w:smallCaps w:val="false"/>
          <w:sz w:val="20"/>
        </w:rPr>
      </w:r>
    </w:p>
    <w:p>
      <w:pPr>
        <w:pStyle w:val="TextBody"/>
        <w:bidi w:val="0"/>
        <w:spacing w:before="0" w:after="0"/>
        <w:ind w:left="1170" w:right="0" w:hanging="0"/>
        <w:jc w:val="both"/>
        <w:rPr>
          <w:rFonts w:ascii="Times New Roman" w:hAnsi="Times New Roman"/>
          <w:caps w:val="false"/>
          <w:smallCaps w:val="false"/>
          <w:color w:val="000000"/>
          <w:sz w:val="20"/>
          <w:shd w:fill="FFFFFF" w:val="clear"/>
        </w:rPr>
      </w:pPr>
      <w:r>
        <w:rPr>
          <w:rFonts w:ascii="Times New Roman" w:hAnsi="Times New Roman"/>
          <w:caps w:val="false"/>
          <w:smallCaps w:val="false"/>
          <w:color w:val="000000"/>
          <w:sz w:val="20"/>
          <w:shd w:fill="FFFFFF" w:val="clear"/>
        </w:rPr>
        <w:t>These estimates are based on historical data and experience, as well as various other factors that management believes to be reasonable under the circumstances; the results of which form the basis for making judgments about the carrying value of assets and liabilities that are not readily apparent from other sources.</w:t>
      </w:r>
    </w:p>
    <w:p>
      <w:pPr>
        <w:pStyle w:val="TextBody"/>
        <w:bidi w:val="0"/>
        <w:spacing w:before="0" w:after="0"/>
        <w:jc w:val="both"/>
        <w:rPr>
          <w:sz w:val="20"/>
        </w:rPr>
      </w:pPr>
      <w:r>
        <w:rPr>
          <w:sz w:val="20"/>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12</w:t>
      </w:r>
    </w:p>
    <w:p>
      <w:pPr>
        <w:pStyle w:val="HorizontalLine"/>
        <w:bidi w:val="0"/>
        <w:spacing w:before="200" w:after="200"/>
        <w:jc w:val="left"/>
        <w:rPr/>
      </w:pPr>
      <w:r>
        <w:rPr/>
      </w:r>
    </w:p>
    <w:p>
      <w:pPr>
        <w:pStyle w:val="TextBody"/>
        <w:bidi w:val="0"/>
        <w:spacing w:before="200" w:after="200"/>
        <w:jc w:val="left"/>
        <w:rPr/>
      </w:pPr>
      <w:hyperlink w:anchor="Contents">
        <w:r>
          <w:rPr>
            <w:rStyle w:val="InternetLink"/>
            <w:rFonts w:ascii="Times New Roman" w:hAnsi="Times New Roman"/>
            <w:i/>
            <w:color w:val="000000"/>
            <w:sz w:val="16"/>
            <w:shd w:fill="FFFFFF" w:val="clear"/>
          </w:rPr>
          <w:t>Table of Contents</w:t>
        </w:r>
      </w:hyperlink>
    </w:p>
    <w:p>
      <w:pPr>
        <w:pStyle w:val="TextBody"/>
        <w:bidi w:val="0"/>
        <w:spacing w:before="200" w:after="200"/>
        <w:jc w:val="right"/>
        <w:rPr>
          <w:rFonts w:ascii="Times New Roman" w:hAnsi="Times New Roman"/>
          <w:b/>
          <w:color w:val="000000"/>
          <w:sz w:val="18"/>
          <w:bdr w:val="single" w:sz="12" w:space="1" w:color="000000"/>
          <w:shd w:fill="FFFFFF" w:val="clear"/>
        </w:rPr>
      </w:pPr>
      <w:r>
        <w:rPr>
          <w:rFonts w:ascii="Times New Roman" w:hAnsi="Times New Roman"/>
          <w:b/>
          <w:color w:val="000000"/>
          <w:sz w:val="18"/>
          <w:bdr w:val="single" w:sz="12" w:space="1" w:color="000000"/>
          <w:shd w:fill="FFFFFF" w:val="clear"/>
        </w:rPr>
        <w:t>TABOOLA.COM LTD.</w:t>
      </w:r>
    </w:p>
    <w:p>
      <w:pPr>
        <w:pStyle w:val="TextBody"/>
        <w:bidi w:val="0"/>
        <w:spacing w:before="200" w:after="200"/>
        <w:jc w:val="right"/>
        <w:rPr>
          <w:b/>
        </w:rPr>
      </w:pPr>
      <w:r>
        <w:rPr>
          <w:b/>
        </w:rPr>
      </w:r>
    </w:p>
    <w:p>
      <w:pPr>
        <w:pStyle w:val="TextBody"/>
        <w:bidi w:val="0"/>
        <w:spacing w:before="200" w:after="200"/>
        <w:jc w:val="left"/>
        <w:rPr>
          <w:rFonts w:ascii="Times New Roman" w:hAnsi="Times New Roman"/>
          <w:b/>
          <w:color w:val="000000"/>
          <w:sz w:val="18"/>
          <w:bdr w:val="single" w:sz="12" w:space="1" w:color="000000"/>
          <w:shd w:fill="FFFFFF" w:val="clear"/>
        </w:rPr>
      </w:pPr>
      <w:r>
        <w:rPr>
          <w:rFonts w:ascii="Times New Roman" w:hAnsi="Times New Roman"/>
          <w:b/>
          <w:color w:val="000000"/>
          <w:sz w:val="18"/>
          <w:bdr w:val="single" w:sz="12" w:space="1" w:color="000000"/>
          <w:shd w:fill="FFFFFF" w:val="clear"/>
        </w:rPr>
        <w:t>NOTES TO THE CONSOLIDATED INTERIM FINANCIAL STATEMENTS</w:t>
      </w:r>
    </w:p>
    <w:p>
      <w:pPr>
        <w:pStyle w:val="TextBody"/>
        <w:bidi w:val="0"/>
        <w:spacing w:before="200" w:after="200"/>
        <w:jc w:val="left"/>
        <w:rPr>
          <w:rFonts w:ascii="Times New Roman" w:hAnsi="Times New Roman"/>
          <w:b/>
          <w:color w:val="000000"/>
          <w:sz w:val="18"/>
          <w:shd w:fill="FFFFFF" w:val="clear"/>
        </w:rPr>
      </w:pPr>
      <w:r>
        <w:rPr>
          <w:rFonts w:ascii="Times New Roman" w:hAnsi="Times New Roman"/>
          <w:b/>
          <w:color w:val="000000"/>
          <w:sz w:val="18"/>
          <w:shd w:fill="FFFFFF" w:val="clear"/>
        </w:rPr>
        <w:t>U.S. dollars in thousands, except share and per share data</w:t>
      </w:r>
    </w:p>
    <w:p>
      <w:pPr>
        <w:pStyle w:val="TextBody"/>
        <w:bidi w:val="0"/>
        <w:spacing w:before="0" w:after="0"/>
        <w:ind w:left="0" w:right="0" w:hanging="0"/>
        <w:jc w:val="left"/>
        <w:rPr/>
      </w:pPr>
      <w:r>
        <w:rPr/>
      </w:r>
    </w:p>
    <w:tbl>
      <w:tblPr>
        <w:tblW w:w="5125" w:type="dxa"/>
        <w:jc w:val="left"/>
        <w:tblInd w:w="0" w:type="dxa"/>
        <w:tblLayout w:type="fixed"/>
        <w:tblCellMar>
          <w:top w:w="0" w:type="dxa"/>
          <w:left w:w="0" w:type="dxa"/>
          <w:bottom w:w="0" w:type="dxa"/>
          <w:right w:w="0" w:type="dxa"/>
        </w:tblCellMar>
      </w:tblPr>
      <w:tblGrid>
        <w:gridCol w:w="860"/>
        <w:gridCol w:w="4265"/>
      </w:tblGrid>
      <w:tr>
        <w:trPr/>
        <w:tc>
          <w:tcPr>
            <w:tcW w:w="860" w:type="dxa"/>
            <w:tcBorders/>
            <w:vAlign w:val="center"/>
          </w:tcPr>
          <w:p>
            <w:pPr>
              <w:pStyle w:val="TableContents"/>
              <w:bidi w:val="0"/>
              <w:spacing w:before="0" w:after="283"/>
              <w:jc w:val="left"/>
              <w:rPr>
                <w:b/>
                <w:color w:val="000000"/>
                <w:sz w:val="20"/>
              </w:rPr>
            </w:pPr>
            <w:r>
              <w:rPr>
                <w:b/>
                <w:color w:val="000000"/>
                <w:sz w:val="20"/>
              </w:rPr>
              <w:t>NOTE 2:-</w:t>
            </w:r>
          </w:p>
        </w:tc>
        <w:tc>
          <w:tcPr>
            <w:tcW w:w="4265" w:type="dxa"/>
            <w:tcBorders/>
            <w:vAlign w:val="center"/>
          </w:tcPr>
          <w:p>
            <w:pPr>
              <w:pStyle w:val="TableContents"/>
              <w:bidi w:val="0"/>
              <w:spacing w:before="0" w:after="0"/>
              <w:jc w:val="both"/>
              <w:rPr>
                <w:b/>
                <w:color w:val="000000"/>
                <w:sz w:val="20"/>
              </w:rPr>
            </w:pPr>
            <w:r>
              <w:rPr>
                <w:b/>
                <w:color w:val="000000"/>
                <w:sz w:val="20"/>
              </w:rPr>
              <w:t>SIGNIFICANT ACCOUNTING POLICIES (Cont.)</w:t>
            </w:r>
          </w:p>
        </w:tc>
      </w:tr>
    </w:tbl>
    <w:p>
      <w:pPr>
        <w:pStyle w:val="TextBody"/>
        <w:bidi w:val="0"/>
        <w:spacing w:before="0" w:after="0"/>
        <w:ind w:left="0" w:right="0" w:hanging="0"/>
        <w:jc w:val="left"/>
        <w:rPr/>
      </w:pPr>
      <w:r>
        <w:rPr/>
      </w:r>
    </w:p>
    <w:p>
      <w:pPr>
        <w:pStyle w:val="TextBody"/>
        <w:bidi w:val="0"/>
        <w:spacing w:before="0" w:after="0"/>
        <w:ind w:left="1170" w:right="0" w:hanging="0"/>
        <w:jc w:val="both"/>
        <w:rPr>
          <w:rFonts w:ascii="Times New Roman" w:hAnsi="Times New Roman"/>
          <w:caps w:val="false"/>
          <w:smallCaps w:val="false"/>
          <w:color w:val="000000"/>
          <w:sz w:val="20"/>
          <w:shd w:fill="FFFFFF" w:val="clear"/>
        </w:rPr>
      </w:pPr>
      <w:r>
        <w:rPr>
          <w:rFonts w:ascii="Times New Roman" w:hAnsi="Times New Roman"/>
          <w:caps w:val="false"/>
          <w:smallCaps w:val="false"/>
          <w:color w:val="000000"/>
          <w:sz w:val="20"/>
          <w:shd w:fill="FFFFFF" w:val="clear"/>
        </w:rPr>
        <w:t>As of September 30, 2023, the impacts to the Company’s business due to geopolitical developments and macroeconomic factors, such as rising interest rates, inflation and changes in foreign currency exchange rates, continue to evolve. As events continue to evolve and additional information becomes available, the Company’s estimates may change materially in future periods.</w:t>
      </w:r>
    </w:p>
    <w:p>
      <w:pPr>
        <w:pStyle w:val="TextBody"/>
        <w:bidi w:val="0"/>
        <w:spacing w:before="0" w:after="0"/>
        <w:ind w:left="1170" w:right="0" w:hanging="0"/>
        <w:jc w:val="both"/>
        <w:rPr>
          <w:rFonts w:ascii="Times New Roman" w:hAnsi="Times New Roman"/>
          <w:caps w:val="false"/>
          <w:smallCaps w:val="false"/>
          <w:sz w:val="20"/>
        </w:rPr>
      </w:pPr>
      <w:r>
        <w:rPr>
          <w:rFonts w:ascii="Times New Roman" w:hAnsi="Times New Roman"/>
          <w:caps w:val="false"/>
          <w:smallCaps w:val="false"/>
          <w:sz w:val="20"/>
        </w:rPr>
      </w:r>
    </w:p>
    <w:p>
      <w:pPr>
        <w:pStyle w:val="TextBody"/>
        <w:bidi w:val="0"/>
        <w:spacing w:before="0" w:after="0"/>
        <w:ind w:left="1170" w:right="0" w:hanging="0"/>
        <w:jc w:val="both"/>
        <w:rPr>
          <w:rFonts w:ascii="Times New Roman" w:hAnsi="Times New Roman"/>
          <w:b/>
          <w:i/>
          <w:caps w:val="false"/>
          <w:smallCaps w:val="false"/>
          <w:color w:val="000000"/>
          <w:sz w:val="20"/>
          <w:shd w:fill="FFFFFF" w:val="clear"/>
        </w:rPr>
      </w:pPr>
      <w:r>
        <w:rPr>
          <w:rFonts w:ascii="Times New Roman" w:hAnsi="Times New Roman"/>
          <w:b/>
          <w:i/>
          <w:caps w:val="false"/>
          <w:smallCaps w:val="false"/>
          <w:color w:val="000000"/>
          <w:sz w:val="20"/>
          <w:shd w:fill="FFFFFF" w:val="clear"/>
        </w:rPr>
        <w:t>Significant Accounting Policies</w:t>
      </w:r>
    </w:p>
    <w:p>
      <w:pPr>
        <w:pStyle w:val="TextBody"/>
        <w:bidi w:val="0"/>
        <w:spacing w:before="0" w:after="0"/>
        <w:ind w:left="1170" w:right="0" w:hanging="0"/>
        <w:jc w:val="both"/>
        <w:rPr>
          <w:rFonts w:ascii="Times New Roman" w:hAnsi="Times New Roman"/>
          <w:b/>
          <w:i/>
          <w:caps w:val="false"/>
          <w:smallCaps w:val="false"/>
          <w:sz w:val="20"/>
        </w:rPr>
      </w:pPr>
      <w:r>
        <w:rPr>
          <w:rFonts w:ascii="Times New Roman" w:hAnsi="Times New Roman"/>
          <w:b/>
          <w:i/>
          <w:caps w:val="false"/>
          <w:smallCaps w:val="false"/>
          <w:sz w:val="20"/>
        </w:rPr>
      </w:r>
    </w:p>
    <w:p>
      <w:pPr>
        <w:pStyle w:val="TextBody"/>
        <w:bidi w:val="0"/>
        <w:spacing w:before="0" w:after="0"/>
        <w:ind w:left="1170" w:right="0" w:hanging="0"/>
        <w:jc w:val="both"/>
        <w:rPr>
          <w:rFonts w:ascii="Times New Roman" w:hAnsi="Times New Roman"/>
          <w:color w:val="000000"/>
          <w:sz w:val="20"/>
          <w:shd w:fill="FFFFFF" w:val="clear"/>
        </w:rPr>
      </w:pPr>
      <w:r>
        <w:rPr>
          <w:rFonts w:ascii="Times New Roman" w:hAnsi="Times New Roman"/>
          <w:caps w:val="false"/>
          <w:smallCaps w:val="false"/>
          <w:color w:val="000000"/>
          <w:sz w:val="20"/>
          <w:shd w:fill="FFFFFF" w:val="clear"/>
        </w:rPr>
        <w:t xml:space="preserve">The Company’s significant accounting policies are discussed in Note 2, </w:t>
      </w:r>
      <w:r>
        <w:rPr>
          <w:rFonts w:ascii="Times New Roman" w:hAnsi="Times New Roman"/>
          <w:i/>
          <w:caps w:val="false"/>
          <w:smallCaps w:val="false"/>
          <w:color w:val="000000"/>
          <w:sz w:val="20"/>
          <w:shd w:fill="FFFFFF" w:val="clear"/>
        </w:rPr>
        <w:t>Summary of Significant Accounting Policies,</w:t>
      </w:r>
      <w:r>
        <w:rPr>
          <w:rFonts w:ascii="Times New Roman" w:hAnsi="Times New Roman"/>
          <w:caps w:val="false"/>
          <w:smallCaps w:val="false"/>
          <w:color w:val="000000"/>
          <w:sz w:val="20"/>
          <w:shd w:fill="FFFFFF" w:val="clear"/>
        </w:rPr>
        <w:t xml:space="preserve"> in the Company’s Annual Report on Form 10-K as of and for the year ended December 31, 2022, as filed with the SEC on March 13, 2023. There have been no significant changes to these policies during the nine months ended September 30, 2023, except as noted below.</w:t>
      </w:r>
    </w:p>
    <w:p>
      <w:pPr>
        <w:pStyle w:val="TextBody"/>
        <w:bidi w:val="0"/>
        <w:spacing w:before="0" w:after="0"/>
        <w:ind w:left="1170" w:right="0" w:hanging="0"/>
        <w:jc w:val="both"/>
        <w:rPr>
          <w:rFonts w:ascii="Times New Roman" w:hAnsi="Times New Roman"/>
          <w:caps w:val="false"/>
          <w:smallCaps w:val="false"/>
          <w:sz w:val="20"/>
        </w:rPr>
      </w:pPr>
      <w:r>
        <w:rPr>
          <w:rFonts w:ascii="Times New Roman" w:hAnsi="Times New Roman"/>
          <w:caps w:val="false"/>
          <w:smallCaps w:val="false"/>
          <w:sz w:val="20"/>
        </w:rPr>
      </w:r>
    </w:p>
    <w:p>
      <w:pPr>
        <w:pStyle w:val="TextBody"/>
        <w:bidi w:val="0"/>
        <w:spacing w:before="0" w:after="0"/>
        <w:ind w:left="1170" w:right="0" w:hanging="0"/>
        <w:jc w:val="both"/>
        <w:rPr>
          <w:rFonts w:ascii="Times New Roman" w:hAnsi="Times New Roman"/>
          <w:b/>
          <w:i/>
          <w:caps w:val="false"/>
          <w:smallCaps w:val="false"/>
          <w:color w:val="000000"/>
          <w:sz w:val="20"/>
          <w:shd w:fill="FFFFFF" w:val="clear"/>
        </w:rPr>
      </w:pPr>
      <w:r>
        <w:rPr>
          <w:rFonts w:ascii="Times New Roman" w:hAnsi="Times New Roman"/>
          <w:b/>
          <w:i/>
          <w:caps w:val="false"/>
          <w:smallCaps w:val="false"/>
          <w:color w:val="000000"/>
          <w:sz w:val="20"/>
          <w:shd w:fill="FFFFFF" w:val="clear"/>
        </w:rPr>
        <w:t>Treasury Ordinary Shares</w:t>
      </w:r>
    </w:p>
    <w:p>
      <w:pPr>
        <w:pStyle w:val="TextBody"/>
        <w:bidi w:val="0"/>
        <w:spacing w:before="0" w:after="0"/>
        <w:ind w:left="1170" w:right="0" w:hanging="0"/>
        <w:jc w:val="both"/>
        <w:rPr>
          <w:rFonts w:ascii="Times New Roman" w:hAnsi="Times New Roman"/>
          <w:caps w:val="false"/>
          <w:smallCaps w:val="false"/>
          <w:sz w:val="20"/>
        </w:rPr>
      </w:pPr>
      <w:r>
        <w:rPr>
          <w:rFonts w:ascii="Times New Roman" w:hAnsi="Times New Roman"/>
          <w:caps w:val="false"/>
          <w:smallCaps w:val="false"/>
          <w:sz w:val="20"/>
        </w:rPr>
      </w:r>
    </w:p>
    <w:p>
      <w:pPr>
        <w:pStyle w:val="TextBody"/>
        <w:bidi w:val="0"/>
        <w:spacing w:before="0" w:after="0"/>
        <w:ind w:left="1170" w:right="0" w:hanging="0"/>
        <w:jc w:val="both"/>
        <w:rPr>
          <w:rFonts w:ascii="Times New Roman" w:hAnsi="Times New Roman"/>
          <w:color w:val="000000"/>
          <w:sz w:val="20"/>
          <w:shd w:fill="FFFFFF" w:val="clear"/>
        </w:rPr>
      </w:pPr>
      <w:r>
        <w:rPr>
          <w:rFonts w:ascii="Times New Roman" w:hAnsi="Times New Roman"/>
          <w:b w:val="false"/>
          <w:i w:val="false"/>
          <w:caps w:val="false"/>
          <w:smallCaps w:val="false"/>
          <w:color w:val="000000"/>
          <w:sz w:val="20"/>
          <w:shd w:fill="FFFFFF" w:val="clear"/>
        </w:rPr>
        <w:t>The Company</w:t>
      </w:r>
      <w:r>
        <w:rPr>
          <w:rFonts w:ascii="Times New Roman" w:hAnsi="Times New Roman"/>
          <w:caps w:val="false"/>
          <w:smallCaps w:val="false"/>
          <w:color w:val="000000"/>
          <w:sz w:val="20"/>
          <w:shd w:fill="FFFFFF" w:val="clear"/>
        </w:rPr>
        <w:t xml:space="preserve"> may repurchase its Ordinary shares from time to time in the open market, or in other transactions, and holds such shares as treasury Ordinary shares. The Company presents the cost to repurchase treasury Ordinary shares as a separate component and as a reduction of shareholders’ equity.</w:t>
        <w:br/>
        <w:br/>
        <w:t>The Company may reissue treasury Ordinary shares from time to time for various corporate purposes, including in connection with compensatory awards.</w:t>
      </w:r>
    </w:p>
    <w:p>
      <w:pPr>
        <w:pStyle w:val="TextBody"/>
        <w:bidi w:val="0"/>
        <w:spacing w:before="0" w:after="0"/>
        <w:ind w:left="0" w:right="0" w:hanging="0"/>
        <w:jc w:val="both"/>
        <w:rPr>
          <w:sz w:val="20"/>
        </w:rPr>
      </w:pPr>
      <w:r>
        <w:rPr>
          <w:sz w:val="20"/>
        </w:rPr>
      </w:r>
    </w:p>
    <w:p>
      <w:pPr>
        <w:pStyle w:val="TextBody"/>
        <w:bidi w:val="0"/>
        <w:spacing w:before="0" w:after="0"/>
        <w:ind w:left="1170" w:right="0" w:hanging="0"/>
        <w:jc w:val="both"/>
        <w:rPr>
          <w:rFonts w:ascii="Times New Roman" w:hAnsi="Times New Roman"/>
          <w:b/>
          <w:i/>
          <w:caps w:val="false"/>
          <w:smallCaps w:val="false"/>
          <w:color w:val="000000"/>
          <w:sz w:val="20"/>
          <w:shd w:fill="FFFFFF" w:val="clear"/>
        </w:rPr>
      </w:pPr>
      <w:r>
        <w:rPr>
          <w:rFonts w:ascii="Times New Roman" w:hAnsi="Times New Roman"/>
          <w:b/>
          <w:i/>
          <w:caps w:val="false"/>
          <w:smallCaps w:val="false"/>
          <w:color w:val="000000"/>
          <w:sz w:val="20"/>
          <w:shd w:fill="FFFFFF" w:val="clear"/>
        </w:rPr>
        <w:t>Reclassification</w:t>
      </w:r>
    </w:p>
    <w:p>
      <w:pPr>
        <w:pStyle w:val="TextBody"/>
        <w:bidi w:val="0"/>
        <w:spacing w:before="0" w:after="0"/>
        <w:ind w:left="1170" w:right="0" w:hanging="0"/>
        <w:jc w:val="both"/>
        <w:rPr>
          <w:rFonts w:ascii="Times New Roman" w:hAnsi="Times New Roman"/>
          <w:b/>
          <w:i/>
          <w:caps w:val="false"/>
          <w:smallCaps w:val="false"/>
          <w:sz w:val="20"/>
        </w:rPr>
      </w:pPr>
      <w:r>
        <w:rPr>
          <w:rFonts w:ascii="Times New Roman" w:hAnsi="Times New Roman"/>
          <w:b/>
          <w:i/>
          <w:caps w:val="false"/>
          <w:smallCaps w:val="false"/>
          <w:sz w:val="20"/>
        </w:rPr>
      </w:r>
    </w:p>
    <w:p>
      <w:pPr>
        <w:pStyle w:val="TextBody"/>
        <w:bidi w:val="0"/>
        <w:spacing w:before="0" w:after="0"/>
        <w:ind w:left="1170" w:right="0" w:hanging="0"/>
        <w:jc w:val="both"/>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Certain amounts in the corresponding prior periods have been reclassified to conform with the current year’s presentation. Such reclassifications did not affect net loss, changes in the shareholders’ equity or cash flows.</w:t>
      </w:r>
    </w:p>
    <w:p>
      <w:pPr>
        <w:pStyle w:val="TextBody"/>
        <w:bidi w:val="0"/>
        <w:spacing w:before="0" w:after="0"/>
        <w:ind w:left="0" w:right="0" w:hanging="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13</w:t>
      </w:r>
    </w:p>
    <w:p>
      <w:pPr>
        <w:pStyle w:val="HorizontalLine"/>
        <w:bidi w:val="0"/>
        <w:spacing w:before="200" w:after="200"/>
        <w:jc w:val="left"/>
        <w:rPr/>
      </w:pPr>
      <w:r>
        <w:rPr/>
      </w:r>
    </w:p>
    <w:p>
      <w:pPr>
        <w:pStyle w:val="TextBody"/>
        <w:bidi w:val="0"/>
        <w:spacing w:before="200" w:after="200"/>
        <w:jc w:val="left"/>
        <w:rPr/>
      </w:pPr>
      <w:hyperlink w:anchor="Contents">
        <w:r>
          <w:rPr>
            <w:rStyle w:val="InternetLink"/>
            <w:rFonts w:ascii="Times New Roman" w:hAnsi="Times New Roman"/>
            <w:i/>
            <w:color w:val="000000"/>
            <w:sz w:val="16"/>
            <w:shd w:fill="FFFFFF" w:val="clear"/>
          </w:rPr>
          <w:t>Table of Contents</w:t>
        </w:r>
      </w:hyperlink>
    </w:p>
    <w:p>
      <w:pPr>
        <w:pStyle w:val="TextBody"/>
        <w:bidi w:val="0"/>
        <w:spacing w:before="200" w:after="200"/>
        <w:jc w:val="right"/>
        <w:rPr>
          <w:rFonts w:ascii="Times New Roman" w:hAnsi="Times New Roman"/>
          <w:b/>
          <w:color w:val="000000"/>
          <w:sz w:val="18"/>
          <w:bdr w:val="single" w:sz="12" w:space="1" w:color="000000"/>
          <w:shd w:fill="FFFFFF" w:val="clear"/>
        </w:rPr>
      </w:pPr>
      <w:r>
        <w:rPr>
          <w:rFonts w:ascii="Times New Roman" w:hAnsi="Times New Roman"/>
          <w:b/>
          <w:color w:val="000000"/>
          <w:sz w:val="18"/>
          <w:bdr w:val="single" w:sz="12" w:space="1" w:color="000000"/>
          <w:shd w:fill="FFFFFF" w:val="clear"/>
        </w:rPr>
        <w:t>TABOOLA.COM LTD.</w:t>
      </w:r>
    </w:p>
    <w:p>
      <w:pPr>
        <w:pStyle w:val="TextBody"/>
        <w:bidi w:val="0"/>
        <w:spacing w:before="200" w:after="200"/>
        <w:jc w:val="right"/>
        <w:rPr>
          <w:b/>
        </w:rPr>
      </w:pPr>
      <w:r>
        <w:rPr>
          <w:b/>
        </w:rPr>
      </w:r>
    </w:p>
    <w:p>
      <w:pPr>
        <w:pStyle w:val="TextBody"/>
        <w:bidi w:val="0"/>
        <w:spacing w:before="200" w:after="200"/>
        <w:jc w:val="left"/>
        <w:rPr>
          <w:rFonts w:ascii="Times New Roman" w:hAnsi="Times New Roman"/>
          <w:b/>
          <w:color w:val="000000"/>
          <w:sz w:val="18"/>
          <w:bdr w:val="single" w:sz="12" w:space="1" w:color="000000"/>
          <w:shd w:fill="FFFFFF" w:val="clear"/>
        </w:rPr>
      </w:pPr>
      <w:r>
        <w:rPr>
          <w:rFonts w:ascii="Times New Roman" w:hAnsi="Times New Roman"/>
          <w:b/>
          <w:color w:val="000000"/>
          <w:sz w:val="18"/>
          <w:bdr w:val="single" w:sz="12" w:space="1" w:color="000000"/>
          <w:shd w:fill="FFFFFF" w:val="clear"/>
        </w:rPr>
        <w:t>NOTES TO THE CONSOLIDATED INTERIM FINANCIAL STATEMENTS</w:t>
      </w:r>
    </w:p>
    <w:p>
      <w:pPr>
        <w:pStyle w:val="TextBody"/>
        <w:bidi w:val="0"/>
        <w:spacing w:before="200" w:after="200"/>
        <w:jc w:val="left"/>
        <w:rPr>
          <w:rFonts w:ascii="Times New Roman" w:hAnsi="Times New Roman"/>
          <w:b/>
          <w:color w:val="000000"/>
          <w:sz w:val="18"/>
          <w:shd w:fill="FFFFFF" w:val="clear"/>
        </w:rPr>
      </w:pPr>
      <w:r>
        <w:rPr>
          <w:rFonts w:ascii="Times New Roman" w:hAnsi="Times New Roman"/>
          <w:b/>
          <w:color w:val="000000"/>
          <w:sz w:val="18"/>
          <w:shd w:fill="FFFFFF" w:val="clear"/>
        </w:rPr>
        <w:t>U.S. dollars in thousands, except share and per share data</w:t>
      </w:r>
    </w:p>
    <w:tbl>
      <w:tblPr>
        <w:tblW w:w="3895" w:type="dxa"/>
        <w:jc w:val="left"/>
        <w:tblInd w:w="0" w:type="dxa"/>
        <w:tblLayout w:type="fixed"/>
        <w:tblCellMar>
          <w:top w:w="0" w:type="dxa"/>
          <w:left w:w="0" w:type="dxa"/>
          <w:bottom w:w="0" w:type="dxa"/>
          <w:right w:w="0" w:type="dxa"/>
        </w:tblCellMar>
      </w:tblPr>
      <w:tblGrid>
        <w:gridCol w:w="860"/>
        <w:gridCol w:w="3035"/>
      </w:tblGrid>
      <w:tr>
        <w:trPr/>
        <w:tc>
          <w:tcPr>
            <w:tcW w:w="860" w:type="dxa"/>
            <w:tcBorders/>
            <w:vAlign w:val="center"/>
          </w:tcPr>
          <w:p>
            <w:pPr>
              <w:pStyle w:val="TableContents"/>
              <w:bidi w:val="0"/>
              <w:spacing w:before="0" w:after="283"/>
              <w:jc w:val="left"/>
              <w:rPr>
                <w:b/>
                <w:sz w:val="20"/>
              </w:rPr>
            </w:pPr>
            <w:r>
              <w:rPr>
                <w:b/>
                <w:sz w:val="20"/>
              </w:rPr>
              <w:t>NOTE 3:-</w:t>
            </w:r>
          </w:p>
        </w:tc>
        <w:tc>
          <w:tcPr>
            <w:tcW w:w="3035" w:type="dxa"/>
            <w:tcBorders/>
            <w:vAlign w:val="center"/>
          </w:tcPr>
          <w:p>
            <w:pPr>
              <w:pStyle w:val="TableContents"/>
              <w:bidi w:val="0"/>
              <w:spacing w:before="0" w:after="0"/>
              <w:jc w:val="both"/>
              <w:rPr>
                <w:b/>
                <w:sz w:val="20"/>
              </w:rPr>
            </w:pPr>
            <w:r>
              <w:rPr>
                <w:b/>
                <w:sz w:val="20"/>
              </w:rPr>
              <w:t>CASH AND CASH EQUIVALENTS</w:t>
            </w:r>
          </w:p>
        </w:tc>
      </w:tr>
    </w:tbl>
    <w:p>
      <w:pPr>
        <w:pStyle w:val="TextBody"/>
        <w:bidi w:val="0"/>
        <w:spacing w:before="0" w:after="0"/>
        <w:ind w:left="1170" w:right="0" w:hanging="0"/>
        <w:jc w:val="both"/>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The following table presents for each reported period, the breakdown of cash and cash equivalents:</w:t>
      </w:r>
    </w:p>
    <w:p>
      <w:pPr>
        <w:pStyle w:val="TextBody"/>
        <w:bidi w:val="0"/>
        <w:spacing w:before="0" w:after="0"/>
        <w:jc w:val="left"/>
        <w:rPr>
          <w:sz w:val="20"/>
        </w:rPr>
      </w:pPr>
      <w:r>
        <w:rPr>
          <w:sz w:val="20"/>
        </w:rPr>
      </w:r>
    </w:p>
    <w:tbl>
      <w:tblPr>
        <w:tblW w:w="5483" w:type="dxa"/>
        <w:jc w:val="left"/>
        <w:tblInd w:w="1170" w:type="dxa"/>
        <w:tblLayout w:type="fixed"/>
        <w:tblCellMar>
          <w:top w:w="0" w:type="dxa"/>
          <w:left w:w="0" w:type="dxa"/>
          <w:bottom w:w="0" w:type="dxa"/>
          <w:right w:w="0" w:type="dxa"/>
        </w:tblCellMar>
      </w:tblPr>
      <w:tblGrid>
        <w:gridCol w:w="2810"/>
        <w:gridCol w:w="60"/>
        <w:gridCol w:w="185"/>
        <w:gridCol w:w="1034"/>
        <w:gridCol w:w="60"/>
        <w:gridCol w:w="60"/>
        <w:gridCol w:w="184"/>
        <w:gridCol w:w="1030"/>
        <w:gridCol w:w="60"/>
      </w:tblGrid>
      <w:tr>
        <w:trPr/>
        <w:tc>
          <w:tcPr>
            <w:tcW w:w="281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19" w:type="dxa"/>
            <w:gridSpan w:val="2"/>
            <w:tcBorders/>
            <w:vAlign w:val="bottom"/>
          </w:tcPr>
          <w:p>
            <w:pPr>
              <w:pStyle w:val="TableContents"/>
              <w:bidi w:val="0"/>
              <w:spacing w:before="0" w:after="0"/>
              <w:ind w:left="0" w:right="0" w:hanging="0"/>
              <w:jc w:val="center"/>
              <w:rPr>
                <w:b/>
                <w:sz w:val="20"/>
              </w:rPr>
            </w:pPr>
            <w:r>
              <w:rPr>
                <w:b/>
                <w:sz w:val="20"/>
              </w:rPr>
              <w:t>September 30,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14" w:type="dxa"/>
            <w:gridSpan w:val="2"/>
            <w:tcBorders/>
            <w:vAlign w:val="bottom"/>
          </w:tcPr>
          <w:p>
            <w:pPr>
              <w:pStyle w:val="TableContents"/>
              <w:bidi w:val="0"/>
              <w:spacing w:before="0" w:after="0"/>
              <w:ind w:left="0" w:right="0" w:firstLine="40"/>
              <w:jc w:val="center"/>
              <w:rPr>
                <w:b/>
                <w:sz w:val="20"/>
              </w:rPr>
            </w:pPr>
            <w:r>
              <w:rPr>
                <w:b/>
                <w:sz w:val="20"/>
              </w:rPr>
              <w:t>December 31,</w:t>
            </w:r>
          </w:p>
        </w:tc>
        <w:tc>
          <w:tcPr>
            <w:tcW w:w="60" w:type="dxa"/>
            <w:tcBorders/>
            <w:vAlign w:val="bottom"/>
          </w:tcPr>
          <w:p>
            <w:pPr>
              <w:pStyle w:val="TableContents"/>
              <w:bidi w:val="0"/>
              <w:spacing w:before="0" w:after="283"/>
              <w:jc w:val="left"/>
              <w:rPr/>
            </w:pPr>
            <w:r>
              <w:rPr/>
              <w:t> </w:t>
            </w:r>
          </w:p>
        </w:tc>
      </w:tr>
      <w:tr>
        <w:trPr/>
        <w:tc>
          <w:tcPr>
            <w:tcW w:w="281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19" w:type="dxa"/>
            <w:gridSpan w:val="2"/>
            <w:tcBorders>
              <w:bottom w:val="single" w:sz="12" w:space="0" w:color="000000"/>
            </w:tcBorders>
            <w:tcMar>
              <w:bottom w:w="28" w:type="dxa"/>
            </w:tcMar>
            <w:vAlign w:val="bottom"/>
          </w:tcPr>
          <w:p>
            <w:pPr>
              <w:pStyle w:val="TableContents"/>
              <w:bidi w:val="0"/>
              <w:spacing w:before="0" w:after="0"/>
              <w:ind w:left="0" w:right="0" w:hanging="0"/>
              <w:jc w:val="center"/>
              <w:rPr>
                <w:b/>
                <w:sz w:val="20"/>
              </w:rPr>
            </w:pPr>
            <w:r>
              <w:rPr>
                <w:b/>
                <w:sz w:val="20"/>
              </w:rPr>
              <w:t>2023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14" w:type="dxa"/>
            <w:gridSpan w:val="2"/>
            <w:tcBorders>
              <w:bottom w:val="single" w:sz="12" w:space="0" w:color="000000"/>
            </w:tcBorders>
            <w:tcMar>
              <w:bottom w:w="28" w:type="dxa"/>
            </w:tcMar>
            <w:vAlign w:val="bottom"/>
          </w:tcPr>
          <w:p>
            <w:pPr>
              <w:pStyle w:val="TableContents"/>
              <w:bidi w:val="0"/>
              <w:spacing w:before="0" w:after="0"/>
              <w:ind w:left="0" w:right="0" w:hanging="0"/>
              <w:jc w:val="center"/>
              <w:rPr>
                <w:b/>
                <w:sz w:val="20"/>
              </w:rPr>
            </w:pPr>
            <w:r>
              <w:rPr>
                <w:b/>
                <w:sz w:val="20"/>
              </w:rPr>
              <w:t>2022</w:t>
            </w:r>
          </w:p>
        </w:tc>
        <w:tc>
          <w:tcPr>
            <w:tcW w:w="60" w:type="dxa"/>
            <w:tcBorders/>
            <w:vAlign w:val="bottom"/>
          </w:tcPr>
          <w:p>
            <w:pPr>
              <w:pStyle w:val="TableContents"/>
              <w:bidi w:val="0"/>
              <w:spacing w:before="0" w:after="283"/>
              <w:jc w:val="left"/>
              <w:rPr/>
            </w:pPr>
            <w:r>
              <w:rPr/>
              <w:t> </w:t>
            </w:r>
          </w:p>
        </w:tc>
      </w:tr>
      <w:tr>
        <w:trPr/>
        <w:tc>
          <w:tcPr>
            <w:tcW w:w="281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19" w:type="dxa"/>
            <w:gridSpan w:val="2"/>
            <w:tcBorders>
              <w:bottom w:val="single" w:sz="12" w:space="0" w:color="000000"/>
            </w:tcBorders>
            <w:tcMar>
              <w:bottom w:w="28" w:type="dxa"/>
            </w:tcMar>
            <w:vAlign w:val="bottom"/>
          </w:tcPr>
          <w:p>
            <w:pPr>
              <w:pStyle w:val="TableContents"/>
              <w:bidi w:val="0"/>
              <w:spacing w:before="0" w:after="0"/>
              <w:ind w:left="0" w:right="0" w:firstLine="40"/>
              <w:jc w:val="center"/>
              <w:rPr>
                <w:b/>
                <w:sz w:val="20"/>
              </w:rPr>
            </w:pPr>
            <w:r>
              <w:rPr>
                <w:b/>
                <w:sz w:val="20"/>
              </w:rPr>
              <w:t>Unaudited</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14"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r>
      <w:tr>
        <w:trPr/>
        <w:tc>
          <w:tcPr>
            <w:tcW w:w="281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19"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14"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r>
      <w:tr>
        <w:trPr/>
        <w:tc>
          <w:tcPr>
            <w:tcW w:w="2810" w:type="dxa"/>
            <w:tcBorders/>
            <w:shd w:fill="CCEEFF" w:val="clear"/>
            <w:vAlign w:val="bottom"/>
          </w:tcPr>
          <w:p>
            <w:pPr>
              <w:pStyle w:val="TableContents"/>
              <w:bidi w:val="0"/>
              <w:spacing w:before="0" w:after="0"/>
              <w:jc w:val="both"/>
              <w:rPr>
                <w:sz w:val="20"/>
              </w:rPr>
            </w:pPr>
            <w:r>
              <w:rPr>
                <w:sz w:val="20"/>
              </w:rPr>
              <w:t>Cash</w:t>
            </w:r>
          </w:p>
        </w:tc>
        <w:tc>
          <w:tcPr>
            <w:tcW w:w="60"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0"/>
              <w:jc w:val="left"/>
              <w:rPr>
                <w:sz w:val="20"/>
              </w:rPr>
            </w:pPr>
            <w:r>
              <w:rPr>
                <w:sz w:val="20"/>
              </w:rPr>
              <w:t>$</w:t>
            </w:r>
          </w:p>
        </w:tc>
        <w:tc>
          <w:tcPr>
            <w:tcW w:w="1034" w:type="dxa"/>
            <w:tcBorders/>
            <w:shd w:fill="CCEEFF" w:val="clear"/>
            <w:vAlign w:val="bottom"/>
          </w:tcPr>
          <w:p>
            <w:pPr>
              <w:pStyle w:val="TableContents"/>
              <w:bidi w:val="0"/>
              <w:spacing w:before="0" w:after="0"/>
              <w:jc w:val="right"/>
              <w:rPr>
                <w:sz w:val="20"/>
              </w:rPr>
            </w:pPr>
            <w:r>
              <w:rPr>
                <w:sz w:val="20"/>
              </w:rPr>
              <w:t>113,350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0"/>
              <w:jc w:val="left"/>
              <w:rPr>
                <w:sz w:val="20"/>
              </w:rPr>
            </w:pPr>
            <w:r>
              <w:rPr>
                <w:sz w:val="20"/>
              </w:rPr>
              <w:t>$</w:t>
            </w:r>
          </w:p>
        </w:tc>
        <w:tc>
          <w:tcPr>
            <w:tcW w:w="1030" w:type="dxa"/>
            <w:tcBorders/>
            <w:shd w:fill="CCEEFF" w:val="clear"/>
            <w:vAlign w:val="bottom"/>
          </w:tcPr>
          <w:p>
            <w:pPr>
              <w:pStyle w:val="TableContents"/>
              <w:bidi w:val="0"/>
              <w:spacing w:before="0" w:after="0"/>
              <w:jc w:val="right"/>
              <w:rPr>
                <w:sz w:val="20"/>
              </w:rPr>
            </w:pPr>
            <w:r>
              <w:rPr>
                <w:sz w:val="20"/>
              </w:rPr>
              <w:t>142,127</w:t>
            </w:r>
          </w:p>
        </w:tc>
        <w:tc>
          <w:tcPr>
            <w:tcW w:w="60" w:type="dxa"/>
            <w:tcBorders/>
            <w:shd w:fill="CCEEFF" w:val="clear"/>
            <w:vAlign w:val="bottom"/>
          </w:tcPr>
          <w:p>
            <w:pPr>
              <w:pStyle w:val="TableContents"/>
              <w:bidi w:val="0"/>
              <w:spacing w:before="0" w:after="283"/>
              <w:jc w:val="left"/>
              <w:rPr/>
            </w:pPr>
            <w:r>
              <w:rPr/>
              <w:t> </w:t>
            </w:r>
          </w:p>
        </w:tc>
      </w:tr>
      <w:tr>
        <w:trPr/>
        <w:tc>
          <w:tcPr>
            <w:tcW w:w="2810" w:type="dxa"/>
            <w:tcBorders/>
            <w:vAlign w:val="bottom"/>
          </w:tcPr>
          <w:p>
            <w:pPr>
              <w:pStyle w:val="TableContents"/>
              <w:bidi w:val="0"/>
              <w:spacing w:before="0" w:after="0"/>
              <w:jc w:val="both"/>
              <w:rPr>
                <w:sz w:val="20"/>
              </w:rPr>
            </w:pPr>
            <w:r>
              <w:rPr>
                <w:sz w:val="20"/>
              </w:rPr>
              <w:t>Money market accounts and funds</w:t>
            </w:r>
          </w:p>
        </w:tc>
        <w:tc>
          <w:tcPr>
            <w:tcW w:w="60"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034" w:type="dxa"/>
            <w:tcBorders/>
            <w:vAlign w:val="bottom"/>
          </w:tcPr>
          <w:p>
            <w:pPr>
              <w:pStyle w:val="TableContents"/>
              <w:bidi w:val="0"/>
              <w:spacing w:before="0" w:after="0"/>
              <w:jc w:val="right"/>
              <w:rPr>
                <w:sz w:val="20"/>
              </w:rPr>
            </w:pPr>
            <w:r>
              <w:rPr>
                <w:sz w:val="20"/>
              </w:rPr>
              <w:t>120,334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030" w:type="dxa"/>
            <w:tcBorders/>
            <w:vAlign w:val="bottom"/>
          </w:tcPr>
          <w:p>
            <w:pPr>
              <w:pStyle w:val="TableContents"/>
              <w:bidi w:val="0"/>
              <w:spacing w:before="0" w:after="0"/>
              <w:jc w:val="right"/>
              <w:rPr>
                <w:sz w:val="20"/>
              </w:rPr>
            </w:pPr>
            <w:r>
              <w:rPr>
                <w:sz w:val="20"/>
              </w:rPr>
              <w:t>22,583</w:t>
            </w:r>
          </w:p>
        </w:tc>
        <w:tc>
          <w:tcPr>
            <w:tcW w:w="60" w:type="dxa"/>
            <w:tcBorders/>
            <w:vAlign w:val="bottom"/>
          </w:tcPr>
          <w:p>
            <w:pPr>
              <w:pStyle w:val="TableContents"/>
              <w:bidi w:val="0"/>
              <w:spacing w:before="0" w:after="283"/>
              <w:jc w:val="left"/>
              <w:rPr/>
            </w:pPr>
            <w:r>
              <w:rPr/>
              <w:t> </w:t>
            </w:r>
          </w:p>
        </w:tc>
      </w:tr>
      <w:tr>
        <w:trPr/>
        <w:tc>
          <w:tcPr>
            <w:tcW w:w="2810" w:type="dxa"/>
            <w:tcBorders/>
            <w:shd w:fill="CCEEFF" w:val="clear"/>
            <w:vAlign w:val="bottom"/>
          </w:tcPr>
          <w:p>
            <w:pPr>
              <w:pStyle w:val="TableContents"/>
              <w:bidi w:val="0"/>
              <w:spacing w:before="0" w:after="0"/>
              <w:jc w:val="both"/>
              <w:rPr>
                <w:sz w:val="20"/>
              </w:rPr>
            </w:pPr>
            <w:r>
              <w:rPr>
                <w:sz w:val="20"/>
              </w:rPr>
              <w:t>Time deposits</w:t>
            </w:r>
          </w:p>
        </w:tc>
        <w:tc>
          <w:tcPr>
            <w:tcW w:w="60" w:type="dxa"/>
            <w:tcBorders/>
            <w:shd w:fill="CCEEFF" w:val="clear"/>
            <w:vAlign w:val="bottom"/>
          </w:tcPr>
          <w:p>
            <w:pPr>
              <w:pStyle w:val="TableContents"/>
              <w:bidi w:val="0"/>
              <w:spacing w:before="0" w:after="283"/>
              <w:jc w:val="left"/>
              <w:rPr/>
            </w:pPr>
            <w:r>
              <w:rPr/>
              <w:t> </w:t>
            </w:r>
          </w:p>
        </w:tc>
        <w:tc>
          <w:tcPr>
            <w:tcW w:w="18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34" w:type="dxa"/>
            <w:tcBorders>
              <w:bottom w:val="single" w:sz="12" w:space="0" w:color="000000"/>
            </w:tcBorders>
            <w:shd w:fill="CCEEFF" w:val="clear"/>
            <w:tcMar>
              <w:bottom w:w="28" w:type="dxa"/>
            </w:tcMar>
            <w:vAlign w:val="bottom"/>
          </w:tcPr>
          <w:p>
            <w:pPr>
              <w:pStyle w:val="TableContents"/>
              <w:bidi w:val="0"/>
              <w:spacing w:before="0" w:after="0"/>
              <w:jc w:val="right"/>
              <w:rPr>
                <w:sz w:val="20"/>
              </w:rPr>
            </w:pPr>
            <w:r>
              <w:rPr>
                <w:sz w:val="20"/>
              </w:rPr>
              <w:t>4,575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4"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30" w:type="dxa"/>
            <w:tcBorders>
              <w:bottom w:val="single" w:sz="12" w:space="0" w:color="000000"/>
            </w:tcBorders>
            <w:shd w:fill="CCEEFF" w:val="clear"/>
            <w:tcMar>
              <w:bottom w:w="28" w:type="dxa"/>
            </w:tcMar>
            <w:vAlign w:val="bottom"/>
          </w:tcPr>
          <w:p>
            <w:pPr>
              <w:pStyle w:val="TableContents"/>
              <w:bidi w:val="0"/>
              <w:spacing w:before="0" w:after="0"/>
              <w:jc w:val="right"/>
              <w:rPr>
                <w:sz w:val="20"/>
              </w:rPr>
            </w:pPr>
            <w:r>
              <w:rPr>
                <w:sz w:val="20"/>
              </w:rPr>
              <w:t>1,183</w:t>
            </w:r>
          </w:p>
        </w:tc>
        <w:tc>
          <w:tcPr>
            <w:tcW w:w="60" w:type="dxa"/>
            <w:tcBorders/>
            <w:shd w:fill="CCEEFF" w:val="clear"/>
            <w:vAlign w:val="bottom"/>
          </w:tcPr>
          <w:p>
            <w:pPr>
              <w:pStyle w:val="TableContents"/>
              <w:bidi w:val="0"/>
              <w:spacing w:before="0" w:after="283"/>
              <w:jc w:val="left"/>
              <w:rPr/>
            </w:pPr>
            <w:r>
              <w:rPr/>
              <w:t> </w:t>
            </w:r>
          </w:p>
        </w:tc>
      </w:tr>
      <w:tr>
        <w:trPr/>
        <w:tc>
          <w:tcPr>
            <w:tcW w:w="2810" w:type="dxa"/>
            <w:tcBorders/>
            <w:vAlign w:val="bottom"/>
          </w:tcPr>
          <w:p>
            <w:pPr>
              <w:pStyle w:val="TableContents"/>
              <w:bidi w:val="0"/>
              <w:spacing w:before="0" w:after="0"/>
              <w:jc w:val="both"/>
              <w:rPr>
                <w:sz w:val="20"/>
              </w:rPr>
            </w:pPr>
            <w:r>
              <w:rPr>
                <w:sz w:val="20"/>
              </w:rPr>
              <w:t>Total Cash and cash equivalents</w:t>
            </w:r>
          </w:p>
        </w:tc>
        <w:tc>
          <w:tcPr>
            <w:tcW w:w="60" w:type="dxa"/>
            <w:tcBorders/>
            <w:vAlign w:val="bottom"/>
          </w:tcPr>
          <w:p>
            <w:pPr>
              <w:pStyle w:val="TableContents"/>
              <w:bidi w:val="0"/>
              <w:spacing w:before="0" w:after="283"/>
              <w:jc w:val="left"/>
              <w:rPr/>
            </w:pPr>
            <w:r>
              <w:rPr/>
              <w:t> </w:t>
            </w:r>
          </w:p>
        </w:tc>
        <w:tc>
          <w:tcPr>
            <w:tcW w:w="185" w:type="dxa"/>
            <w:tcBorders>
              <w:bottom w:val="single" w:sz="12" w:space="0" w:color="000000"/>
            </w:tcBorders>
            <w:tcMar>
              <w:bottom w:w="28" w:type="dxa"/>
            </w:tcMar>
            <w:vAlign w:val="bottom"/>
          </w:tcPr>
          <w:p>
            <w:pPr>
              <w:pStyle w:val="TableContents"/>
              <w:bidi w:val="0"/>
              <w:spacing w:before="0" w:after="0"/>
              <w:jc w:val="left"/>
              <w:rPr>
                <w:sz w:val="20"/>
              </w:rPr>
            </w:pPr>
            <w:r>
              <w:rPr>
                <w:sz w:val="20"/>
              </w:rPr>
              <w:t>$</w:t>
            </w:r>
          </w:p>
        </w:tc>
        <w:tc>
          <w:tcPr>
            <w:tcW w:w="1034" w:type="dxa"/>
            <w:tcBorders>
              <w:bottom w:val="single" w:sz="12" w:space="0" w:color="000000"/>
            </w:tcBorders>
            <w:tcMar>
              <w:bottom w:w="28" w:type="dxa"/>
            </w:tcMar>
            <w:vAlign w:val="bottom"/>
          </w:tcPr>
          <w:p>
            <w:pPr>
              <w:pStyle w:val="TableContents"/>
              <w:bidi w:val="0"/>
              <w:spacing w:before="0" w:after="0"/>
              <w:jc w:val="right"/>
              <w:rPr>
                <w:sz w:val="20"/>
              </w:rPr>
            </w:pPr>
            <w:r>
              <w:rPr>
                <w:sz w:val="20"/>
              </w:rPr>
              <w:t>238,259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4" w:type="dxa"/>
            <w:tcBorders>
              <w:bottom w:val="single" w:sz="12" w:space="0" w:color="000000"/>
            </w:tcBorders>
            <w:tcMar>
              <w:bottom w:w="28" w:type="dxa"/>
            </w:tcMar>
            <w:vAlign w:val="bottom"/>
          </w:tcPr>
          <w:p>
            <w:pPr>
              <w:pStyle w:val="TableContents"/>
              <w:bidi w:val="0"/>
              <w:spacing w:before="0" w:after="0"/>
              <w:jc w:val="left"/>
              <w:rPr>
                <w:sz w:val="20"/>
              </w:rPr>
            </w:pPr>
            <w:r>
              <w:rPr>
                <w:sz w:val="20"/>
              </w:rPr>
              <w:t>$</w:t>
            </w:r>
          </w:p>
        </w:tc>
        <w:tc>
          <w:tcPr>
            <w:tcW w:w="1030" w:type="dxa"/>
            <w:tcBorders>
              <w:bottom w:val="single" w:sz="12" w:space="0" w:color="000000"/>
            </w:tcBorders>
            <w:tcMar>
              <w:bottom w:w="28" w:type="dxa"/>
            </w:tcMar>
            <w:vAlign w:val="bottom"/>
          </w:tcPr>
          <w:p>
            <w:pPr>
              <w:pStyle w:val="TableContents"/>
              <w:bidi w:val="0"/>
              <w:spacing w:before="0" w:after="0"/>
              <w:jc w:val="right"/>
              <w:rPr>
                <w:sz w:val="20"/>
              </w:rPr>
            </w:pPr>
            <w:r>
              <w:rPr>
                <w:sz w:val="20"/>
              </w:rPr>
              <w:t>165,893</w:t>
            </w:r>
          </w:p>
        </w:tc>
        <w:tc>
          <w:tcPr>
            <w:tcW w:w="60" w:type="dxa"/>
            <w:tcBorders/>
            <w:vAlign w:val="bottom"/>
          </w:tcPr>
          <w:p>
            <w:pPr>
              <w:pStyle w:val="TableContents"/>
              <w:bidi w:val="0"/>
              <w:spacing w:before="0" w:after="283"/>
              <w:jc w:val="left"/>
              <w:rPr/>
            </w:pPr>
            <w:r>
              <w:rPr/>
              <w:t> </w:t>
            </w:r>
          </w:p>
        </w:tc>
      </w:tr>
    </w:tbl>
    <w:p>
      <w:pPr>
        <w:pStyle w:val="TextBody"/>
        <w:bidi w:val="0"/>
        <w:spacing w:before="0" w:after="0"/>
        <w:ind w:left="1170" w:right="0" w:hanging="0"/>
        <w:jc w:val="left"/>
        <w:rPr>
          <w:sz w:val="20"/>
        </w:rPr>
      </w:pPr>
      <w:r>
        <w:rPr>
          <w:sz w:val="20"/>
        </w:rPr>
      </w:r>
    </w:p>
    <w:tbl>
      <w:tblPr>
        <w:tblW w:w="4585" w:type="dxa"/>
        <w:jc w:val="left"/>
        <w:tblInd w:w="0" w:type="dxa"/>
        <w:tblLayout w:type="fixed"/>
        <w:tblCellMar>
          <w:top w:w="0" w:type="dxa"/>
          <w:left w:w="0" w:type="dxa"/>
          <w:bottom w:w="0" w:type="dxa"/>
          <w:right w:w="0" w:type="dxa"/>
        </w:tblCellMar>
      </w:tblPr>
      <w:tblGrid>
        <w:gridCol w:w="860"/>
        <w:gridCol w:w="3725"/>
      </w:tblGrid>
      <w:tr>
        <w:trPr/>
        <w:tc>
          <w:tcPr>
            <w:tcW w:w="860" w:type="dxa"/>
            <w:tcBorders/>
            <w:vAlign w:val="center"/>
          </w:tcPr>
          <w:p>
            <w:pPr>
              <w:pStyle w:val="TableContents"/>
              <w:bidi w:val="0"/>
              <w:spacing w:before="0" w:after="0"/>
              <w:jc w:val="left"/>
              <w:rPr>
                <w:b/>
                <w:color w:val="000000"/>
                <w:sz w:val="20"/>
              </w:rPr>
            </w:pPr>
            <w:r>
              <w:rPr>
                <w:b/>
                <w:color w:val="000000"/>
                <w:sz w:val="20"/>
              </w:rPr>
              <w:t>NOTE 4:-</w:t>
            </w:r>
          </w:p>
        </w:tc>
        <w:tc>
          <w:tcPr>
            <w:tcW w:w="3725" w:type="dxa"/>
            <w:tcBorders/>
            <w:vAlign w:val="center"/>
          </w:tcPr>
          <w:p>
            <w:pPr>
              <w:pStyle w:val="TableContents"/>
              <w:bidi w:val="0"/>
              <w:spacing w:before="0" w:after="0"/>
              <w:jc w:val="left"/>
              <w:rPr>
                <w:b/>
                <w:color w:val="000000"/>
              </w:rPr>
            </w:pPr>
            <w:r>
              <w:rPr>
                <w:b/>
                <w:color w:val="000000"/>
              </w:rPr>
              <w:t>FAIR VALUE MEASUREMENTS</w:t>
            </w:r>
          </w:p>
        </w:tc>
      </w:tr>
    </w:tbl>
    <w:p>
      <w:pPr>
        <w:pStyle w:val="TextBody"/>
        <w:bidi w:val="0"/>
        <w:spacing w:before="0" w:after="0"/>
        <w:ind w:left="1170" w:right="0" w:hanging="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r>
    </w:p>
    <w:p>
      <w:pPr>
        <w:pStyle w:val="TextBody"/>
        <w:bidi w:val="0"/>
        <w:spacing w:before="0" w:after="0"/>
        <w:ind w:left="1170" w:right="0" w:hanging="0"/>
        <w:jc w:val="both"/>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The Company evaluates assets and liabilities subject to fair value measurements on a recurring basis to determine the appropriate level to classify them for each reporting period. The Company did not have any transfers between fair value measurements levels in the nine months ended September 30, 2023.</w:t>
      </w:r>
    </w:p>
    <w:p>
      <w:pPr>
        <w:pStyle w:val="TextBody"/>
        <w:bidi w:val="0"/>
        <w:spacing w:before="0" w:after="0"/>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r>
    </w:p>
    <w:p>
      <w:pPr>
        <w:pStyle w:val="TextBody"/>
        <w:bidi w:val="0"/>
        <w:spacing w:before="0" w:after="0"/>
        <w:ind w:left="1170" w:right="0" w:hanging="0"/>
        <w:jc w:val="both"/>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The following table sets forth the Company’s assets and liabilities that were measured at fair value as of September 30, 2023 and December 31, 2022, by level within the fair value hierarchy:</w:t>
      </w:r>
    </w:p>
    <w:p>
      <w:pPr>
        <w:pStyle w:val="TextBody"/>
        <w:bidi w:val="0"/>
        <w:spacing w:before="0" w:after="0"/>
        <w:jc w:val="left"/>
        <w:rPr>
          <w:sz w:val="20"/>
        </w:rPr>
      </w:pPr>
      <w:r>
        <w:rPr>
          <w:sz w:val="20"/>
        </w:rPr>
      </w:r>
    </w:p>
    <w:tbl>
      <w:tblPr>
        <w:tblW w:w="9035" w:type="dxa"/>
        <w:jc w:val="left"/>
        <w:tblInd w:w="1170" w:type="dxa"/>
        <w:tblLayout w:type="fixed"/>
        <w:tblCellMar>
          <w:top w:w="0" w:type="dxa"/>
          <w:left w:w="0" w:type="dxa"/>
          <w:bottom w:w="0" w:type="dxa"/>
          <w:right w:w="0" w:type="dxa"/>
        </w:tblCellMar>
      </w:tblPr>
      <w:tblGrid>
        <w:gridCol w:w="5285"/>
        <w:gridCol w:w="60"/>
        <w:gridCol w:w="976"/>
        <w:gridCol w:w="60"/>
        <w:gridCol w:w="238"/>
        <w:gridCol w:w="965"/>
        <w:gridCol w:w="97"/>
        <w:gridCol w:w="73"/>
        <w:gridCol w:w="267"/>
        <w:gridCol w:w="930"/>
        <w:gridCol w:w="84"/>
      </w:tblGrid>
      <w:tr>
        <w:trPr/>
        <w:tc>
          <w:tcPr>
            <w:tcW w:w="52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7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70" w:type="dxa"/>
            <w:gridSpan w:val="6"/>
            <w:tcBorders>
              <w:bottom w:val="single" w:sz="12" w:space="0" w:color="000000"/>
            </w:tcBorders>
            <w:tcMar>
              <w:bottom w:w="28" w:type="dxa"/>
            </w:tcMar>
            <w:vAlign w:val="bottom"/>
          </w:tcPr>
          <w:p>
            <w:pPr>
              <w:pStyle w:val="TableContents"/>
              <w:bidi w:val="0"/>
              <w:spacing w:before="0" w:after="0"/>
              <w:ind w:left="0" w:right="0" w:firstLine="40"/>
              <w:jc w:val="center"/>
              <w:rPr>
                <w:b/>
                <w:sz w:val="20"/>
              </w:rPr>
            </w:pPr>
            <w:r>
              <w:rPr>
                <w:b/>
                <w:sz w:val="20"/>
              </w:rPr>
              <w:t>Fair value measurements</w:t>
            </w:r>
          </w:p>
          <w:p>
            <w:pPr>
              <w:pStyle w:val="TableContents"/>
              <w:bidi w:val="0"/>
              <w:spacing w:before="0" w:after="0"/>
              <w:ind w:left="0" w:right="0" w:firstLine="40"/>
              <w:jc w:val="center"/>
              <w:rPr>
                <w:b/>
                <w:sz w:val="20"/>
              </w:rPr>
            </w:pPr>
            <w:r>
              <w:rPr>
                <w:b/>
                <w:sz w:val="20"/>
              </w:rPr>
              <w:t>as of</w:t>
            </w:r>
          </w:p>
        </w:tc>
        <w:tc>
          <w:tcPr>
            <w:tcW w:w="84" w:type="dxa"/>
            <w:tcBorders/>
            <w:vAlign w:val="bottom"/>
          </w:tcPr>
          <w:p>
            <w:pPr>
              <w:pStyle w:val="TableContents"/>
              <w:bidi w:val="0"/>
              <w:spacing w:before="0" w:after="283"/>
              <w:jc w:val="left"/>
              <w:rPr/>
            </w:pPr>
            <w:r>
              <w:rPr/>
              <w:t> </w:t>
            </w:r>
          </w:p>
        </w:tc>
      </w:tr>
      <w:tr>
        <w:trPr/>
        <w:tc>
          <w:tcPr>
            <w:tcW w:w="5285" w:type="dxa"/>
            <w:tcBorders>
              <w:bottom w:val="single" w:sz="12" w:space="0" w:color="000000"/>
            </w:tcBorders>
            <w:tcMar>
              <w:bottom w:w="28" w:type="dxa"/>
            </w:tcMar>
            <w:vAlign w:val="bottom"/>
          </w:tcPr>
          <w:p>
            <w:pPr>
              <w:pStyle w:val="TableContents"/>
              <w:bidi w:val="0"/>
              <w:spacing w:before="0" w:after="0"/>
              <w:ind w:left="90" w:right="0" w:hanging="0"/>
              <w:jc w:val="center"/>
              <w:rPr>
                <w:b/>
                <w:sz w:val="20"/>
              </w:rPr>
            </w:pPr>
            <w:r>
              <w:rPr>
                <w:b/>
                <w:sz w:val="20"/>
              </w:rPr>
              <w:t>Description</w:t>
            </w:r>
          </w:p>
        </w:tc>
        <w:tc>
          <w:tcPr>
            <w:tcW w:w="60" w:type="dxa"/>
            <w:tcBorders/>
            <w:vAlign w:val="bottom"/>
          </w:tcPr>
          <w:p>
            <w:pPr>
              <w:pStyle w:val="TableContents"/>
              <w:bidi w:val="0"/>
              <w:spacing w:before="0" w:after="283"/>
              <w:jc w:val="left"/>
              <w:rPr/>
            </w:pPr>
            <w:r>
              <w:rPr/>
              <w:t> </w:t>
            </w:r>
          </w:p>
        </w:tc>
        <w:tc>
          <w:tcPr>
            <w:tcW w:w="976" w:type="dxa"/>
            <w:tcBorders>
              <w:bottom w:val="single" w:sz="12" w:space="0" w:color="000000"/>
            </w:tcBorders>
            <w:tcMar>
              <w:bottom w:w="28" w:type="dxa"/>
            </w:tcMar>
            <w:vAlign w:val="bottom"/>
          </w:tcPr>
          <w:p>
            <w:pPr>
              <w:pStyle w:val="TableContents"/>
              <w:bidi w:val="0"/>
              <w:spacing w:before="0" w:after="0"/>
              <w:jc w:val="center"/>
              <w:rPr>
                <w:b/>
                <w:sz w:val="20"/>
              </w:rPr>
            </w:pPr>
            <w:r>
              <w:rPr>
                <w:b/>
                <w:sz w:val="20"/>
              </w:rPr>
              <w:t xml:space="preserve">Fair Value </w:t>
            </w:r>
          </w:p>
          <w:p>
            <w:pPr>
              <w:pStyle w:val="TableContents"/>
              <w:bidi w:val="0"/>
              <w:spacing w:before="0" w:after="0"/>
              <w:jc w:val="center"/>
              <w:rPr>
                <w:b/>
                <w:sz w:val="20"/>
              </w:rPr>
            </w:pPr>
            <w:r>
              <w:rPr>
                <w:b/>
                <w:sz w:val="20"/>
              </w:rPr>
              <w:t>Hierarchy</w:t>
            </w:r>
          </w:p>
        </w:tc>
        <w:tc>
          <w:tcPr>
            <w:tcW w:w="60" w:type="dxa"/>
            <w:tcBorders/>
            <w:vAlign w:val="bottom"/>
          </w:tcPr>
          <w:p>
            <w:pPr>
              <w:pStyle w:val="TableContents"/>
              <w:bidi w:val="0"/>
              <w:spacing w:before="0" w:after="283"/>
              <w:jc w:val="left"/>
              <w:rPr/>
            </w:pPr>
            <w:r>
              <w:rPr/>
              <w:t> </w:t>
            </w:r>
          </w:p>
        </w:tc>
        <w:tc>
          <w:tcPr>
            <w:tcW w:w="1203" w:type="dxa"/>
            <w:gridSpan w:val="2"/>
            <w:tcBorders>
              <w:bottom w:val="single" w:sz="12" w:space="0" w:color="000000"/>
            </w:tcBorders>
            <w:tcMar>
              <w:bottom w:w="28" w:type="dxa"/>
            </w:tcMar>
            <w:vAlign w:val="bottom"/>
          </w:tcPr>
          <w:p>
            <w:pPr>
              <w:pStyle w:val="TableContents"/>
              <w:bidi w:val="0"/>
              <w:spacing w:before="0" w:after="0"/>
              <w:ind w:left="0" w:right="0" w:hanging="0"/>
              <w:jc w:val="center"/>
              <w:rPr>
                <w:b/>
                <w:sz w:val="20"/>
              </w:rPr>
            </w:pPr>
            <w:r>
              <w:rPr>
                <w:b/>
                <w:sz w:val="20"/>
              </w:rPr>
              <w:t>September 30,</w:t>
            </w:r>
          </w:p>
          <w:p>
            <w:pPr>
              <w:pStyle w:val="TableContents"/>
              <w:bidi w:val="0"/>
              <w:spacing w:before="0" w:after="0"/>
              <w:ind w:left="0" w:right="0" w:hanging="0"/>
              <w:jc w:val="center"/>
              <w:rPr>
                <w:b/>
                <w:sz w:val="20"/>
              </w:rPr>
            </w:pPr>
            <w:r>
              <w:rPr>
                <w:b/>
                <w:sz w:val="20"/>
              </w:rPr>
              <w:t>2023</w:t>
            </w:r>
          </w:p>
        </w:tc>
        <w:tc>
          <w:tcPr>
            <w:tcW w:w="97"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197" w:type="dxa"/>
            <w:gridSpan w:val="2"/>
            <w:tcBorders>
              <w:bottom w:val="single" w:sz="12" w:space="0" w:color="000000"/>
            </w:tcBorders>
            <w:tcMar>
              <w:bottom w:w="28" w:type="dxa"/>
            </w:tcMar>
            <w:vAlign w:val="bottom"/>
          </w:tcPr>
          <w:p>
            <w:pPr>
              <w:pStyle w:val="TableContents"/>
              <w:bidi w:val="0"/>
              <w:spacing w:before="0" w:after="0"/>
              <w:ind w:left="0" w:right="0" w:firstLine="40"/>
              <w:jc w:val="center"/>
              <w:rPr>
                <w:b/>
                <w:sz w:val="20"/>
              </w:rPr>
            </w:pPr>
            <w:r>
              <w:rPr>
                <w:b/>
                <w:sz w:val="20"/>
              </w:rPr>
              <w:t>December 31,</w:t>
            </w:r>
          </w:p>
          <w:p>
            <w:pPr>
              <w:pStyle w:val="TableContents"/>
              <w:bidi w:val="0"/>
              <w:spacing w:before="0" w:after="0"/>
              <w:ind w:left="0" w:right="0" w:hanging="0"/>
              <w:jc w:val="center"/>
              <w:rPr>
                <w:b/>
                <w:sz w:val="20"/>
              </w:rPr>
            </w:pPr>
            <w:r>
              <w:rPr>
                <w:b/>
                <w:sz w:val="20"/>
              </w:rPr>
              <w:t>2022</w:t>
            </w:r>
          </w:p>
        </w:tc>
        <w:tc>
          <w:tcPr>
            <w:tcW w:w="84" w:type="dxa"/>
            <w:tcBorders/>
            <w:vAlign w:val="bottom"/>
          </w:tcPr>
          <w:p>
            <w:pPr>
              <w:pStyle w:val="TableContents"/>
              <w:bidi w:val="0"/>
              <w:spacing w:before="0" w:after="283"/>
              <w:jc w:val="left"/>
              <w:rPr/>
            </w:pPr>
            <w:r>
              <w:rPr/>
              <w:t> </w:t>
            </w:r>
          </w:p>
        </w:tc>
      </w:tr>
      <w:tr>
        <w:trPr/>
        <w:tc>
          <w:tcPr>
            <w:tcW w:w="5285" w:type="dxa"/>
            <w:tcBorders/>
            <w:vAlign w:val="bottom"/>
          </w:tcPr>
          <w:p>
            <w:pPr>
              <w:pStyle w:val="TableContents"/>
              <w:bidi w:val="0"/>
              <w:spacing w:before="0" w:after="0"/>
              <w:ind w:left="180" w:right="0" w:hanging="180"/>
              <w:jc w:val="left"/>
              <w:rPr/>
            </w:pPr>
            <w:r>
              <w:rPr/>
              <w:t> </w:t>
            </w:r>
          </w:p>
        </w:tc>
        <w:tc>
          <w:tcPr>
            <w:tcW w:w="60" w:type="dxa"/>
            <w:tcBorders/>
            <w:vAlign w:val="bottom"/>
          </w:tcPr>
          <w:p>
            <w:pPr>
              <w:pStyle w:val="TableContents"/>
              <w:bidi w:val="0"/>
              <w:spacing w:before="0" w:after="283"/>
              <w:jc w:val="left"/>
              <w:rPr/>
            </w:pPr>
            <w:r>
              <w:rPr/>
              <w:t> </w:t>
            </w:r>
          </w:p>
        </w:tc>
        <w:tc>
          <w:tcPr>
            <w:tcW w:w="97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03" w:type="dxa"/>
            <w:gridSpan w:val="2"/>
            <w:tcBorders>
              <w:bottom w:val="single" w:sz="12" w:space="0" w:color="000000"/>
            </w:tcBorders>
            <w:tcMar>
              <w:bottom w:w="28" w:type="dxa"/>
            </w:tcMar>
            <w:vAlign w:val="bottom"/>
          </w:tcPr>
          <w:p>
            <w:pPr>
              <w:pStyle w:val="TableContents"/>
              <w:bidi w:val="0"/>
              <w:spacing w:before="0" w:after="0"/>
              <w:ind w:left="0" w:right="0" w:firstLine="40"/>
              <w:jc w:val="center"/>
              <w:rPr>
                <w:b/>
                <w:sz w:val="20"/>
              </w:rPr>
            </w:pPr>
            <w:r>
              <w:rPr>
                <w:b/>
                <w:sz w:val="20"/>
              </w:rPr>
              <w:t>Unaudited</w:t>
            </w:r>
          </w:p>
        </w:tc>
        <w:tc>
          <w:tcPr>
            <w:tcW w:w="97"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197" w:type="dxa"/>
            <w:gridSpan w:val="2"/>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r>
      <w:tr>
        <w:trPr/>
        <w:tc>
          <w:tcPr>
            <w:tcW w:w="5285" w:type="dxa"/>
            <w:tcBorders/>
            <w:vAlign w:val="bottom"/>
          </w:tcPr>
          <w:p>
            <w:pPr>
              <w:pStyle w:val="TableContents"/>
              <w:bidi w:val="0"/>
              <w:spacing w:before="0" w:after="0"/>
              <w:ind w:left="180" w:right="0" w:hanging="180"/>
              <w:jc w:val="both"/>
              <w:rPr>
                <w:b/>
                <w:sz w:val="20"/>
              </w:rPr>
            </w:pPr>
            <w:r>
              <w:rPr>
                <w:b/>
                <w:sz w:val="20"/>
              </w:rPr>
              <w:t>Assets:</w:t>
            </w:r>
          </w:p>
        </w:tc>
        <w:tc>
          <w:tcPr>
            <w:tcW w:w="60" w:type="dxa"/>
            <w:tcBorders/>
            <w:vAlign w:val="bottom"/>
          </w:tcPr>
          <w:p>
            <w:pPr>
              <w:pStyle w:val="TableContents"/>
              <w:bidi w:val="0"/>
              <w:spacing w:before="0" w:after="283"/>
              <w:jc w:val="left"/>
              <w:rPr/>
            </w:pPr>
            <w:r>
              <w:rPr/>
              <w:t> </w:t>
            </w:r>
          </w:p>
        </w:tc>
        <w:tc>
          <w:tcPr>
            <w:tcW w:w="97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03" w:type="dxa"/>
            <w:gridSpan w:val="2"/>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197" w:type="dxa"/>
            <w:gridSpan w:val="2"/>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r>
      <w:tr>
        <w:trPr/>
        <w:tc>
          <w:tcPr>
            <w:tcW w:w="5285" w:type="dxa"/>
            <w:tcBorders/>
            <w:vAlign w:val="bottom"/>
          </w:tcPr>
          <w:p>
            <w:pPr>
              <w:pStyle w:val="TableContents"/>
              <w:bidi w:val="0"/>
              <w:spacing w:before="0" w:after="0"/>
              <w:ind w:left="180" w:right="0" w:hanging="180"/>
              <w:jc w:val="both"/>
              <w:rPr>
                <w:sz w:val="20"/>
                <w:u w:val="single"/>
              </w:rPr>
            </w:pPr>
            <w:r>
              <w:rPr>
                <w:sz w:val="20"/>
                <w:u w:val="single"/>
              </w:rPr>
              <w:t>Cash equivalents:</w:t>
            </w:r>
          </w:p>
        </w:tc>
        <w:tc>
          <w:tcPr>
            <w:tcW w:w="60" w:type="dxa"/>
            <w:tcBorders/>
            <w:vAlign w:val="bottom"/>
          </w:tcPr>
          <w:p>
            <w:pPr>
              <w:pStyle w:val="TableContents"/>
              <w:bidi w:val="0"/>
              <w:spacing w:before="0" w:after="283"/>
              <w:jc w:val="left"/>
              <w:rPr/>
            </w:pPr>
            <w:r>
              <w:rPr/>
              <w:t> </w:t>
            </w:r>
          </w:p>
        </w:tc>
        <w:tc>
          <w:tcPr>
            <w:tcW w:w="97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03" w:type="dxa"/>
            <w:gridSpan w:val="2"/>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197" w:type="dxa"/>
            <w:gridSpan w:val="2"/>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r>
      <w:tr>
        <w:trPr/>
        <w:tc>
          <w:tcPr>
            <w:tcW w:w="5285" w:type="dxa"/>
            <w:tcBorders/>
            <w:shd w:fill="CCEEFF" w:val="clear"/>
            <w:vAlign w:val="bottom"/>
          </w:tcPr>
          <w:p>
            <w:pPr>
              <w:pStyle w:val="TableContents"/>
              <w:bidi w:val="0"/>
              <w:spacing w:before="0" w:after="0"/>
              <w:ind w:left="180" w:right="0" w:hanging="180"/>
              <w:jc w:val="both"/>
              <w:rPr>
                <w:sz w:val="20"/>
              </w:rPr>
            </w:pPr>
            <w:r>
              <w:rPr>
                <w:sz w:val="20"/>
              </w:rPr>
              <w:t>Money market accounts and funds</w:t>
            </w:r>
          </w:p>
        </w:tc>
        <w:tc>
          <w:tcPr>
            <w:tcW w:w="60" w:type="dxa"/>
            <w:tcBorders/>
            <w:shd w:fill="CCEEFF" w:val="clear"/>
            <w:vAlign w:val="bottom"/>
          </w:tcPr>
          <w:p>
            <w:pPr>
              <w:pStyle w:val="TableContents"/>
              <w:bidi w:val="0"/>
              <w:spacing w:before="0" w:after="283"/>
              <w:jc w:val="left"/>
              <w:rPr/>
            </w:pPr>
            <w:r>
              <w:rPr/>
              <w:t> </w:t>
            </w:r>
          </w:p>
        </w:tc>
        <w:tc>
          <w:tcPr>
            <w:tcW w:w="976" w:type="dxa"/>
            <w:tcBorders/>
            <w:shd w:fill="CCEEFF" w:val="clear"/>
            <w:vAlign w:val="bottom"/>
          </w:tcPr>
          <w:p>
            <w:pPr>
              <w:pStyle w:val="TableContents"/>
              <w:bidi w:val="0"/>
              <w:spacing w:before="0" w:after="0"/>
              <w:ind w:left="0" w:right="15" w:hanging="0"/>
              <w:jc w:val="right"/>
              <w:rPr>
                <w:sz w:val="20"/>
              </w:rPr>
            </w:pPr>
            <w:r>
              <w:rPr>
                <w:sz w:val="20"/>
              </w:rPr>
              <w:t>Level 1</w:t>
            </w:r>
          </w:p>
        </w:tc>
        <w:tc>
          <w:tcPr>
            <w:tcW w:w="60" w:type="dxa"/>
            <w:tcBorders/>
            <w:shd w:fill="CCEEFF" w:val="clear"/>
            <w:vAlign w:val="bottom"/>
          </w:tcPr>
          <w:p>
            <w:pPr>
              <w:pStyle w:val="TableContents"/>
              <w:bidi w:val="0"/>
              <w:spacing w:before="0" w:after="283"/>
              <w:jc w:val="right"/>
              <w:rPr/>
            </w:pPr>
            <w:r>
              <w:rPr/>
              <w:t> </w:t>
            </w:r>
          </w:p>
        </w:tc>
        <w:tc>
          <w:tcPr>
            <w:tcW w:w="238" w:type="dxa"/>
            <w:tcBorders/>
            <w:shd w:fill="CCEEFF" w:val="clear"/>
            <w:vAlign w:val="bottom"/>
          </w:tcPr>
          <w:p>
            <w:pPr>
              <w:pStyle w:val="TableContents"/>
              <w:bidi w:val="0"/>
              <w:spacing w:before="0" w:after="0"/>
              <w:jc w:val="left"/>
              <w:rPr>
                <w:sz w:val="20"/>
              </w:rPr>
            </w:pPr>
            <w:r>
              <w:rPr>
                <w:sz w:val="20"/>
              </w:rPr>
              <w:t>$</w:t>
            </w:r>
          </w:p>
        </w:tc>
        <w:tc>
          <w:tcPr>
            <w:tcW w:w="965" w:type="dxa"/>
            <w:tcBorders/>
            <w:shd w:fill="CCEEFF" w:val="clear"/>
            <w:vAlign w:val="bottom"/>
          </w:tcPr>
          <w:p>
            <w:pPr>
              <w:pStyle w:val="TableContents"/>
              <w:bidi w:val="0"/>
              <w:spacing w:before="0" w:after="0"/>
              <w:jc w:val="right"/>
              <w:rPr>
                <w:sz w:val="20"/>
              </w:rPr>
            </w:pPr>
            <w:r>
              <w:rPr>
                <w:sz w:val="20"/>
              </w:rPr>
              <w:t>120,334</w:t>
            </w:r>
          </w:p>
        </w:tc>
        <w:tc>
          <w:tcPr>
            <w:tcW w:w="97"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right"/>
              <w:rPr/>
            </w:pPr>
            <w:r>
              <w:rPr/>
              <w:t> </w:t>
            </w:r>
          </w:p>
        </w:tc>
        <w:tc>
          <w:tcPr>
            <w:tcW w:w="267" w:type="dxa"/>
            <w:tcBorders/>
            <w:shd w:fill="CCEEFF" w:val="clear"/>
            <w:vAlign w:val="bottom"/>
          </w:tcPr>
          <w:p>
            <w:pPr>
              <w:pStyle w:val="TableContents"/>
              <w:bidi w:val="0"/>
              <w:spacing w:before="0" w:after="0"/>
              <w:jc w:val="left"/>
              <w:rPr>
                <w:sz w:val="20"/>
              </w:rPr>
            </w:pPr>
            <w:r>
              <w:rPr>
                <w:sz w:val="20"/>
              </w:rPr>
              <w:t>$</w:t>
            </w:r>
          </w:p>
        </w:tc>
        <w:tc>
          <w:tcPr>
            <w:tcW w:w="930" w:type="dxa"/>
            <w:tcBorders/>
            <w:shd w:fill="CCEEFF" w:val="clear"/>
            <w:vAlign w:val="bottom"/>
          </w:tcPr>
          <w:p>
            <w:pPr>
              <w:pStyle w:val="TableContents"/>
              <w:bidi w:val="0"/>
              <w:spacing w:before="0" w:after="0"/>
              <w:jc w:val="right"/>
              <w:rPr>
                <w:sz w:val="20"/>
              </w:rPr>
            </w:pPr>
            <w:r>
              <w:rPr>
                <w:sz w:val="20"/>
              </w:rPr>
              <w:t>22,583</w:t>
            </w:r>
          </w:p>
        </w:tc>
        <w:tc>
          <w:tcPr>
            <w:tcW w:w="84" w:type="dxa"/>
            <w:tcBorders/>
            <w:shd w:fill="CCEEFF" w:val="clear"/>
            <w:vAlign w:val="bottom"/>
          </w:tcPr>
          <w:p>
            <w:pPr>
              <w:pStyle w:val="TableContents"/>
              <w:bidi w:val="0"/>
              <w:spacing w:before="0" w:after="283"/>
              <w:jc w:val="left"/>
              <w:rPr/>
            </w:pPr>
            <w:r>
              <w:rPr/>
              <w:t> </w:t>
            </w:r>
          </w:p>
        </w:tc>
      </w:tr>
      <w:tr>
        <w:trPr/>
        <w:tc>
          <w:tcPr>
            <w:tcW w:w="5285" w:type="dxa"/>
            <w:tcBorders/>
            <w:vAlign w:val="bottom"/>
          </w:tcPr>
          <w:p>
            <w:pPr>
              <w:pStyle w:val="TableContents"/>
              <w:bidi w:val="0"/>
              <w:spacing w:before="0" w:after="0"/>
              <w:ind w:left="180" w:right="0" w:hanging="180"/>
              <w:jc w:val="both"/>
              <w:rPr>
                <w:sz w:val="20"/>
                <w:u w:val="single"/>
              </w:rPr>
            </w:pPr>
            <w:r>
              <w:rPr>
                <w:sz w:val="20"/>
                <w:u w:val="single"/>
              </w:rPr>
              <w:t>Short-term investments:</w:t>
            </w:r>
          </w:p>
        </w:tc>
        <w:tc>
          <w:tcPr>
            <w:tcW w:w="60" w:type="dxa"/>
            <w:tcBorders/>
            <w:vAlign w:val="bottom"/>
          </w:tcPr>
          <w:p>
            <w:pPr>
              <w:pStyle w:val="TableContents"/>
              <w:bidi w:val="0"/>
              <w:spacing w:before="0" w:after="283"/>
              <w:jc w:val="left"/>
              <w:rPr/>
            </w:pPr>
            <w:r>
              <w:rPr/>
              <w:t> </w:t>
            </w:r>
          </w:p>
        </w:tc>
        <w:tc>
          <w:tcPr>
            <w:tcW w:w="97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38" w:type="dxa"/>
            <w:tcBorders/>
            <w:vAlign w:val="bottom"/>
          </w:tcPr>
          <w:p>
            <w:pPr>
              <w:pStyle w:val="TableContents"/>
              <w:bidi w:val="0"/>
              <w:spacing w:before="0" w:after="283"/>
              <w:jc w:val="left"/>
              <w:rPr/>
            </w:pPr>
            <w:r>
              <w:rPr/>
              <w:t> </w:t>
            </w:r>
          </w:p>
        </w:tc>
        <w:tc>
          <w:tcPr>
            <w:tcW w:w="965" w:type="dxa"/>
            <w:tcBorders/>
            <w:vAlign w:val="bottom"/>
          </w:tcPr>
          <w:p>
            <w:pPr>
              <w:pStyle w:val="TableContents"/>
              <w:bidi w:val="0"/>
              <w:spacing w:before="0" w:after="283"/>
              <w:jc w:val="right"/>
              <w:rPr/>
            </w:pPr>
            <w:r>
              <w:rPr/>
              <w:t> </w:t>
            </w:r>
          </w:p>
        </w:tc>
        <w:tc>
          <w:tcPr>
            <w:tcW w:w="97"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right"/>
              <w:rPr/>
            </w:pPr>
            <w:r>
              <w:rPr/>
              <w:t> </w:t>
            </w:r>
          </w:p>
        </w:tc>
        <w:tc>
          <w:tcPr>
            <w:tcW w:w="267" w:type="dxa"/>
            <w:tcBorders/>
            <w:vAlign w:val="bottom"/>
          </w:tcPr>
          <w:p>
            <w:pPr>
              <w:pStyle w:val="TableContents"/>
              <w:bidi w:val="0"/>
              <w:spacing w:before="0" w:after="283"/>
              <w:jc w:val="left"/>
              <w:rPr/>
            </w:pPr>
            <w:r>
              <w:rPr/>
              <w:t> </w:t>
            </w:r>
          </w:p>
        </w:tc>
        <w:tc>
          <w:tcPr>
            <w:tcW w:w="930" w:type="dxa"/>
            <w:tcBorders/>
            <w:vAlign w:val="bottom"/>
          </w:tcPr>
          <w:p>
            <w:pPr>
              <w:pStyle w:val="TableContents"/>
              <w:bidi w:val="0"/>
              <w:spacing w:before="0" w:after="283"/>
              <w:jc w:val="right"/>
              <w:rPr/>
            </w:pPr>
            <w:r>
              <w:rPr/>
              <w:t> </w:t>
            </w:r>
          </w:p>
        </w:tc>
        <w:tc>
          <w:tcPr>
            <w:tcW w:w="84" w:type="dxa"/>
            <w:tcBorders/>
            <w:vAlign w:val="bottom"/>
          </w:tcPr>
          <w:p>
            <w:pPr>
              <w:pStyle w:val="TableContents"/>
              <w:bidi w:val="0"/>
              <w:spacing w:before="0" w:after="283"/>
              <w:jc w:val="left"/>
              <w:rPr/>
            </w:pPr>
            <w:r>
              <w:rPr/>
              <w:t> </w:t>
            </w:r>
          </w:p>
        </w:tc>
      </w:tr>
      <w:tr>
        <w:trPr/>
        <w:tc>
          <w:tcPr>
            <w:tcW w:w="5285" w:type="dxa"/>
            <w:tcBorders/>
            <w:shd w:fill="CCEEFF" w:val="clear"/>
            <w:vAlign w:val="bottom"/>
          </w:tcPr>
          <w:p>
            <w:pPr>
              <w:pStyle w:val="TableContents"/>
              <w:bidi w:val="0"/>
              <w:spacing w:before="0" w:after="0"/>
              <w:ind w:left="180" w:right="0" w:hanging="180"/>
              <w:jc w:val="both"/>
              <w:rPr>
                <w:sz w:val="20"/>
              </w:rPr>
            </w:pPr>
            <w:r>
              <w:rPr>
                <w:sz w:val="20"/>
              </w:rPr>
              <w:t>Corporate debt securities</w:t>
            </w:r>
          </w:p>
        </w:tc>
        <w:tc>
          <w:tcPr>
            <w:tcW w:w="60" w:type="dxa"/>
            <w:tcBorders/>
            <w:shd w:fill="CCEEFF" w:val="clear"/>
            <w:vAlign w:val="bottom"/>
          </w:tcPr>
          <w:p>
            <w:pPr>
              <w:pStyle w:val="TableContents"/>
              <w:bidi w:val="0"/>
              <w:spacing w:before="0" w:after="283"/>
              <w:jc w:val="left"/>
              <w:rPr/>
            </w:pPr>
            <w:r>
              <w:rPr/>
              <w:t> </w:t>
            </w:r>
          </w:p>
        </w:tc>
        <w:tc>
          <w:tcPr>
            <w:tcW w:w="976" w:type="dxa"/>
            <w:tcBorders/>
            <w:shd w:fill="CCEEFF" w:val="clear"/>
            <w:vAlign w:val="bottom"/>
          </w:tcPr>
          <w:p>
            <w:pPr>
              <w:pStyle w:val="TableContents"/>
              <w:bidi w:val="0"/>
              <w:spacing w:before="0" w:after="0"/>
              <w:ind w:left="0" w:right="15" w:hanging="0"/>
              <w:jc w:val="right"/>
              <w:rPr>
                <w:sz w:val="20"/>
              </w:rPr>
            </w:pPr>
            <w:r>
              <w:rPr>
                <w:sz w:val="20"/>
              </w:rPr>
              <w:t>Level 2</w:t>
            </w:r>
          </w:p>
        </w:tc>
        <w:tc>
          <w:tcPr>
            <w:tcW w:w="60" w:type="dxa"/>
            <w:tcBorders/>
            <w:shd w:fill="CCEEFF" w:val="clear"/>
            <w:vAlign w:val="bottom"/>
          </w:tcPr>
          <w:p>
            <w:pPr>
              <w:pStyle w:val="TableContents"/>
              <w:bidi w:val="0"/>
              <w:spacing w:before="0" w:after="283"/>
              <w:jc w:val="right"/>
              <w:rPr/>
            </w:pPr>
            <w:r>
              <w:rPr/>
              <w:t> </w:t>
            </w:r>
          </w:p>
        </w:tc>
        <w:tc>
          <w:tcPr>
            <w:tcW w:w="238" w:type="dxa"/>
            <w:tcBorders/>
            <w:shd w:fill="CCEEFF" w:val="clear"/>
            <w:vAlign w:val="bottom"/>
          </w:tcPr>
          <w:p>
            <w:pPr>
              <w:pStyle w:val="TableContents"/>
              <w:bidi w:val="0"/>
              <w:spacing w:before="0" w:after="0"/>
              <w:jc w:val="left"/>
              <w:rPr>
                <w:sz w:val="20"/>
              </w:rPr>
            </w:pPr>
            <w:r>
              <w:rPr>
                <w:sz w:val="20"/>
              </w:rPr>
              <w:t>$</w:t>
            </w:r>
          </w:p>
        </w:tc>
        <w:tc>
          <w:tcPr>
            <w:tcW w:w="965" w:type="dxa"/>
            <w:tcBorders/>
            <w:shd w:fill="CCEEFF" w:val="clear"/>
            <w:vAlign w:val="bottom"/>
          </w:tcPr>
          <w:p>
            <w:pPr>
              <w:pStyle w:val="TableContents"/>
              <w:bidi w:val="0"/>
              <w:spacing w:before="0" w:after="0"/>
              <w:jc w:val="right"/>
              <w:rPr>
                <w:sz w:val="20"/>
              </w:rPr>
            </w:pPr>
            <w:r>
              <w:rPr>
                <w:sz w:val="20"/>
              </w:rPr>
              <w:t>7,932</w:t>
            </w:r>
          </w:p>
        </w:tc>
        <w:tc>
          <w:tcPr>
            <w:tcW w:w="97"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right"/>
              <w:rPr/>
            </w:pPr>
            <w:r>
              <w:rPr/>
              <w:t> </w:t>
            </w:r>
          </w:p>
        </w:tc>
        <w:tc>
          <w:tcPr>
            <w:tcW w:w="267" w:type="dxa"/>
            <w:tcBorders/>
            <w:shd w:fill="CCEEFF" w:val="clear"/>
            <w:vAlign w:val="bottom"/>
          </w:tcPr>
          <w:p>
            <w:pPr>
              <w:pStyle w:val="TableContents"/>
              <w:bidi w:val="0"/>
              <w:spacing w:before="0" w:after="0"/>
              <w:jc w:val="left"/>
              <w:rPr>
                <w:sz w:val="20"/>
              </w:rPr>
            </w:pPr>
            <w:r>
              <w:rPr>
                <w:sz w:val="20"/>
              </w:rPr>
              <w:t>$</w:t>
            </w:r>
          </w:p>
        </w:tc>
        <w:tc>
          <w:tcPr>
            <w:tcW w:w="930" w:type="dxa"/>
            <w:tcBorders/>
            <w:shd w:fill="CCEEFF" w:val="clear"/>
            <w:vAlign w:val="bottom"/>
          </w:tcPr>
          <w:p>
            <w:pPr>
              <w:pStyle w:val="TableContents"/>
              <w:bidi w:val="0"/>
              <w:spacing w:before="0" w:after="0"/>
              <w:jc w:val="right"/>
              <w:rPr>
                <w:sz w:val="20"/>
              </w:rPr>
            </w:pPr>
            <w:r>
              <w:rPr>
                <w:sz w:val="20"/>
              </w:rPr>
              <w:t>21,636</w:t>
            </w:r>
          </w:p>
        </w:tc>
        <w:tc>
          <w:tcPr>
            <w:tcW w:w="84" w:type="dxa"/>
            <w:tcBorders/>
            <w:shd w:fill="CCEEFF" w:val="clear"/>
            <w:vAlign w:val="bottom"/>
          </w:tcPr>
          <w:p>
            <w:pPr>
              <w:pStyle w:val="TableContents"/>
              <w:bidi w:val="0"/>
              <w:spacing w:before="0" w:after="283"/>
              <w:jc w:val="left"/>
              <w:rPr/>
            </w:pPr>
            <w:r>
              <w:rPr/>
              <w:t> </w:t>
            </w:r>
          </w:p>
        </w:tc>
      </w:tr>
      <w:tr>
        <w:trPr/>
        <w:tc>
          <w:tcPr>
            <w:tcW w:w="5285" w:type="dxa"/>
            <w:tcBorders/>
            <w:vAlign w:val="bottom"/>
          </w:tcPr>
          <w:p>
            <w:pPr>
              <w:pStyle w:val="TableContents"/>
              <w:bidi w:val="0"/>
              <w:spacing w:before="0" w:after="0"/>
              <w:ind w:left="180" w:right="0" w:hanging="180"/>
              <w:jc w:val="both"/>
              <w:rPr>
                <w:sz w:val="20"/>
              </w:rPr>
            </w:pPr>
            <w:r>
              <w:rPr>
                <w:sz w:val="20"/>
              </w:rPr>
              <w:t>Commercial paper</w:t>
            </w:r>
          </w:p>
        </w:tc>
        <w:tc>
          <w:tcPr>
            <w:tcW w:w="60" w:type="dxa"/>
            <w:tcBorders/>
            <w:vAlign w:val="bottom"/>
          </w:tcPr>
          <w:p>
            <w:pPr>
              <w:pStyle w:val="TableContents"/>
              <w:bidi w:val="0"/>
              <w:spacing w:before="0" w:after="283"/>
              <w:jc w:val="left"/>
              <w:rPr/>
            </w:pPr>
            <w:r>
              <w:rPr/>
              <w:t> </w:t>
            </w:r>
          </w:p>
        </w:tc>
        <w:tc>
          <w:tcPr>
            <w:tcW w:w="976" w:type="dxa"/>
            <w:tcBorders/>
            <w:vAlign w:val="bottom"/>
          </w:tcPr>
          <w:p>
            <w:pPr>
              <w:pStyle w:val="TableContents"/>
              <w:bidi w:val="0"/>
              <w:spacing w:before="0" w:after="0"/>
              <w:ind w:left="0" w:right="15" w:hanging="0"/>
              <w:jc w:val="right"/>
              <w:rPr>
                <w:sz w:val="20"/>
              </w:rPr>
            </w:pPr>
            <w:r>
              <w:rPr>
                <w:sz w:val="20"/>
              </w:rPr>
              <w:t>Level 2</w:t>
            </w:r>
          </w:p>
        </w:tc>
        <w:tc>
          <w:tcPr>
            <w:tcW w:w="60" w:type="dxa"/>
            <w:tcBorders/>
            <w:vAlign w:val="bottom"/>
          </w:tcPr>
          <w:p>
            <w:pPr>
              <w:pStyle w:val="TableContents"/>
              <w:bidi w:val="0"/>
              <w:spacing w:before="0" w:after="283"/>
              <w:jc w:val="right"/>
              <w:rPr/>
            </w:pPr>
            <w:r>
              <w:rPr/>
              <w:t> </w:t>
            </w:r>
          </w:p>
        </w:tc>
        <w:tc>
          <w:tcPr>
            <w:tcW w:w="238" w:type="dxa"/>
            <w:tcBorders/>
            <w:vAlign w:val="bottom"/>
          </w:tcPr>
          <w:p>
            <w:pPr>
              <w:pStyle w:val="TableContents"/>
              <w:bidi w:val="0"/>
              <w:spacing w:before="0" w:after="0"/>
              <w:jc w:val="left"/>
              <w:rPr>
                <w:sz w:val="20"/>
              </w:rPr>
            </w:pPr>
            <w:r>
              <w:rPr>
                <w:sz w:val="20"/>
              </w:rPr>
              <w:t>$</w:t>
            </w:r>
          </w:p>
        </w:tc>
        <w:tc>
          <w:tcPr>
            <w:tcW w:w="965" w:type="dxa"/>
            <w:tcBorders/>
            <w:vAlign w:val="bottom"/>
          </w:tcPr>
          <w:p>
            <w:pPr>
              <w:pStyle w:val="TableContents"/>
              <w:bidi w:val="0"/>
              <w:spacing w:before="0" w:after="0"/>
              <w:jc w:val="right"/>
              <w:rPr>
                <w:sz w:val="20"/>
              </w:rPr>
            </w:pPr>
            <w:r>
              <w:rPr>
                <w:sz w:val="20"/>
              </w:rPr>
              <w:t>4,535</w:t>
            </w:r>
          </w:p>
        </w:tc>
        <w:tc>
          <w:tcPr>
            <w:tcW w:w="97"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right"/>
              <w:rPr/>
            </w:pPr>
            <w:r>
              <w:rPr/>
              <w:t> </w:t>
            </w:r>
          </w:p>
        </w:tc>
        <w:tc>
          <w:tcPr>
            <w:tcW w:w="267" w:type="dxa"/>
            <w:tcBorders/>
            <w:vAlign w:val="bottom"/>
          </w:tcPr>
          <w:p>
            <w:pPr>
              <w:pStyle w:val="TableContents"/>
              <w:bidi w:val="0"/>
              <w:spacing w:before="0" w:after="0"/>
              <w:jc w:val="left"/>
              <w:rPr>
                <w:sz w:val="20"/>
              </w:rPr>
            </w:pPr>
            <w:r>
              <w:rPr>
                <w:sz w:val="20"/>
              </w:rPr>
              <w:t>$</w:t>
            </w:r>
          </w:p>
        </w:tc>
        <w:tc>
          <w:tcPr>
            <w:tcW w:w="930" w:type="dxa"/>
            <w:tcBorders/>
            <w:vAlign w:val="bottom"/>
          </w:tcPr>
          <w:p>
            <w:pPr>
              <w:pStyle w:val="TableContents"/>
              <w:bidi w:val="0"/>
              <w:spacing w:before="0" w:after="0"/>
              <w:jc w:val="right"/>
              <w:rPr>
                <w:sz w:val="20"/>
              </w:rPr>
            </w:pPr>
            <w:r>
              <w:rPr>
                <w:sz w:val="20"/>
              </w:rPr>
              <w:t>8,565</w:t>
            </w:r>
          </w:p>
        </w:tc>
        <w:tc>
          <w:tcPr>
            <w:tcW w:w="84" w:type="dxa"/>
            <w:tcBorders/>
            <w:vAlign w:val="bottom"/>
          </w:tcPr>
          <w:p>
            <w:pPr>
              <w:pStyle w:val="TableContents"/>
              <w:bidi w:val="0"/>
              <w:spacing w:before="0" w:after="283"/>
              <w:jc w:val="left"/>
              <w:rPr/>
            </w:pPr>
            <w:r>
              <w:rPr/>
              <w:t> </w:t>
            </w:r>
          </w:p>
        </w:tc>
      </w:tr>
      <w:tr>
        <w:trPr/>
        <w:tc>
          <w:tcPr>
            <w:tcW w:w="5285" w:type="dxa"/>
            <w:tcBorders/>
            <w:shd w:fill="CCEEFF" w:val="clear"/>
            <w:vAlign w:val="bottom"/>
          </w:tcPr>
          <w:p>
            <w:pPr>
              <w:pStyle w:val="TableContents"/>
              <w:bidi w:val="0"/>
              <w:spacing w:before="0" w:after="0"/>
              <w:ind w:left="180" w:right="0" w:hanging="180"/>
              <w:jc w:val="both"/>
              <w:rPr>
                <w:sz w:val="20"/>
              </w:rPr>
            </w:pPr>
            <w:r>
              <w:rPr>
                <w:sz w:val="20"/>
              </w:rPr>
              <w:t>U.S. government treasuries</w:t>
            </w:r>
          </w:p>
        </w:tc>
        <w:tc>
          <w:tcPr>
            <w:tcW w:w="60" w:type="dxa"/>
            <w:tcBorders/>
            <w:shd w:fill="CCEEFF" w:val="clear"/>
            <w:vAlign w:val="bottom"/>
          </w:tcPr>
          <w:p>
            <w:pPr>
              <w:pStyle w:val="TableContents"/>
              <w:bidi w:val="0"/>
              <w:spacing w:before="0" w:after="283"/>
              <w:jc w:val="left"/>
              <w:rPr/>
            </w:pPr>
            <w:r>
              <w:rPr/>
              <w:t> </w:t>
            </w:r>
          </w:p>
        </w:tc>
        <w:tc>
          <w:tcPr>
            <w:tcW w:w="976" w:type="dxa"/>
            <w:tcBorders/>
            <w:shd w:fill="CCEEFF" w:val="clear"/>
            <w:vAlign w:val="bottom"/>
          </w:tcPr>
          <w:p>
            <w:pPr>
              <w:pStyle w:val="TableContents"/>
              <w:bidi w:val="0"/>
              <w:spacing w:before="0" w:after="0"/>
              <w:ind w:left="0" w:right="15" w:hanging="0"/>
              <w:jc w:val="right"/>
              <w:rPr>
                <w:sz w:val="20"/>
              </w:rPr>
            </w:pPr>
            <w:r>
              <w:rPr>
                <w:sz w:val="20"/>
              </w:rPr>
              <w:t>Level 2</w:t>
            </w:r>
          </w:p>
        </w:tc>
        <w:tc>
          <w:tcPr>
            <w:tcW w:w="60" w:type="dxa"/>
            <w:tcBorders/>
            <w:shd w:fill="CCEEFF" w:val="clear"/>
            <w:vAlign w:val="bottom"/>
          </w:tcPr>
          <w:p>
            <w:pPr>
              <w:pStyle w:val="TableContents"/>
              <w:bidi w:val="0"/>
              <w:spacing w:before="0" w:after="283"/>
              <w:jc w:val="right"/>
              <w:rPr/>
            </w:pPr>
            <w:r>
              <w:rPr/>
              <w:t> </w:t>
            </w:r>
          </w:p>
        </w:tc>
        <w:tc>
          <w:tcPr>
            <w:tcW w:w="238" w:type="dxa"/>
            <w:tcBorders/>
            <w:shd w:fill="CCEEFF" w:val="clear"/>
            <w:vAlign w:val="bottom"/>
          </w:tcPr>
          <w:p>
            <w:pPr>
              <w:pStyle w:val="TableContents"/>
              <w:bidi w:val="0"/>
              <w:spacing w:before="0" w:after="0"/>
              <w:jc w:val="left"/>
              <w:rPr>
                <w:sz w:val="20"/>
              </w:rPr>
            </w:pPr>
            <w:r>
              <w:rPr>
                <w:sz w:val="20"/>
              </w:rPr>
              <w:t>$</w:t>
            </w:r>
          </w:p>
        </w:tc>
        <w:tc>
          <w:tcPr>
            <w:tcW w:w="965" w:type="dxa"/>
            <w:tcBorders/>
            <w:shd w:fill="CCEEFF" w:val="clear"/>
            <w:vAlign w:val="bottom"/>
          </w:tcPr>
          <w:p>
            <w:pPr>
              <w:pStyle w:val="TableContents"/>
              <w:bidi w:val="0"/>
              <w:spacing w:before="0" w:after="0"/>
              <w:jc w:val="right"/>
              <w:rPr/>
            </w:pPr>
            <w:r>
              <w:rPr/>
              <w:t>—</w:t>
            </w:r>
          </w:p>
        </w:tc>
        <w:tc>
          <w:tcPr>
            <w:tcW w:w="97"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right"/>
              <w:rPr/>
            </w:pPr>
            <w:r>
              <w:rPr/>
              <w:t> </w:t>
            </w:r>
          </w:p>
        </w:tc>
        <w:tc>
          <w:tcPr>
            <w:tcW w:w="267" w:type="dxa"/>
            <w:tcBorders/>
            <w:shd w:fill="CCEEFF" w:val="clear"/>
            <w:vAlign w:val="bottom"/>
          </w:tcPr>
          <w:p>
            <w:pPr>
              <w:pStyle w:val="TableContents"/>
              <w:bidi w:val="0"/>
              <w:spacing w:before="0" w:after="0"/>
              <w:jc w:val="left"/>
              <w:rPr>
                <w:sz w:val="20"/>
              </w:rPr>
            </w:pPr>
            <w:r>
              <w:rPr>
                <w:sz w:val="20"/>
              </w:rPr>
              <w:t>$</w:t>
            </w:r>
          </w:p>
        </w:tc>
        <w:tc>
          <w:tcPr>
            <w:tcW w:w="930" w:type="dxa"/>
            <w:tcBorders/>
            <w:shd w:fill="CCEEFF" w:val="clear"/>
            <w:vAlign w:val="bottom"/>
          </w:tcPr>
          <w:p>
            <w:pPr>
              <w:pStyle w:val="TableContents"/>
              <w:bidi w:val="0"/>
              <w:spacing w:before="0" w:after="0"/>
              <w:jc w:val="right"/>
              <w:rPr>
                <w:sz w:val="20"/>
              </w:rPr>
            </w:pPr>
            <w:r>
              <w:rPr>
                <w:sz w:val="20"/>
              </w:rPr>
              <w:t>46,222</w:t>
            </w:r>
          </w:p>
        </w:tc>
        <w:tc>
          <w:tcPr>
            <w:tcW w:w="84" w:type="dxa"/>
            <w:tcBorders/>
            <w:shd w:fill="CCEEFF" w:val="clear"/>
            <w:vAlign w:val="bottom"/>
          </w:tcPr>
          <w:p>
            <w:pPr>
              <w:pStyle w:val="TableContents"/>
              <w:bidi w:val="0"/>
              <w:spacing w:before="0" w:after="283"/>
              <w:jc w:val="left"/>
              <w:rPr/>
            </w:pPr>
            <w:r>
              <w:rPr/>
              <w:t> </w:t>
            </w:r>
          </w:p>
        </w:tc>
      </w:tr>
      <w:tr>
        <w:trPr/>
        <w:tc>
          <w:tcPr>
            <w:tcW w:w="5285" w:type="dxa"/>
            <w:tcBorders/>
            <w:vAlign w:val="bottom"/>
          </w:tcPr>
          <w:p>
            <w:pPr>
              <w:pStyle w:val="TableContents"/>
              <w:bidi w:val="0"/>
              <w:spacing w:before="0" w:after="0"/>
              <w:ind w:left="180" w:right="0" w:hanging="180"/>
              <w:jc w:val="left"/>
              <w:rPr>
                <w:sz w:val="20"/>
              </w:rPr>
            </w:pPr>
            <w:r>
              <w:rPr>
                <w:sz w:val="20"/>
              </w:rPr>
              <w:t>U.S. agency bonds</w:t>
            </w:r>
          </w:p>
        </w:tc>
        <w:tc>
          <w:tcPr>
            <w:tcW w:w="60" w:type="dxa"/>
            <w:tcBorders/>
            <w:vAlign w:val="bottom"/>
          </w:tcPr>
          <w:p>
            <w:pPr>
              <w:pStyle w:val="TableContents"/>
              <w:bidi w:val="0"/>
              <w:spacing w:before="0" w:after="283"/>
              <w:jc w:val="left"/>
              <w:rPr/>
            </w:pPr>
            <w:r>
              <w:rPr/>
              <w:t> </w:t>
            </w:r>
          </w:p>
        </w:tc>
        <w:tc>
          <w:tcPr>
            <w:tcW w:w="976" w:type="dxa"/>
            <w:tcBorders/>
            <w:vAlign w:val="bottom"/>
          </w:tcPr>
          <w:p>
            <w:pPr>
              <w:pStyle w:val="TableContents"/>
              <w:bidi w:val="0"/>
              <w:spacing w:before="0" w:after="283"/>
              <w:jc w:val="right"/>
              <w:rPr/>
            </w:pPr>
            <w:r>
              <w:rPr/>
              <w:t> </w:t>
            </w:r>
            <w:r>
              <w:rPr>
                <w:sz w:val="20"/>
              </w:rPr>
              <w:t>Level 2</w:t>
            </w:r>
          </w:p>
        </w:tc>
        <w:tc>
          <w:tcPr>
            <w:tcW w:w="60" w:type="dxa"/>
            <w:tcBorders/>
            <w:vAlign w:val="bottom"/>
          </w:tcPr>
          <w:p>
            <w:pPr>
              <w:pStyle w:val="TableContents"/>
              <w:bidi w:val="0"/>
              <w:spacing w:before="0" w:after="283"/>
              <w:jc w:val="right"/>
              <w:rPr/>
            </w:pPr>
            <w:r>
              <w:rPr/>
              <w:t> </w:t>
            </w:r>
          </w:p>
        </w:tc>
        <w:tc>
          <w:tcPr>
            <w:tcW w:w="238" w:type="dxa"/>
            <w:tcBorders/>
            <w:vAlign w:val="bottom"/>
          </w:tcPr>
          <w:p>
            <w:pPr>
              <w:pStyle w:val="TableContents"/>
              <w:bidi w:val="0"/>
              <w:spacing w:before="0" w:after="283"/>
              <w:jc w:val="left"/>
              <w:rPr>
                <w:sz w:val="20"/>
              </w:rPr>
            </w:pPr>
            <w:r>
              <w:rPr>
                <w:sz w:val="20"/>
              </w:rPr>
              <w:t xml:space="preserve">$ </w:t>
            </w:r>
          </w:p>
        </w:tc>
        <w:tc>
          <w:tcPr>
            <w:tcW w:w="965" w:type="dxa"/>
            <w:tcBorders/>
            <w:vAlign w:val="bottom"/>
          </w:tcPr>
          <w:p>
            <w:pPr>
              <w:pStyle w:val="TableContents"/>
              <w:bidi w:val="0"/>
              <w:spacing w:before="0" w:after="283"/>
              <w:jc w:val="right"/>
              <w:rPr/>
            </w:pPr>
            <w:r>
              <w:rPr/>
              <w:t>—</w:t>
            </w:r>
          </w:p>
        </w:tc>
        <w:tc>
          <w:tcPr>
            <w:tcW w:w="97"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right"/>
              <w:rPr/>
            </w:pPr>
            <w:r>
              <w:rPr/>
              <w:t> </w:t>
            </w:r>
          </w:p>
        </w:tc>
        <w:tc>
          <w:tcPr>
            <w:tcW w:w="267" w:type="dxa"/>
            <w:tcBorders/>
            <w:vAlign w:val="bottom"/>
          </w:tcPr>
          <w:p>
            <w:pPr>
              <w:pStyle w:val="TableContents"/>
              <w:bidi w:val="0"/>
              <w:spacing w:before="0" w:after="283"/>
              <w:jc w:val="left"/>
              <w:rPr>
                <w:sz w:val="20"/>
              </w:rPr>
            </w:pPr>
            <w:r>
              <w:rPr>
                <w:sz w:val="20"/>
              </w:rPr>
              <w:t xml:space="preserve">$ </w:t>
            </w:r>
          </w:p>
        </w:tc>
        <w:tc>
          <w:tcPr>
            <w:tcW w:w="930" w:type="dxa"/>
            <w:tcBorders/>
            <w:vAlign w:val="bottom"/>
          </w:tcPr>
          <w:p>
            <w:pPr>
              <w:pStyle w:val="TableContents"/>
              <w:bidi w:val="0"/>
              <w:spacing w:before="0" w:after="283"/>
              <w:jc w:val="right"/>
              <w:rPr>
                <w:sz w:val="20"/>
              </w:rPr>
            </w:pPr>
            <w:r>
              <w:rPr>
                <w:sz w:val="20"/>
              </w:rPr>
              <w:t>20,491</w:t>
            </w:r>
          </w:p>
        </w:tc>
        <w:tc>
          <w:tcPr>
            <w:tcW w:w="84" w:type="dxa"/>
            <w:tcBorders/>
            <w:vAlign w:val="bottom"/>
          </w:tcPr>
          <w:p>
            <w:pPr>
              <w:pStyle w:val="TableContents"/>
              <w:bidi w:val="0"/>
              <w:spacing w:before="0" w:after="283"/>
              <w:jc w:val="left"/>
              <w:rPr/>
            </w:pPr>
            <w:r>
              <w:rPr/>
              <w:t> </w:t>
            </w:r>
          </w:p>
        </w:tc>
      </w:tr>
      <w:tr>
        <w:trPr/>
        <w:tc>
          <w:tcPr>
            <w:tcW w:w="5285" w:type="dxa"/>
            <w:tcBorders/>
            <w:shd w:fill="CCEEFF" w:val="clear"/>
            <w:vAlign w:val="bottom"/>
          </w:tcPr>
          <w:p>
            <w:pPr>
              <w:pStyle w:val="TableContents"/>
              <w:bidi w:val="0"/>
              <w:spacing w:before="0" w:after="283"/>
              <w:jc w:val="left"/>
              <w:rPr/>
            </w:pPr>
            <w:r>
              <w:rPr/>
            </w:r>
          </w:p>
        </w:tc>
        <w:tc>
          <w:tcPr>
            <w:tcW w:w="60" w:type="dxa"/>
            <w:tcBorders/>
            <w:shd w:fill="CCEEFF" w:val="clear"/>
            <w:vAlign w:val="bottom"/>
          </w:tcPr>
          <w:p>
            <w:pPr>
              <w:pStyle w:val="TableContents"/>
              <w:bidi w:val="0"/>
              <w:spacing w:before="0" w:after="283"/>
              <w:jc w:val="left"/>
              <w:rPr/>
            </w:pPr>
            <w:r>
              <w:rPr/>
              <w:t> </w:t>
            </w:r>
          </w:p>
        </w:tc>
        <w:tc>
          <w:tcPr>
            <w:tcW w:w="97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38" w:type="dxa"/>
            <w:tcBorders/>
            <w:shd w:fill="CCEEFF" w:val="clear"/>
            <w:vAlign w:val="bottom"/>
          </w:tcPr>
          <w:p>
            <w:pPr>
              <w:pStyle w:val="TableContents"/>
              <w:bidi w:val="0"/>
              <w:spacing w:before="0" w:after="283"/>
              <w:jc w:val="left"/>
              <w:rPr/>
            </w:pPr>
            <w:r>
              <w:rPr/>
              <w:t> </w:t>
            </w:r>
          </w:p>
        </w:tc>
        <w:tc>
          <w:tcPr>
            <w:tcW w:w="965" w:type="dxa"/>
            <w:tcBorders/>
            <w:shd w:fill="CCEEFF" w:val="clear"/>
            <w:vAlign w:val="bottom"/>
          </w:tcPr>
          <w:p>
            <w:pPr>
              <w:pStyle w:val="TableContents"/>
              <w:bidi w:val="0"/>
              <w:spacing w:before="0" w:after="283"/>
              <w:jc w:val="right"/>
              <w:rPr/>
            </w:pPr>
            <w:r>
              <w:rPr/>
              <w:t> </w:t>
            </w:r>
          </w:p>
        </w:tc>
        <w:tc>
          <w:tcPr>
            <w:tcW w:w="97"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right"/>
              <w:rPr/>
            </w:pPr>
            <w:r>
              <w:rPr/>
              <w:t> </w:t>
            </w:r>
          </w:p>
        </w:tc>
        <w:tc>
          <w:tcPr>
            <w:tcW w:w="267" w:type="dxa"/>
            <w:tcBorders/>
            <w:shd w:fill="CCEEFF" w:val="clear"/>
            <w:vAlign w:val="bottom"/>
          </w:tcPr>
          <w:p>
            <w:pPr>
              <w:pStyle w:val="TableContents"/>
              <w:bidi w:val="0"/>
              <w:spacing w:before="0" w:after="283"/>
              <w:jc w:val="left"/>
              <w:rPr/>
            </w:pPr>
            <w:r>
              <w:rPr/>
              <w:t> </w:t>
            </w:r>
          </w:p>
        </w:tc>
        <w:tc>
          <w:tcPr>
            <w:tcW w:w="930" w:type="dxa"/>
            <w:tcBorders/>
            <w:shd w:fill="CCEEFF" w:val="clear"/>
            <w:vAlign w:val="bottom"/>
          </w:tcPr>
          <w:p>
            <w:pPr>
              <w:pStyle w:val="TableContents"/>
              <w:bidi w:val="0"/>
              <w:spacing w:before="0" w:after="283"/>
              <w:jc w:val="right"/>
              <w:rPr/>
            </w:pPr>
            <w:r>
              <w:rPr/>
              <w:t> </w:t>
            </w:r>
          </w:p>
        </w:tc>
        <w:tc>
          <w:tcPr>
            <w:tcW w:w="84" w:type="dxa"/>
            <w:tcBorders/>
            <w:shd w:fill="CCEEFF" w:val="clear"/>
            <w:vAlign w:val="bottom"/>
          </w:tcPr>
          <w:p>
            <w:pPr>
              <w:pStyle w:val="TableContents"/>
              <w:bidi w:val="0"/>
              <w:spacing w:before="0" w:after="283"/>
              <w:jc w:val="left"/>
              <w:rPr/>
            </w:pPr>
            <w:r>
              <w:rPr/>
              <w:t> </w:t>
            </w:r>
          </w:p>
        </w:tc>
      </w:tr>
      <w:tr>
        <w:trPr/>
        <w:tc>
          <w:tcPr>
            <w:tcW w:w="5285" w:type="dxa"/>
            <w:tcBorders/>
            <w:vAlign w:val="bottom"/>
          </w:tcPr>
          <w:p>
            <w:pPr>
              <w:pStyle w:val="TableContents"/>
              <w:bidi w:val="0"/>
              <w:spacing w:before="0" w:after="0"/>
              <w:ind w:left="180" w:right="0" w:hanging="180"/>
              <w:jc w:val="both"/>
              <w:rPr>
                <w:b/>
                <w:sz w:val="20"/>
              </w:rPr>
            </w:pPr>
            <w:r>
              <w:rPr>
                <w:b/>
                <w:sz w:val="20"/>
              </w:rPr>
              <w:t>Liabilities:</w:t>
            </w:r>
          </w:p>
        </w:tc>
        <w:tc>
          <w:tcPr>
            <w:tcW w:w="60" w:type="dxa"/>
            <w:tcBorders/>
            <w:vAlign w:val="bottom"/>
          </w:tcPr>
          <w:p>
            <w:pPr>
              <w:pStyle w:val="TableContents"/>
              <w:bidi w:val="0"/>
              <w:spacing w:before="0" w:after="283"/>
              <w:jc w:val="left"/>
              <w:rPr/>
            </w:pPr>
            <w:r>
              <w:rPr/>
              <w:t> </w:t>
            </w:r>
          </w:p>
        </w:tc>
        <w:tc>
          <w:tcPr>
            <w:tcW w:w="97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38" w:type="dxa"/>
            <w:tcBorders/>
            <w:vAlign w:val="bottom"/>
          </w:tcPr>
          <w:p>
            <w:pPr>
              <w:pStyle w:val="TableContents"/>
              <w:bidi w:val="0"/>
              <w:spacing w:before="0" w:after="283"/>
              <w:jc w:val="left"/>
              <w:rPr/>
            </w:pPr>
            <w:r>
              <w:rPr/>
              <w:t> </w:t>
            </w:r>
          </w:p>
        </w:tc>
        <w:tc>
          <w:tcPr>
            <w:tcW w:w="965" w:type="dxa"/>
            <w:tcBorders/>
            <w:vAlign w:val="bottom"/>
          </w:tcPr>
          <w:p>
            <w:pPr>
              <w:pStyle w:val="TableContents"/>
              <w:bidi w:val="0"/>
              <w:spacing w:before="0" w:after="283"/>
              <w:jc w:val="right"/>
              <w:rPr/>
            </w:pPr>
            <w:r>
              <w:rPr/>
              <w:t> </w:t>
            </w:r>
          </w:p>
        </w:tc>
        <w:tc>
          <w:tcPr>
            <w:tcW w:w="97"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right"/>
              <w:rPr/>
            </w:pPr>
            <w:r>
              <w:rPr/>
              <w:t> </w:t>
            </w:r>
          </w:p>
        </w:tc>
        <w:tc>
          <w:tcPr>
            <w:tcW w:w="267" w:type="dxa"/>
            <w:tcBorders/>
            <w:vAlign w:val="bottom"/>
          </w:tcPr>
          <w:p>
            <w:pPr>
              <w:pStyle w:val="TableContents"/>
              <w:bidi w:val="0"/>
              <w:spacing w:before="0" w:after="283"/>
              <w:jc w:val="left"/>
              <w:rPr/>
            </w:pPr>
            <w:r>
              <w:rPr/>
              <w:t> </w:t>
            </w:r>
          </w:p>
        </w:tc>
        <w:tc>
          <w:tcPr>
            <w:tcW w:w="930" w:type="dxa"/>
            <w:tcBorders/>
            <w:vAlign w:val="bottom"/>
          </w:tcPr>
          <w:p>
            <w:pPr>
              <w:pStyle w:val="TableContents"/>
              <w:bidi w:val="0"/>
              <w:spacing w:before="0" w:after="283"/>
              <w:jc w:val="right"/>
              <w:rPr/>
            </w:pPr>
            <w:r>
              <w:rPr/>
              <w:t> </w:t>
            </w:r>
          </w:p>
        </w:tc>
        <w:tc>
          <w:tcPr>
            <w:tcW w:w="84" w:type="dxa"/>
            <w:tcBorders/>
            <w:vAlign w:val="bottom"/>
          </w:tcPr>
          <w:p>
            <w:pPr>
              <w:pStyle w:val="TableContents"/>
              <w:bidi w:val="0"/>
              <w:spacing w:before="0" w:after="283"/>
              <w:jc w:val="left"/>
              <w:rPr/>
            </w:pPr>
            <w:r>
              <w:rPr/>
              <w:t> </w:t>
            </w:r>
          </w:p>
        </w:tc>
      </w:tr>
      <w:tr>
        <w:trPr/>
        <w:tc>
          <w:tcPr>
            <w:tcW w:w="5285" w:type="dxa"/>
            <w:tcBorders/>
            <w:shd w:fill="CCEEFF" w:val="clear"/>
            <w:vAlign w:val="bottom"/>
          </w:tcPr>
          <w:p>
            <w:pPr>
              <w:pStyle w:val="TableContents"/>
              <w:bidi w:val="0"/>
              <w:spacing w:before="0" w:after="0"/>
              <w:ind w:left="180" w:right="0" w:hanging="180"/>
              <w:jc w:val="both"/>
              <w:rPr>
                <w:sz w:val="20"/>
                <w:u w:val="single"/>
              </w:rPr>
            </w:pPr>
            <w:r>
              <w:rPr>
                <w:sz w:val="20"/>
                <w:u w:val="single"/>
              </w:rPr>
              <w:t>Warrants liability:</w:t>
            </w:r>
          </w:p>
        </w:tc>
        <w:tc>
          <w:tcPr>
            <w:tcW w:w="60" w:type="dxa"/>
            <w:tcBorders/>
            <w:shd w:fill="CCEEFF" w:val="clear"/>
            <w:vAlign w:val="bottom"/>
          </w:tcPr>
          <w:p>
            <w:pPr>
              <w:pStyle w:val="TableContents"/>
              <w:bidi w:val="0"/>
              <w:spacing w:before="0" w:after="283"/>
              <w:jc w:val="left"/>
              <w:rPr/>
            </w:pPr>
            <w:r>
              <w:rPr/>
              <w:t> </w:t>
            </w:r>
          </w:p>
        </w:tc>
        <w:tc>
          <w:tcPr>
            <w:tcW w:w="97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38" w:type="dxa"/>
            <w:tcBorders/>
            <w:shd w:fill="CCEEFF" w:val="clear"/>
            <w:vAlign w:val="bottom"/>
          </w:tcPr>
          <w:p>
            <w:pPr>
              <w:pStyle w:val="TableContents"/>
              <w:bidi w:val="0"/>
              <w:spacing w:before="0" w:after="283"/>
              <w:jc w:val="left"/>
              <w:rPr/>
            </w:pPr>
            <w:r>
              <w:rPr/>
              <w:t> </w:t>
            </w:r>
          </w:p>
        </w:tc>
        <w:tc>
          <w:tcPr>
            <w:tcW w:w="965" w:type="dxa"/>
            <w:tcBorders/>
            <w:shd w:fill="CCEEFF" w:val="clear"/>
            <w:vAlign w:val="bottom"/>
          </w:tcPr>
          <w:p>
            <w:pPr>
              <w:pStyle w:val="TableContents"/>
              <w:bidi w:val="0"/>
              <w:spacing w:before="0" w:after="283"/>
              <w:jc w:val="right"/>
              <w:rPr/>
            </w:pPr>
            <w:r>
              <w:rPr/>
              <w:t> </w:t>
            </w:r>
          </w:p>
        </w:tc>
        <w:tc>
          <w:tcPr>
            <w:tcW w:w="97"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right"/>
              <w:rPr/>
            </w:pPr>
            <w:r>
              <w:rPr/>
              <w:t> </w:t>
            </w:r>
          </w:p>
        </w:tc>
        <w:tc>
          <w:tcPr>
            <w:tcW w:w="267" w:type="dxa"/>
            <w:tcBorders/>
            <w:shd w:fill="CCEEFF" w:val="clear"/>
            <w:vAlign w:val="bottom"/>
          </w:tcPr>
          <w:p>
            <w:pPr>
              <w:pStyle w:val="TableContents"/>
              <w:bidi w:val="0"/>
              <w:spacing w:before="0" w:after="283"/>
              <w:jc w:val="left"/>
              <w:rPr/>
            </w:pPr>
            <w:r>
              <w:rPr/>
              <w:t> </w:t>
            </w:r>
          </w:p>
        </w:tc>
        <w:tc>
          <w:tcPr>
            <w:tcW w:w="930" w:type="dxa"/>
            <w:tcBorders/>
            <w:shd w:fill="CCEEFF" w:val="clear"/>
            <w:vAlign w:val="bottom"/>
          </w:tcPr>
          <w:p>
            <w:pPr>
              <w:pStyle w:val="TableContents"/>
              <w:bidi w:val="0"/>
              <w:spacing w:before="0" w:after="283"/>
              <w:jc w:val="right"/>
              <w:rPr/>
            </w:pPr>
            <w:r>
              <w:rPr/>
              <w:t> </w:t>
            </w:r>
          </w:p>
        </w:tc>
        <w:tc>
          <w:tcPr>
            <w:tcW w:w="84" w:type="dxa"/>
            <w:tcBorders/>
            <w:shd w:fill="CCEEFF" w:val="clear"/>
            <w:vAlign w:val="bottom"/>
          </w:tcPr>
          <w:p>
            <w:pPr>
              <w:pStyle w:val="TableContents"/>
              <w:bidi w:val="0"/>
              <w:spacing w:before="0" w:after="283"/>
              <w:jc w:val="left"/>
              <w:rPr/>
            </w:pPr>
            <w:r>
              <w:rPr/>
              <w:t> </w:t>
            </w:r>
          </w:p>
        </w:tc>
      </w:tr>
      <w:tr>
        <w:trPr/>
        <w:tc>
          <w:tcPr>
            <w:tcW w:w="5285" w:type="dxa"/>
            <w:tcBorders/>
            <w:vAlign w:val="bottom"/>
          </w:tcPr>
          <w:p>
            <w:pPr>
              <w:pStyle w:val="TableContents"/>
              <w:bidi w:val="0"/>
              <w:spacing w:before="0" w:after="0"/>
              <w:ind w:left="180" w:right="0" w:hanging="180"/>
              <w:jc w:val="both"/>
              <w:rPr>
                <w:sz w:val="20"/>
              </w:rPr>
            </w:pPr>
            <w:r>
              <w:rPr>
                <w:sz w:val="20"/>
              </w:rPr>
              <w:t>Public Warrants</w:t>
            </w:r>
          </w:p>
        </w:tc>
        <w:tc>
          <w:tcPr>
            <w:tcW w:w="60" w:type="dxa"/>
            <w:tcBorders/>
            <w:vAlign w:val="bottom"/>
          </w:tcPr>
          <w:p>
            <w:pPr>
              <w:pStyle w:val="TableContents"/>
              <w:bidi w:val="0"/>
              <w:spacing w:before="0" w:after="283"/>
              <w:jc w:val="left"/>
              <w:rPr/>
            </w:pPr>
            <w:r>
              <w:rPr/>
              <w:t> </w:t>
            </w:r>
          </w:p>
        </w:tc>
        <w:tc>
          <w:tcPr>
            <w:tcW w:w="976" w:type="dxa"/>
            <w:tcBorders/>
            <w:vAlign w:val="bottom"/>
          </w:tcPr>
          <w:p>
            <w:pPr>
              <w:pStyle w:val="TableContents"/>
              <w:bidi w:val="0"/>
              <w:spacing w:before="0" w:after="0"/>
              <w:ind w:left="0" w:right="15" w:hanging="0"/>
              <w:jc w:val="right"/>
              <w:rPr>
                <w:sz w:val="20"/>
              </w:rPr>
            </w:pPr>
            <w:r>
              <w:rPr>
                <w:sz w:val="20"/>
              </w:rPr>
              <w:t>Level 1</w:t>
            </w:r>
          </w:p>
        </w:tc>
        <w:tc>
          <w:tcPr>
            <w:tcW w:w="60" w:type="dxa"/>
            <w:tcBorders/>
            <w:vAlign w:val="bottom"/>
          </w:tcPr>
          <w:p>
            <w:pPr>
              <w:pStyle w:val="TableContents"/>
              <w:bidi w:val="0"/>
              <w:spacing w:before="0" w:after="283"/>
              <w:jc w:val="right"/>
              <w:rPr/>
            </w:pPr>
            <w:r>
              <w:rPr/>
              <w:t> </w:t>
            </w:r>
          </w:p>
        </w:tc>
        <w:tc>
          <w:tcPr>
            <w:tcW w:w="238" w:type="dxa"/>
            <w:tcBorders/>
            <w:vAlign w:val="bottom"/>
          </w:tcPr>
          <w:p>
            <w:pPr>
              <w:pStyle w:val="TableContents"/>
              <w:bidi w:val="0"/>
              <w:spacing w:before="0" w:after="0"/>
              <w:jc w:val="left"/>
              <w:rPr>
                <w:sz w:val="20"/>
              </w:rPr>
            </w:pPr>
            <w:r>
              <w:rPr>
                <w:sz w:val="20"/>
              </w:rPr>
              <w:t>$</w:t>
            </w:r>
          </w:p>
        </w:tc>
        <w:tc>
          <w:tcPr>
            <w:tcW w:w="965" w:type="dxa"/>
            <w:tcBorders/>
            <w:vAlign w:val="bottom"/>
          </w:tcPr>
          <w:p>
            <w:pPr>
              <w:pStyle w:val="TableContents"/>
              <w:bidi w:val="0"/>
              <w:spacing w:before="0" w:after="0"/>
              <w:jc w:val="right"/>
              <w:rPr>
                <w:sz w:val="20"/>
              </w:rPr>
            </w:pPr>
            <w:r>
              <w:rPr>
                <w:sz w:val="20"/>
              </w:rPr>
              <w:t>(3,734</w:t>
            </w:r>
          </w:p>
        </w:tc>
        <w:tc>
          <w:tcPr>
            <w:tcW w:w="97" w:type="dxa"/>
            <w:tcBorders/>
            <w:vAlign w:val="bottom"/>
          </w:tcPr>
          <w:p>
            <w:pPr>
              <w:pStyle w:val="TableContents"/>
              <w:bidi w:val="0"/>
              <w:spacing w:before="0" w:after="0"/>
              <w:jc w:val="left"/>
              <w:rPr>
                <w:sz w:val="20"/>
              </w:rPr>
            </w:pPr>
            <w:r>
              <w:rPr>
                <w:sz w:val="20"/>
              </w:rPr>
              <w:t>)</w:t>
            </w:r>
          </w:p>
        </w:tc>
        <w:tc>
          <w:tcPr>
            <w:tcW w:w="73" w:type="dxa"/>
            <w:tcBorders/>
            <w:vAlign w:val="bottom"/>
          </w:tcPr>
          <w:p>
            <w:pPr>
              <w:pStyle w:val="TableContents"/>
              <w:bidi w:val="0"/>
              <w:spacing w:before="0" w:after="283"/>
              <w:jc w:val="right"/>
              <w:rPr/>
            </w:pPr>
            <w:r>
              <w:rPr/>
              <w:t> </w:t>
            </w:r>
          </w:p>
        </w:tc>
        <w:tc>
          <w:tcPr>
            <w:tcW w:w="267" w:type="dxa"/>
            <w:tcBorders/>
            <w:vAlign w:val="bottom"/>
          </w:tcPr>
          <w:p>
            <w:pPr>
              <w:pStyle w:val="TableContents"/>
              <w:bidi w:val="0"/>
              <w:spacing w:before="0" w:after="0"/>
              <w:jc w:val="left"/>
              <w:rPr>
                <w:sz w:val="20"/>
              </w:rPr>
            </w:pPr>
            <w:r>
              <w:rPr>
                <w:sz w:val="20"/>
              </w:rPr>
              <w:t>$</w:t>
            </w:r>
          </w:p>
        </w:tc>
        <w:tc>
          <w:tcPr>
            <w:tcW w:w="930" w:type="dxa"/>
            <w:tcBorders/>
            <w:vAlign w:val="bottom"/>
          </w:tcPr>
          <w:p>
            <w:pPr>
              <w:pStyle w:val="TableContents"/>
              <w:bidi w:val="0"/>
              <w:spacing w:before="0" w:after="0"/>
              <w:jc w:val="right"/>
              <w:rPr>
                <w:sz w:val="20"/>
              </w:rPr>
            </w:pPr>
            <w:r>
              <w:rPr>
                <w:sz w:val="20"/>
              </w:rPr>
              <w:t>(2,856</w:t>
            </w:r>
          </w:p>
        </w:tc>
        <w:tc>
          <w:tcPr>
            <w:tcW w:w="84" w:type="dxa"/>
            <w:tcBorders/>
            <w:vAlign w:val="bottom"/>
          </w:tcPr>
          <w:p>
            <w:pPr>
              <w:pStyle w:val="TableContents"/>
              <w:bidi w:val="0"/>
              <w:spacing w:before="0" w:after="0"/>
              <w:jc w:val="left"/>
              <w:rPr>
                <w:sz w:val="20"/>
              </w:rPr>
            </w:pPr>
            <w:r>
              <w:rPr>
                <w:sz w:val="20"/>
              </w:rPr>
              <w:t>)</w:t>
            </w:r>
          </w:p>
        </w:tc>
      </w:tr>
      <w:tr>
        <w:trPr/>
        <w:tc>
          <w:tcPr>
            <w:tcW w:w="5285" w:type="dxa"/>
            <w:tcBorders/>
            <w:shd w:fill="CCEEFF" w:val="clear"/>
            <w:vAlign w:val="bottom"/>
          </w:tcPr>
          <w:p>
            <w:pPr>
              <w:pStyle w:val="TableContents"/>
              <w:bidi w:val="0"/>
              <w:spacing w:before="0" w:after="0"/>
              <w:ind w:left="180" w:right="0" w:hanging="180"/>
              <w:jc w:val="both"/>
              <w:rPr>
                <w:sz w:val="20"/>
              </w:rPr>
            </w:pPr>
            <w:r>
              <w:rPr>
                <w:sz w:val="20"/>
              </w:rPr>
              <w:t>Private Warrants</w:t>
            </w:r>
          </w:p>
        </w:tc>
        <w:tc>
          <w:tcPr>
            <w:tcW w:w="60" w:type="dxa"/>
            <w:tcBorders/>
            <w:shd w:fill="CCEEFF" w:val="clear"/>
            <w:vAlign w:val="bottom"/>
          </w:tcPr>
          <w:p>
            <w:pPr>
              <w:pStyle w:val="TableContents"/>
              <w:bidi w:val="0"/>
              <w:spacing w:before="0" w:after="283"/>
              <w:jc w:val="left"/>
              <w:rPr/>
            </w:pPr>
            <w:r>
              <w:rPr/>
              <w:t> </w:t>
            </w:r>
          </w:p>
        </w:tc>
        <w:tc>
          <w:tcPr>
            <w:tcW w:w="976" w:type="dxa"/>
            <w:tcBorders/>
            <w:shd w:fill="CCEEFF" w:val="clear"/>
            <w:vAlign w:val="bottom"/>
          </w:tcPr>
          <w:p>
            <w:pPr>
              <w:pStyle w:val="TableContents"/>
              <w:bidi w:val="0"/>
              <w:spacing w:before="0" w:after="0"/>
              <w:ind w:left="0" w:right="15" w:hanging="0"/>
              <w:jc w:val="right"/>
              <w:rPr>
                <w:sz w:val="20"/>
              </w:rPr>
            </w:pPr>
            <w:r>
              <w:rPr>
                <w:sz w:val="20"/>
              </w:rPr>
              <w:t>Level 3</w:t>
            </w:r>
          </w:p>
        </w:tc>
        <w:tc>
          <w:tcPr>
            <w:tcW w:w="60" w:type="dxa"/>
            <w:tcBorders/>
            <w:shd w:fill="CCEEFF" w:val="clear"/>
            <w:vAlign w:val="bottom"/>
          </w:tcPr>
          <w:p>
            <w:pPr>
              <w:pStyle w:val="TableContents"/>
              <w:bidi w:val="0"/>
              <w:spacing w:before="0" w:after="283"/>
              <w:jc w:val="right"/>
              <w:rPr/>
            </w:pPr>
            <w:r>
              <w:rPr/>
              <w:t> </w:t>
            </w:r>
          </w:p>
        </w:tc>
        <w:tc>
          <w:tcPr>
            <w:tcW w:w="238" w:type="dxa"/>
            <w:tcBorders/>
            <w:shd w:fill="CCEEFF" w:val="clear"/>
            <w:vAlign w:val="bottom"/>
          </w:tcPr>
          <w:p>
            <w:pPr>
              <w:pStyle w:val="TableContents"/>
              <w:bidi w:val="0"/>
              <w:spacing w:before="0" w:after="0"/>
              <w:jc w:val="left"/>
              <w:rPr>
                <w:sz w:val="20"/>
              </w:rPr>
            </w:pPr>
            <w:r>
              <w:rPr>
                <w:sz w:val="20"/>
              </w:rPr>
              <w:t>$</w:t>
            </w:r>
          </w:p>
        </w:tc>
        <w:tc>
          <w:tcPr>
            <w:tcW w:w="965" w:type="dxa"/>
            <w:tcBorders/>
            <w:shd w:fill="CCEEFF" w:val="clear"/>
            <w:vAlign w:val="bottom"/>
          </w:tcPr>
          <w:p>
            <w:pPr>
              <w:pStyle w:val="TableContents"/>
              <w:bidi w:val="0"/>
              <w:spacing w:before="0" w:after="0"/>
              <w:jc w:val="right"/>
              <w:rPr>
                <w:sz w:val="20"/>
              </w:rPr>
            </w:pPr>
            <w:r>
              <w:rPr>
                <w:sz w:val="20"/>
              </w:rPr>
              <w:t>(2,289</w:t>
            </w:r>
          </w:p>
        </w:tc>
        <w:tc>
          <w:tcPr>
            <w:tcW w:w="97" w:type="dxa"/>
            <w:tcBorders/>
            <w:shd w:fill="CCEEFF" w:val="clear"/>
            <w:vAlign w:val="bottom"/>
          </w:tcPr>
          <w:p>
            <w:pPr>
              <w:pStyle w:val="TableContents"/>
              <w:bidi w:val="0"/>
              <w:spacing w:before="0" w:after="0"/>
              <w:jc w:val="left"/>
              <w:rPr>
                <w:sz w:val="20"/>
              </w:rPr>
            </w:pPr>
            <w:r>
              <w:rPr>
                <w:sz w:val="20"/>
              </w:rPr>
              <w:t>)</w:t>
            </w:r>
          </w:p>
        </w:tc>
        <w:tc>
          <w:tcPr>
            <w:tcW w:w="73" w:type="dxa"/>
            <w:tcBorders/>
            <w:shd w:fill="CCEEFF" w:val="clear"/>
            <w:vAlign w:val="bottom"/>
          </w:tcPr>
          <w:p>
            <w:pPr>
              <w:pStyle w:val="TableContents"/>
              <w:bidi w:val="0"/>
              <w:spacing w:before="0" w:after="283"/>
              <w:jc w:val="right"/>
              <w:rPr/>
            </w:pPr>
            <w:r>
              <w:rPr/>
              <w:t> </w:t>
            </w:r>
          </w:p>
        </w:tc>
        <w:tc>
          <w:tcPr>
            <w:tcW w:w="267" w:type="dxa"/>
            <w:tcBorders/>
            <w:shd w:fill="CCEEFF" w:val="clear"/>
            <w:vAlign w:val="bottom"/>
          </w:tcPr>
          <w:p>
            <w:pPr>
              <w:pStyle w:val="TableContents"/>
              <w:bidi w:val="0"/>
              <w:spacing w:before="0" w:after="0"/>
              <w:jc w:val="left"/>
              <w:rPr>
                <w:sz w:val="20"/>
              </w:rPr>
            </w:pPr>
            <w:r>
              <w:rPr>
                <w:sz w:val="20"/>
              </w:rPr>
              <w:t>$</w:t>
            </w:r>
          </w:p>
        </w:tc>
        <w:tc>
          <w:tcPr>
            <w:tcW w:w="930" w:type="dxa"/>
            <w:tcBorders/>
            <w:shd w:fill="CCEEFF" w:val="clear"/>
            <w:vAlign w:val="bottom"/>
          </w:tcPr>
          <w:p>
            <w:pPr>
              <w:pStyle w:val="TableContents"/>
              <w:bidi w:val="0"/>
              <w:spacing w:before="0" w:after="0"/>
              <w:jc w:val="right"/>
              <w:rPr>
                <w:sz w:val="20"/>
              </w:rPr>
            </w:pPr>
            <w:r>
              <w:rPr>
                <w:sz w:val="20"/>
              </w:rPr>
              <w:t>(3,900</w:t>
            </w:r>
          </w:p>
        </w:tc>
        <w:tc>
          <w:tcPr>
            <w:tcW w:w="84" w:type="dxa"/>
            <w:tcBorders/>
            <w:shd w:fill="CCEEFF" w:val="clear"/>
            <w:vAlign w:val="bottom"/>
          </w:tcPr>
          <w:p>
            <w:pPr>
              <w:pStyle w:val="TableContents"/>
              <w:bidi w:val="0"/>
              <w:spacing w:before="0" w:after="0"/>
              <w:jc w:val="left"/>
              <w:rPr>
                <w:sz w:val="20"/>
              </w:rPr>
            </w:pPr>
            <w:r>
              <w:rPr>
                <w:sz w:val="20"/>
              </w:rPr>
              <w:t>)</w:t>
            </w:r>
          </w:p>
        </w:tc>
      </w:tr>
      <w:tr>
        <w:trPr/>
        <w:tc>
          <w:tcPr>
            <w:tcW w:w="5285" w:type="dxa"/>
            <w:tcBorders/>
            <w:vAlign w:val="bottom"/>
          </w:tcPr>
          <w:p>
            <w:pPr>
              <w:pStyle w:val="TableContents"/>
              <w:bidi w:val="0"/>
              <w:spacing w:before="0" w:after="0"/>
              <w:ind w:left="180" w:right="0" w:hanging="180"/>
              <w:jc w:val="both"/>
              <w:rPr>
                <w:sz w:val="20"/>
                <w:u w:val="single"/>
              </w:rPr>
            </w:pPr>
            <w:r>
              <w:rPr>
                <w:sz w:val="20"/>
                <w:u w:val="single"/>
              </w:rPr>
              <w:t>Derivative instruments liability:</w:t>
            </w:r>
          </w:p>
        </w:tc>
        <w:tc>
          <w:tcPr>
            <w:tcW w:w="60" w:type="dxa"/>
            <w:tcBorders/>
            <w:vAlign w:val="bottom"/>
          </w:tcPr>
          <w:p>
            <w:pPr>
              <w:pStyle w:val="TableContents"/>
              <w:bidi w:val="0"/>
              <w:spacing w:before="0" w:after="283"/>
              <w:jc w:val="left"/>
              <w:rPr/>
            </w:pPr>
            <w:r>
              <w:rPr/>
              <w:t> </w:t>
            </w:r>
          </w:p>
        </w:tc>
        <w:tc>
          <w:tcPr>
            <w:tcW w:w="97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38" w:type="dxa"/>
            <w:tcBorders/>
            <w:vAlign w:val="bottom"/>
          </w:tcPr>
          <w:p>
            <w:pPr>
              <w:pStyle w:val="TableContents"/>
              <w:bidi w:val="0"/>
              <w:spacing w:before="0" w:after="283"/>
              <w:jc w:val="left"/>
              <w:rPr/>
            </w:pPr>
            <w:r>
              <w:rPr/>
              <w:t> </w:t>
            </w:r>
          </w:p>
        </w:tc>
        <w:tc>
          <w:tcPr>
            <w:tcW w:w="965" w:type="dxa"/>
            <w:tcBorders/>
            <w:vAlign w:val="bottom"/>
          </w:tcPr>
          <w:p>
            <w:pPr>
              <w:pStyle w:val="TableContents"/>
              <w:bidi w:val="0"/>
              <w:spacing w:before="0" w:after="283"/>
              <w:jc w:val="right"/>
              <w:rPr/>
            </w:pPr>
            <w:r>
              <w:rPr/>
              <w:t> </w:t>
            </w:r>
          </w:p>
        </w:tc>
        <w:tc>
          <w:tcPr>
            <w:tcW w:w="97"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right"/>
              <w:rPr/>
            </w:pPr>
            <w:r>
              <w:rPr/>
              <w:t> </w:t>
            </w:r>
          </w:p>
        </w:tc>
        <w:tc>
          <w:tcPr>
            <w:tcW w:w="267" w:type="dxa"/>
            <w:tcBorders/>
            <w:vAlign w:val="bottom"/>
          </w:tcPr>
          <w:p>
            <w:pPr>
              <w:pStyle w:val="TableContents"/>
              <w:bidi w:val="0"/>
              <w:spacing w:before="0" w:after="283"/>
              <w:jc w:val="left"/>
              <w:rPr/>
            </w:pPr>
            <w:r>
              <w:rPr/>
              <w:t> </w:t>
            </w:r>
          </w:p>
        </w:tc>
        <w:tc>
          <w:tcPr>
            <w:tcW w:w="930" w:type="dxa"/>
            <w:tcBorders/>
            <w:vAlign w:val="bottom"/>
          </w:tcPr>
          <w:p>
            <w:pPr>
              <w:pStyle w:val="TableContents"/>
              <w:bidi w:val="0"/>
              <w:spacing w:before="0" w:after="283"/>
              <w:jc w:val="right"/>
              <w:rPr/>
            </w:pPr>
            <w:r>
              <w:rPr/>
              <w:t> </w:t>
            </w:r>
          </w:p>
        </w:tc>
        <w:tc>
          <w:tcPr>
            <w:tcW w:w="84" w:type="dxa"/>
            <w:tcBorders/>
            <w:vAlign w:val="bottom"/>
          </w:tcPr>
          <w:p>
            <w:pPr>
              <w:pStyle w:val="TableContents"/>
              <w:bidi w:val="0"/>
              <w:spacing w:before="0" w:after="283"/>
              <w:jc w:val="left"/>
              <w:rPr/>
            </w:pPr>
            <w:r>
              <w:rPr/>
              <w:t> </w:t>
            </w:r>
          </w:p>
        </w:tc>
      </w:tr>
      <w:tr>
        <w:trPr/>
        <w:tc>
          <w:tcPr>
            <w:tcW w:w="5285" w:type="dxa"/>
            <w:tcBorders/>
            <w:shd w:fill="CCEEFF" w:val="clear"/>
            <w:vAlign w:val="bottom"/>
          </w:tcPr>
          <w:p>
            <w:pPr>
              <w:pStyle w:val="TableContents"/>
              <w:bidi w:val="0"/>
              <w:spacing w:before="0" w:after="0"/>
              <w:ind w:left="180" w:right="0" w:hanging="180"/>
              <w:jc w:val="both"/>
              <w:rPr>
                <w:sz w:val="20"/>
              </w:rPr>
            </w:pPr>
            <w:r>
              <w:rPr>
                <w:sz w:val="20"/>
              </w:rPr>
              <w:t>Derivative instruments designated as cash flow hedging instruments</w:t>
            </w:r>
          </w:p>
        </w:tc>
        <w:tc>
          <w:tcPr>
            <w:tcW w:w="60" w:type="dxa"/>
            <w:tcBorders/>
            <w:shd w:fill="CCEEFF" w:val="clear"/>
            <w:vAlign w:val="bottom"/>
          </w:tcPr>
          <w:p>
            <w:pPr>
              <w:pStyle w:val="TableContents"/>
              <w:bidi w:val="0"/>
              <w:spacing w:before="0" w:after="283"/>
              <w:jc w:val="left"/>
              <w:rPr/>
            </w:pPr>
            <w:r>
              <w:rPr/>
              <w:t> </w:t>
            </w:r>
          </w:p>
        </w:tc>
        <w:tc>
          <w:tcPr>
            <w:tcW w:w="976" w:type="dxa"/>
            <w:tcBorders/>
            <w:shd w:fill="CCEEFF" w:val="clear"/>
            <w:vAlign w:val="bottom"/>
          </w:tcPr>
          <w:p>
            <w:pPr>
              <w:pStyle w:val="TableContents"/>
              <w:bidi w:val="0"/>
              <w:spacing w:before="0" w:after="0"/>
              <w:ind w:left="0" w:right="15" w:hanging="0"/>
              <w:jc w:val="right"/>
              <w:rPr>
                <w:sz w:val="20"/>
              </w:rPr>
            </w:pPr>
            <w:r>
              <w:rPr>
                <w:sz w:val="20"/>
              </w:rPr>
              <w:t>Level 2</w:t>
            </w:r>
          </w:p>
        </w:tc>
        <w:tc>
          <w:tcPr>
            <w:tcW w:w="60" w:type="dxa"/>
            <w:tcBorders/>
            <w:shd w:fill="CCEEFF" w:val="clear"/>
            <w:vAlign w:val="bottom"/>
          </w:tcPr>
          <w:p>
            <w:pPr>
              <w:pStyle w:val="TableContents"/>
              <w:bidi w:val="0"/>
              <w:spacing w:before="0" w:after="283"/>
              <w:jc w:val="right"/>
              <w:rPr/>
            </w:pPr>
            <w:r>
              <w:rPr/>
              <w:t> </w:t>
            </w:r>
          </w:p>
        </w:tc>
        <w:tc>
          <w:tcPr>
            <w:tcW w:w="238" w:type="dxa"/>
            <w:tcBorders/>
            <w:shd w:fill="CCEEFF" w:val="clear"/>
            <w:vAlign w:val="bottom"/>
          </w:tcPr>
          <w:p>
            <w:pPr>
              <w:pStyle w:val="TableContents"/>
              <w:bidi w:val="0"/>
              <w:spacing w:before="0" w:after="0"/>
              <w:jc w:val="left"/>
              <w:rPr>
                <w:sz w:val="20"/>
              </w:rPr>
            </w:pPr>
            <w:r>
              <w:rPr>
                <w:sz w:val="20"/>
              </w:rPr>
              <w:t>$</w:t>
            </w:r>
          </w:p>
        </w:tc>
        <w:tc>
          <w:tcPr>
            <w:tcW w:w="965" w:type="dxa"/>
            <w:tcBorders/>
            <w:shd w:fill="CCEEFF" w:val="clear"/>
            <w:vAlign w:val="bottom"/>
          </w:tcPr>
          <w:p>
            <w:pPr>
              <w:pStyle w:val="TableContents"/>
              <w:bidi w:val="0"/>
              <w:spacing w:before="0" w:after="0"/>
              <w:jc w:val="right"/>
              <w:rPr>
                <w:sz w:val="20"/>
              </w:rPr>
            </w:pPr>
            <w:r>
              <w:rPr>
                <w:sz w:val="20"/>
              </w:rPr>
              <w:t>(200</w:t>
            </w:r>
          </w:p>
        </w:tc>
        <w:tc>
          <w:tcPr>
            <w:tcW w:w="97" w:type="dxa"/>
            <w:tcBorders/>
            <w:shd w:fill="CCEEFF" w:val="clear"/>
            <w:vAlign w:val="bottom"/>
          </w:tcPr>
          <w:p>
            <w:pPr>
              <w:pStyle w:val="TableContents"/>
              <w:bidi w:val="0"/>
              <w:spacing w:before="0" w:after="0"/>
              <w:jc w:val="left"/>
              <w:rPr>
                <w:sz w:val="20"/>
              </w:rPr>
            </w:pPr>
            <w:r>
              <w:rPr>
                <w:sz w:val="20"/>
              </w:rPr>
              <w:t>)</w:t>
            </w:r>
          </w:p>
        </w:tc>
        <w:tc>
          <w:tcPr>
            <w:tcW w:w="73" w:type="dxa"/>
            <w:tcBorders/>
            <w:shd w:fill="CCEEFF" w:val="clear"/>
            <w:vAlign w:val="bottom"/>
          </w:tcPr>
          <w:p>
            <w:pPr>
              <w:pStyle w:val="TableContents"/>
              <w:bidi w:val="0"/>
              <w:spacing w:before="0" w:after="283"/>
              <w:jc w:val="right"/>
              <w:rPr/>
            </w:pPr>
            <w:r>
              <w:rPr/>
              <w:t> </w:t>
            </w:r>
          </w:p>
        </w:tc>
        <w:tc>
          <w:tcPr>
            <w:tcW w:w="267" w:type="dxa"/>
            <w:tcBorders/>
            <w:shd w:fill="CCEEFF" w:val="clear"/>
            <w:vAlign w:val="bottom"/>
          </w:tcPr>
          <w:p>
            <w:pPr>
              <w:pStyle w:val="TableContents"/>
              <w:bidi w:val="0"/>
              <w:spacing w:before="0" w:after="0"/>
              <w:jc w:val="left"/>
              <w:rPr>
                <w:sz w:val="20"/>
              </w:rPr>
            </w:pPr>
            <w:r>
              <w:rPr>
                <w:sz w:val="20"/>
              </w:rPr>
              <w:t>$</w:t>
            </w:r>
          </w:p>
        </w:tc>
        <w:tc>
          <w:tcPr>
            <w:tcW w:w="930" w:type="dxa"/>
            <w:tcBorders/>
            <w:shd w:fill="CCEEFF" w:val="clear"/>
            <w:vAlign w:val="bottom"/>
          </w:tcPr>
          <w:p>
            <w:pPr>
              <w:pStyle w:val="TableContents"/>
              <w:bidi w:val="0"/>
              <w:spacing w:before="0" w:after="0"/>
              <w:jc w:val="right"/>
              <w:rPr>
                <w:sz w:val="20"/>
              </w:rPr>
            </w:pPr>
            <w:r>
              <w:rPr>
                <w:sz w:val="20"/>
              </w:rPr>
              <w:t>(313</w:t>
            </w:r>
          </w:p>
        </w:tc>
        <w:tc>
          <w:tcPr>
            <w:tcW w:w="84" w:type="dxa"/>
            <w:tcBorders/>
            <w:shd w:fill="CCEEFF" w:val="clear"/>
            <w:vAlign w:val="bottom"/>
          </w:tcPr>
          <w:p>
            <w:pPr>
              <w:pStyle w:val="TableContents"/>
              <w:bidi w:val="0"/>
              <w:spacing w:before="0" w:after="0"/>
              <w:jc w:val="left"/>
              <w:rPr>
                <w:sz w:val="20"/>
              </w:rPr>
            </w:pPr>
            <w:r>
              <w:rPr>
                <w:sz w:val="20"/>
              </w:rPr>
              <w:t>)</w:t>
            </w:r>
          </w:p>
        </w:tc>
      </w:tr>
    </w:tbl>
    <w:p>
      <w:pPr>
        <w:pStyle w:val="TextBody"/>
        <w:bidi w:val="0"/>
        <w:spacing w:before="0" w:after="0"/>
        <w:ind w:left="1170" w:right="0" w:hanging="0"/>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14</w:t>
      </w:r>
    </w:p>
    <w:p>
      <w:pPr>
        <w:pStyle w:val="HorizontalLine"/>
        <w:bidi w:val="0"/>
        <w:spacing w:before="200" w:after="200"/>
        <w:jc w:val="left"/>
        <w:rPr/>
      </w:pPr>
      <w:r>
        <w:rPr/>
      </w:r>
    </w:p>
    <w:p>
      <w:pPr>
        <w:pStyle w:val="TextBody"/>
        <w:bidi w:val="0"/>
        <w:spacing w:before="200" w:after="200"/>
        <w:jc w:val="left"/>
        <w:rPr/>
      </w:pPr>
      <w:hyperlink w:anchor="Contents">
        <w:r>
          <w:rPr>
            <w:rStyle w:val="InternetLink"/>
            <w:rFonts w:ascii="Times New Roman" w:hAnsi="Times New Roman"/>
            <w:i/>
            <w:color w:val="000000"/>
            <w:sz w:val="16"/>
            <w:shd w:fill="FFFFFF" w:val="clear"/>
          </w:rPr>
          <w:t>Table of Contents</w:t>
        </w:r>
      </w:hyperlink>
    </w:p>
    <w:p>
      <w:pPr>
        <w:pStyle w:val="TextBody"/>
        <w:bidi w:val="0"/>
        <w:spacing w:before="200" w:after="200"/>
        <w:jc w:val="right"/>
        <w:rPr>
          <w:rFonts w:ascii="Times New Roman" w:hAnsi="Times New Roman"/>
          <w:b/>
          <w:color w:val="000000"/>
          <w:sz w:val="18"/>
          <w:bdr w:val="single" w:sz="12" w:space="1" w:color="000000"/>
          <w:shd w:fill="FFFFFF" w:val="clear"/>
        </w:rPr>
      </w:pPr>
      <w:r>
        <w:rPr>
          <w:rFonts w:ascii="Times New Roman" w:hAnsi="Times New Roman"/>
          <w:b/>
          <w:color w:val="000000"/>
          <w:sz w:val="18"/>
          <w:bdr w:val="single" w:sz="12" w:space="1" w:color="000000"/>
          <w:shd w:fill="FFFFFF" w:val="clear"/>
        </w:rPr>
        <w:t>TABOOLA.COM LTD.</w:t>
      </w:r>
    </w:p>
    <w:p>
      <w:pPr>
        <w:pStyle w:val="TextBody"/>
        <w:bidi w:val="0"/>
        <w:spacing w:before="200" w:after="200"/>
        <w:jc w:val="right"/>
        <w:rPr>
          <w:b/>
        </w:rPr>
      </w:pPr>
      <w:r>
        <w:rPr>
          <w:b/>
        </w:rPr>
      </w:r>
    </w:p>
    <w:p>
      <w:pPr>
        <w:pStyle w:val="TextBody"/>
        <w:bidi w:val="0"/>
        <w:spacing w:before="200" w:after="200"/>
        <w:jc w:val="left"/>
        <w:rPr>
          <w:rFonts w:ascii="Times New Roman" w:hAnsi="Times New Roman"/>
          <w:b/>
          <w:color w:val="000000"/>
          <w:sz w:val="18"/>
          <w:bdr w:val="single" w:sz="12" w:space="1" w:color="000000"/>
          <w:shd w:fill="FFFFFF" w:val="clear"/>
        </w:rPr>
      </w:pPr>
      <w:r>
        <w:rPr>
          <w:rFonts w:ascii="Times New Roman" w:hAnsi="Times New Roman"/>
          <w:b/>
          <w:color w:val="000000"/>
          <w:sz w:val="18"/>
          <w:bdr w:val="single" w:sz="12" w:space="1" w:color="000000"/>
          <w:shd w:fill="FFFFFF" w:val="clear"/>
        </w:rPr>
        <w:t>NOTES TO THE CONSOLIDATED INTERIM FINANCIAL STATEMENTS</w:t>
      </w:r>
    </w:p>
    <w:p>
      <w:pPr>
        <w:pStyle w:val="TextBody"/>
        <w:bidi w:val="0"/>
        <w:spacing w:before="200" w:after="200"/>
        <w:jc w:val="left"/>
        <w:rPr>
          <w:rFonts w:ascii="Times New Roman" w:hAnsi="Times New Roman"/>
          <w:b/>
          <w:color w:val="000000"/>
          <w:sz w:val="18"/>
          <w:shd w:fill="FFFFFF" w:val="clear"/>
        </w:rPr>
      </w:pPr>
      <w:r>
        <w:rPr>
          <w:rFonts w:ascii="Times New Roman" w:hAnsi="Times New Roman"/>
          <w:b/>
          <w:color w:val="000000"/>
          <w:sz w:val="18"/>
          <w:shd w:fill="FFFFFF" w:val="clear"/>
        </w:rPr>
        <w:t>U.S. dollars in thousands, except share and per share data</w:t>
      </w:r>
    </w:p>
    <w:tbl>
      <w:tblPr>
        <w:tblW w:w="4390" w:type="dxa"/>
        <w:jc w:val="left"/>
        <w:tblInd w:w="0" w:type="dxa"/>
        <w:tblLayout w:type="fixed"/>
        <w:tblCellMar>
          <w:top w:w="0" w:type="dxa"/>
          <w:left w:w="0" w:type="dxa"/>
          <w:bottom w:w="0" w:type="dxa"/>
          <w:right w:w="0" w:type="dxa"/>
        </w:tblCellMar>
      </w:tblPr>
      <w:tblGrid>
        <w:gridCol w:w="860"/>
        <w:gridCol w:w="3530"/>
      </w:tblGrid>
      <w:tr>
        <w:trPr/>
        <w:tc>
          <w:tcPr>
            <w:tcW w:w="860" w:type="dxa"/>
            <w:tcBorders/>
            <w:vAlign w:val="center"/>
          </w:tcPr>
          <w:p>
            <w:pPr>
              <w:pStyle w:val="TableContents"/>
              <w:bidi w:val="0"/>
              <w:spacing w:before="0" w:after="283"/>
              <w:jc w:val="left"/>
              <w:rPr>
                <w:rFonts w:ascii="Times New Roman" w:hAnsi="Times New Roman"/>
                <w:b/>
                <w:sz w:val="20"/>
              </w:rPr>
            </w:pPr>
            <w:r>
              <w:rPr>
                <w:rFonts w:ascii="Times New Roman" w:hAnsi="Times New Roman"/>
                <w:b/>
                <w:sz w:val="20"/>
              </w:rPr>
              <w:t>NOTE 4:-</w:t>
            </w:r>
          </w:p>
        </w:tc>
        <w:tc>
          <w:tcPr>
            <w:tcW w:w="3530" w:type="dxa"/>
            <w:tcBorders/>
            <w:vAlign w:val="center"/>
          </w:tcPr>
          <w:p>
            <w:pPr>
              <w:pStyle w:val="TableContents"/>
              <w:bidi w:val="0"/>
              <w:spacing w:before="0" w:after="283"/>
              <w:jc w:val="both"/>
              <w:rPr>
                <w:b/>
                <w:sz w:val="20"/>
              </w:rPr>
            </w:pPr>
            <w:r>
              <w:rPr>
                <w:b/>
                <w:sz w:val="20"/>
              </w:rPr>
              <w:t>FAIR VALUE MEASUREMENTS (Cont.)</w:t>
            </w:r>
          </w:p>
        </w:tc>
      </w:tr>
    </w:tbl>
    <w:p>
      <w:pPr>
        <w:pStyle w:val="TextBody"/>
        <w:bidi w:val="0"/>
        <w:spacing w:before="0" w:after="0"/>
        <w:ind w:left="1170" w:right="0" w:hanging="0"/>
        <w:jc w:val="both"/>
        <w:rPr>
          <w:rFonts w:ascii="Times New Roman" w:hAnsi="Times New Roman"/>
          <w:sz w:val="20"/>
        </w:rPr>
      </w:pPr>
      <w:r>
        <w:rPr>
          <w:rFonts w:ascii="Times New Roman" w:hAnsi="Times New Roman"/>
          <w:sz w:val="20"/>
        </w:rPr>
      </w:r>
    </w:p>
    <w:p>
      <w:pPr>
        <w:pStyle w:val="TextBody"/>
        <w:bidi w:val="0"/>
        <w:spacing w:before="0" w:after="0"/>
        <w:ind w:left="1170" w:right="0" w:hanging="0"/>
        <w:jc w:val="both"/>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The Company classifies its money market accounts and funds as Level 1 based on quoted market prices in active markets.</w:t>
      </w:r>
    </w:p>
    <w:p>
      <w:pPr>
        <w:pStyle w:val="TextBody"/>
        <w:bidi w:val="0"/>
        <w:spacing w:before="0" w:after="0"/>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r>
    </w:p>
    <w:p>
      <w:pPr>
        <w:pStyle w:val="TextBody"/>
        <w:bidi w:val="0"/>
        <w:spacing w:before="0" w:after="0"/>
        <w:ind w:left="1170" w:right="0" w:hanging="0"/>
        <w:jc w:val="both"/>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The Company classifies its U.S. government treasuries, corporate debt securities, commercial paper, U.S. agency bonds and derivative financial instruments within Level 2 as they are valued using inputs other than quoted prices which are directly or indirectly observable in the market, including readily-available pricing sources for the identical underlying security which may not be actively traded.</w:t>
      </w:r>
    </w:p>
    <w:p>
      <w:pPr>
        <w:pStyle w:val="TextBody"/>
        <w:bidi w:val="0"/>
        <w:spacing w:before="0" w:after="0"/>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r>
    </w:p>
    <w:p>
      <w:pPr>
        <w:pStyle w:val="TextBody"/>
        <w:bidi w:val="0"/>
        <w:spacing w:before="0" w:after="0"/>
        <w:ind w:left="1170" w:right="0" w:hanging="0"/>
        <w:jc w:val="both"/>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The Company measures the fair value for Warrants by using a quoted price for the Public Warrants, which are classified as Level 1, and a Black-Scholes simulation model for the Private Warrants, which are classified as Level 3, due to the use of unobservable inputs.</w:t>
      </w:r>
    </w:p>
    <w:p>
      <w:pPr>
        <w:pStyle w:val="TextBody"/>
        <w:bidi w:val="0"/>
        <w:spacing w:before="0" w:after="0"/>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r>
    </w:p>
    <w:p>
      <w:pPr>
        <w:pStyle w:val="TextBody"/>
        <w:bidi w:val="0"/>
        <w:spacing w:before="0" w:after="0"/>
        <w:jc w:val="left"/>
        <w:rPr/>
      </w:pPr>
      <w:r>
        <w:rPr/>
      </w:r>
    </w:p>
    <w:p>
      <w:pPr>
        <w:pStyle w:val="TextBody"/>
        <w:bidi w:val="0"/>
        <w:spacing w:before="0" w:after="0"/>
        <w:ind w:left="1188" w:right="0" w:hanging="17"/>
        <w:jc w:val="left"/>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The key inputs into the Black-Scholes model for the Private Warrants were as follows:</w:t>
      </w:r>
    </w:p>
    <w:p>
      <w:pPr>
        <w:pStyle w:val="TextBody"/>
        <w:bidi w:val="0"/>
        <w:spacing w:before="0" w:after="0"/>
        <w:jc w:val="left"/>
        <w:rPr>
          <w:sz w:val="20"/>
        </w:rPr>
      </w:pPr>
      <w:r>
        <w:rPr>
          <w:sz w:val="20"/>
        </w:rPr>
      </w:r>
    </w:p>
    <w:tbl>
      <w:tblPr>
        <w:tblW w:w="4788" w:type="dxa"/>
        <w:jc w:val="left"/>
        <w:tblInd w:w="1170" w:type="dxa"/>
        <w:tblLayout w:type="fixed"/>
        <w:tblCellMar>
          <w:top w:w="0" w:type="dxa"/>
          <w:left w:w="0" w:type="dxa"/>
          <w:bottom w:w="0" w:type="dxa"/>
          <w:right w:w="0" w:type="dxa"/>
        </w:tblCellMar>
      </w:tblPr>
      <w:tblGrid>
        <w:gridCol w:w="1865"/>
        <w:gridCol w:w="60"/>
        <w:gridCol w:w="129"/>
        <w:gridCol w:w="1090"/>
        <w:gridCol w:w="185"/>
        <w:gridCol w:w="60"/>
        <w:gridCol w:w="128"/>
        <w:gridCol w:w="1086"/>
        <w:gridCol w:w="185"/>
      </w:tblGrid>
      <w:tr>
        <w:trPr/>
        <w:tc>
          <w:tcPr>
            <w:tcW w:w="1865" w:type="dxa"/>
            <w:tcBorders/>
            <w:vAlign w:val="bottom"/>
          </w:tcPr>
          <w:p>
            <w:pPr>
              <w:pStyle w:val="TableContents"/>
              <w:bidi w:val="0"/>
              <w:spacing w:before="0" w:after="0"/>
              <w:jc w:val="both"/>
              <w:rPr>
                <w:b/>
                <w:sz w:val="20"/>
                <w:u w:val="single"/>
              </w:rPr>
            </w:pPr>
            <w:r>
              <w:rPr>
                <w:b/>
                <w:sz w:val="20"/>
                <w:u w:val="single"/>
              </w:rPr>
              <w:t>Input</w:t>
            </w:r>
          </w:p>
        </w:tc>
        <w:tc>
          <w:tcPr>
            <w:tcW w:w="60" w:type="dxa"/>
            <w:tcBorders/>
            <w:vAlign w:val="bottom"/>
          </w:tcPr>
          <w:p>
            <w:pPr>
              <w:pStyle w:val="TableContents"/>
              <w:bidi w:val="0"/>
              <w:spacing w:before="0" w:after="283"/>
              <w:jc w:val="left"/>
              <w:rPr/>
            </w:pPr>
            <w:r>
              <w:rPr/>
              <w:t> </w:t>
            </w:r>
          </w:p>
        </w:tc>
        <w:tc>
          <w:tcPr>
            <w:tcW w:w="1219" w:type="dxa"/>
            <w:gridSpan w:val="2"/>
            <w:tcBorders>
              <w:bottom w:val="single" w:sz="12" w:space="0" w:color="000000"/>
            </w:tcBorders>
            <w:tcMar>
              <w:bottom w:w="28" w:type="dxa"/>
            </w:tcMar>
            <w:vAlign w:val="bottom"/>
          </w:tcPr>
          <w:p>
            <w:pPr>
              <w:pStyle w:val="TableContents"/>
              <w:bidi w:val="0"/>
              <w:spacing w:before="0" w:after="0"/>
              <w:ind w:left="0" w:right="0" w:hanging="0"/>
              <w:jc w:val="center"/>
              <w:rPr>
                <w:b/>
                <w:sz w:val="20"/>
              </w:rPr>
            </w:pPr>
            <w:r>
              <w:rPr>
                <w:b/>
                <w:sz w:val="20"/>
              </w:rPr>
              <w:t>September 30,</w:t>
            </w:r>
          </w:p>
          <w:p>
            <w:pPr>
              <w:pStyle w:val="TableContents"/>
              <w:bidi w:val="0"/>
              <w:spacing w:before="0" w:after="0"/>
              <w:ind w:left="0" w:right="0" w:hanging="0"/>
              <w:jc w:val="center"/>
              <w:rPr>
                <w:b/>
                <w:sz w:val="20"/>
              </w:rPr>
            </w:pPr>
            <w:r>
              <w:rPr>
                <w:b/>
                <w:sz w:val="20"/>
              </w:rPr>
              <w:t>2023</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14" w:type="dxa"/>
            <w:gridSpan w:val="2"/>
            <w:tcBorders>
              <w:bottom w:val="single" w:sz="12" w:space="0" w:color="000000"/>
            </w:tcBorders>
            <w:tcMar>
              <w:bottom w:w="28" w:type="dxa"/>
            </w:tcMar>
            <w:vAlign w:val="bottom"/>
          </w:tcPr>
          <w:p>
            <w:pPr>
              <w:pStyle w:val="TableContents"/>
              <w:bidi w:val="0"/>
              <w:spacing w:before="0" w:after="0"/>
              <w:ind w:left="0" w:right="0" w:firstLine="40"/>
              <w:jc w:val="center"/>
              <w:rPr>
                <w:b/>
                <w:sz w:val="20"/>
              </w:rPr>
            </w:pPr>
            <w:r>
              <w:rPr>
                <w:b/>
                <w:sz w:val="20"/>
              </w:rPr>
              <w:t>December 31,</w:t>
            </w:r>
          </w:p>
          <w:p>
            <w:pPr>
              <w:pStyle w:val="TableContents"/>
              <w:bidi w:val="0"/>
              <w:spacing w:before="0" w:after="0"/>
              <w:ind w:left="0" w:right="0" w:hanging="0"/>
              <w:jc w:val="center"/>
              <w:rPr>
                <w:b/>
                <w:sz w:val="20"/>
              </w:rPr>
            </w:pPr>
            <w:r>
              <w:rPr>
                <w:b/>
                <w:sz w:val="20"/>
              </w:rPr>
              <w:t>2022</w:t>
            </w:r>
          </w:p>
        </w:tc>
        <w:tc>
          <w:tcPr>
            <w:tcW w:w="185" w:type="dxa"/>
            <w:tcBorders/>
            <w:vAlign w:val="bottom"/>
          </w:tcPr>
          <w:p>
            <w:pPr>
              <w:pStyle w:val="TableContents"/>
              <w:bidi w:val="0"/>
              <w:spacing w:before="0" w:after="283"/>
              <w:jc w:val="left"/>
              <w:rPr/>
            </w:pPr>
            <w:r>
              <w:rPr/>
              <w:t> </w:t>
            </w:r>
          </w:p>
        </w:tc>
      </w:tr>
      <w:tr>
        <w:trPr/>
        <w:tc>
          <w:tcPr>
            <w:tcW w:w="18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19" w:type="dxa"/>
            <w:gridSpan w:val="2"/>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14" w:type="dxa"/>
            <w:gridSpan w:val="2"/>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r>
      <w:tr>
        <w:trPr/>
        <w:tc>
          <w:tcPr>
            <w:tcW w:w="1865" w:type="dxa"/>
            <w:tcBorders/>
            <w:shd w:fill="CCEEFF" w:val="clear"/>
            <w:vAlign w:val="bottom"/>
          </w:tcPr>
          <w:p>
            <w:pPr>
              <w:pStyle w:val="TableContents"/>
              <w:bidi w:val="0"/>
              <w:spacing w:before="0" w:after="0"/>
              <w:jc w:val="both"/>
              <w:rPr>
                <w:sz w:val="20"/>
              </w:rPr>
            </w:pPr>
            <w:r>
              <w:rPr>
                <w:sz w:val="20"/>
              </w:rPr>
              <w:t>Risk-free interest rate</w:t>
            </w:r>
          </w:p>
        </w:tc>
        <w:tc>
          <w:tcPr>
            <w:tcW w:w="60" w:type="dxa"/>
            <w:tcBorders/>
            <w:shd w:fill="CCEEFF" w:val="clear"/>
            <w:vAlign w:val="bottom"/>
          </w:tcPr>
          <w:p>
            <w:pPr>
              <w:pStyle w:val="TableContents"/>
              <w:bidi w:val="0"/>
              <w:spacing w:before="0" w:after="283"/>
              <w:jc w:val="right"/>
              <w:rPr/>
            </w:pPr>
            <w:r>
              <w:rPr/>
              <w:t> </w:t>
            </w:r>
          </w:p>
        </w:tc>
        <w:tc>
          <w:tcPr>
            <w:tcW w:w="129" w:type="dxa"/>
            <w:tcBorders/>
            <w:shd w:fill="CCEEFF" w:val="clear"/>
            <w:vAlign w:val="bottom"/>
          </w:tcPr>
          <w:p>
            <w:pPr>
              <w:pStyle w:val="TableContents"/>
              <w:bidi w:val="0"/>
              <w:spacing w:before="0" w:after="283"/>
              <w:jc w:val="left"/>
              <w:rPr/>
            </w:pPr>
            <w:r>
              <w:rPr/>
              <w:t> </w:t>
            </w:r>
          </w:p>
        </w:tc>
        <w:tc>
          <w:tcPr>
            <w:tcW w:w="1090" w:type="dxa"/>
            <w:tcBorders/>
            <w:shd w:fill="CCEEFF" w:val="clear"/>
            <w:vAlign w:val="bottom"/>
          </w:tcPr>
          <w:p>
            <w:pPr>
              <w:pStyle w:val="TableContents"/>
              <w:bidi w:val="0"/>
              <w:spacing w:before="0" w:after="0"/>
              <w:jc w:val="right"/>
              <w:rPr>
                <w:sz w:val="20"/>
              </w:rPr>
            </w:pPr>
            <w:r>
              <w:rPr>
                <w:sz w:val="20"/>
              </w:rPr>
              <w:t>4.74% - 4.91</w:t>
            </w:r>
          </w:p>
        </w:tc>
        <w:tc>
          <w:tcPr>
            <w:tcW w:w="185" w:type="dxa"/>
            <w:tcBorders/>
            <w:shd w:fill="CCEEFF" w:val="clear"/>
            <w:vAlign w:val="bottom"/>
          </w:tcPr>
          <w:p>
            <w:pPr>
              <w:pStyle w:val="TableContents"/>
              <w:bidi w:val="0"/>
              <w:spacing w:before="0" w:after="0"/>
              <w:jc w:val="left"/>
              <w:rPr>
                <w:sz w:val="20"/>
              </w:rPr>
            </w:pPr>
            <w:r>
              <w:rPr>
                <w:sz w:val="20"/>
              </w:rPr>
              <w:t>%</w:t>
            </w:r>
          </w:p>
        </w:tc>
        <w:tc>
          <w:tcPr>
            <w:tcW w:w="60" w:type="dxa"/>
            <w:tcBorders/>
            <w:shd w:fill="CCEEFF" w:val="clear"/>
            <w:vAlign w:val="bottom"/>
          </w:tcPr>
          <w:p>
            <w:pPr>
              <w:pStyle w:val="TableContents"/>
              <w:bidi w:val="0"/>
              <w:spacing w:before="0" w:after="283"/>
              <w:jc w:val="right"/>
              <w:rPr/>
            </w:pPr>
            <w:r>
              <w:rPr/>
              <w:t> </w:t>
            </w:r>
          </w:p>
        </w:tc>
        <w:tc>
          <w:tcPr>
            <w:tcW w:w="128" w:type="dxa"/>
            <w:tcBorders/>
            <w:shd w:fill="CCEEFF" w:val="clear"/>
            <w:vAlign w:val="bottom"/>
          </w:tcPr>
          <w:p>
            <w:pPr>
              <w:pStyle w:val="TableContents"/>
              <w:bidi w:val="0"/>
              <w:spacing w:before="0" w:after="283"/>
              <w:jc w:val="left"/>
              <w:rPr/>
            </w:pPr>
            <w:r>
              <w:rPr/>
              <w:t> </w:t>
            </w:r>
          </w:p>
        </w:tc>
        <w:tc>
          <w:tcPr>
            <w:tcW w:w="1086" w:type="dxa"/>
            <w:tcBorders/>
            <w:shd w:fill="CCEEFF" w:val="clear"/>
            <w:vAlign w:val="bottom"/>
          </w:tcPr>
          <w:p>
            <w:pPr>
              <w:pStyle w:val="TableContents"/>
              <w:bidi w:val="0"/>
              <w:spacing w:before="0" w:after="0"/>
              <w:jc w:val="right"/>
              <w:rPr>
                <w:sz w:val="20"/>
              </w:rPr>
            </w:pPr>
            <w:r>
              <w:rPr>
                <w:sz w:val="20"/>
              </w:rPr>
              <w:t>4.08% - 4.18</w:t>
            </w:r>
          </w:p>
        </w:tc>
        <w:tc>
          <w:tcPr>
            <w:tcW w:w="185" w:type="dxa"/>
            <w:tcBorders/>
            <w:shd w:fill="CCEEFF" w:val="clear"/>
            <w:vAlign w:val="bottom"/>
          </w:tcPr>
          <w:p>
            <w:pPr>
              <w:pStyle w:val="TableContents"/>
              <w:bidi w:val="0"/>
              <w:spacing w:before="0" w:after="0"/>
              <w:jc w:val="left"/>
              <w:rPr>
                <w:sz w:val="20"/>
              </w:rPr>
            </w:pPr>
            <w:r>
              <w:rPr>
                <w:sz w:val="20"/>
              </w:rPr>
              <w:t>%</w:t>
            </w:r>
          </w:p>
        </w:tc>
      </w:tr>
      <w:tr>
        <w:trPr/>
        <w:tc>
          <w:tcPr>
            <w:tcW w:w="1865" w:type="dxa"/>
            <w:tcBorders/>
            <w:vAlign w:val="bottom"/>
          </w:tcPr>
          <w:p>
            <w:pPr>
              <w:pStyle w:val="TableContents"/>
              <w:bidi w:val="0"/>
              <w:spacing w:before="0" w:after="0"/>
              <w:jc w:val="both"/>
              <w:rPr>
                <w:sz w:val="20"/>
              </w:rPr>
            </w:pPr>
            <w:r>
              <w:rPr>
                <w:sz w:val="20"/>
              </w:rPr>
              <w:t>Expected term (years)</w:t>
            </w:r>
          </w:p>
        </w:tc>
        <w:tc>
          <w:tcPr>
            <w:tcW w:w="60" w:type="dxa"/>
            <w:tcBorders/>
            <w:vAlign w:val="bottom"/>
          </w:tcPr>
          <w:p>
            <w:pPr>
              <w:pStyle w:val="TableContents"/>
              <w:bidi w:val="0"/>
              <w:spacing w:before="0" w:after="283"/>
              <w:jc w:val="right"/>
              <w:rPr/>
            </w:pPr>
            <w:r>
              <w:rPr/>
              <w:t> </w:t>
            </w:r>
          </w:p>
        </w:tc>
        <w:tc>
          <w:tcPr>
            <w:tcW w:w="129" w:type="dxa"/>
            <w:tcBorders/>
            <w:vAlign w:val="bottom"/>
          </w:tcPr>
          <w:p>
            <w:pPr>
              <w:pStyle w:val="TableContents"/>
              <w:bidi w:val="0"/>
              <w:spacing w:before="0" w:after="283"/>
              <w:jc w:val="left"/>
              <w:rPr/>
            </w:pPr>
            <w:r>
              <w:rPr/>
              <w:t> </w:t>
            </w:r>
          </w:p>
        </w:tc>
        <w:tc>
          <w:tcPr>
            <w:tcW w:w="1090" w:type="dxa"/>
            <w:tcBorders/>
            <w:vAlign w:val="bottom"/>
          </w:tcPr>
          <w:p>
            <w:pPr>
              <w:pStyle w:val="TableContents"/>
              <w:bidi w:val="0"/>
              <w:spacing w:before="0" w:after="0"/>
              <w:jc w:val="right"/>
              <w:rPr>
                <w:sz w:val="20"/>
              </w:rPr>
            </w:pPr>
            <w:r>
              <w:rPr>
                <w:sz w:val="20"/>
              </w:rPr>
              <w:t>2.01 - 2.75</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8" w:type="dxa"/>
            <w:tcBorders/>
            <w:vAlign w:val="bottom"/>
          </w:tcPr>
          <w:p>
            <w:pPr>
              <w:pStyle w:val="TableContents"/>
              <w:bidi w:val="0"/>
              <w:spacing w:before="0" w:after="283"/>
              <w:jc w:val="left"/>
              <w:rPr/>
            </w:pPr>
            <w:r>
              <w:rPr/>
              <w:t> </w:t>
            </w:r>
          </w:p>
        </w:tc>
        <w:tc>
          <w:tcPr>
            <w:tcW w:w="1086" w:type="dxa"/>
            <w:tcBorders/>
            <w:vAlign w:val="bottom"/>
          </w:tcPr>
          <w:p>
            <w:pPr>
              <w:pStyle w:val="TableContents"/>
              <w:bidi w:val="0"/>
              <w:spacing w:before="0" w:after="0"/>
              <w:jc w:val="right"/>
              <w:rPr>
                <w:sz w:val="20"/>
              </w:rPr>
            </w:pPr>
            <w:r>
              <w:rPr>
                <w:sz w:val="20"/>
              </w:rPr>
              <w:t>2.75 - 3.50</w:t>
            </w:r>
          </w:p>
        </w:tc>
        <w:tc>
          <w:tcPr>
            <w:tcW w:w="185" w:type="dxa"/>
            <w:tcBorders/>
            <w:vAlign w:val="bottom"/>
          </w:tcPr>
          <w:p>
            <w:pPr>
              <w:pStyle w:val="TableContents"/>
              <w:bidi w:val="0"/>
              <w:spacing w:before="0" w:after="283"/>
              <w:jc w:val="left"/>
              <w:rPr/>
            </w:pPr>
            <w:r>
              <w:rPr/>
              <w:t> </w:t>
            </w:r>
          </w:p>
        </w:tc>
      </w:tr>
      <w:tr>
        <w:trPr/>
        <w:tc>
          <w:tcPr>
            <w:tcW w:w="1865" w:type="dxa"/>
            <w:tcBorders/>
            <w:shd w:fill="CCEEFF" w:val="clear"/>
            <w:vAlign w:val="bottom"/>
          </w:tcPr>
          <w:p>
            <w:pPr>
              <w:pStyle w:val="TableContents"/>
              <w:bidi w:val="0"/>
              <w:spacing w:before="0" w:after="0"/>
              <w:jc w:val="both"/>
              <w:rPr>
                <w:sz w:val="20"/>
              </w:rPr>
            </w:pPr>
            <w:r>
              <w:rPr>
                <w:sz w:val="20"/>
              </w:rPr>
              <w:t>Expected volatility</w:t>
            </w:r>
          </w:p>
        </w:tc>
        <w:tc>
          <w:tcPr>
            <w:tcW w:w="60" w:type="dxa"/>
            <w:tcBorders/>
            <w:shd w:fill="CCEEFF" w:val="clear"/>
            <w:vAlign w:val="bottom"/>
          </w:tcPr>
          <w:p>
            <w:pPr>
              <w:pStyle w:val="TableContents"/>
              <w:bidi w:val="0"/>
              <w:spacing w:before="0" w:after="283"/>
              <w:jc w:val="right"/>
              <w:rPr/>
            </w:pPr>
            <w:r>
              <w:rPr/>
              <w:t> </w:t>
            </w:r>
          </w:p>
        </w:tc>
        <w:tc>
          <w:tcPr>
            <w:tcW w:w="129" w:type="dxa"/>
            <w:tcBorders/>
            <w:shd w:fill="CCEEFF" w:val="clear"/>
            <w:vAlign w:val="bottom"/>
          </w:tcPr>
          <w:p>
            <w:pPr>
              <w:pStyle w:val="TableContents"/>
              <w:bidi w:val="0"/>
              <w:spacing w:before="0" w:after="283"/>
              <w:jc w:val="left"/>
              <w:rPr/>
            </w:pPr>
            <w:r>
              <w:rPr/>
              <w:t> </w:t>
            </w:r>
          </w:p>
        </w:tc>
        <w:tc>
          <w:tcPr>
            <w:tcW w:w="1090" w:type="dxa"/>
            <w:tcBorders/>
            <w:shd w:fill="CCEEFF" w:val="clear"/>
            <w:vAlign w:val="bottom"/>
          </w:tcPr>
          <w:p>
            <w:pPr>
              <w:pStyle w:val="TableContents"/>
              <w:bidi w:val="0"/>
              <w:spacing w:before="0" w:after="0"/>
              <w:jc w:val="right"/>
              <w:rPr>
                <w:sz w:val="20"/>
              </w:rPr>
            </w:pPr>
            <w:r>
              <w:rPr>
                <w:sz w:val="20"/>
              </w:rPr>
              <w:t>66.0% - 69.0</w:t>
            </w:r>
          </w:p>
        </w:tc>
        <w:tc>
          <w:tcPr>
            <w:tcW w:w="185" w:type="dxa"/>
            <w:tcBorders/>
            <w:shd w:fill="CCEEFF" w:val="clear"/>
            <w:vAlign w:val="bottom"/>
          </w:tcPr>
          <w:p>
            <w:pPr>
              <w:pStyle w:val="TableContents"/>
              <w:bidi w:val="0"/>
              <w:spacing w:before="0" w:after="0"/>
              <w:jc w:val="left"/>
              <w:rPr>
                <w:sz w:val="20"/>
              </w:rPr>
            </w:pPr>
            <w:r>
              <w:rPr>
                <w:sz w:val="20"/>
              </w:rPr>
              <w:t>%</w:t>
            </w:r>
          </w:p>
        </w:tc>
        <w:tc>
          <w:tcPr>
            <w:tcW w:w="60" w:type="dxa"/>
            <w:tcBorders/>
            <w:shd w:fill="CCEEFF" w:val="clear"/>
            <w:vAlign w:val="bottom"/>
          </w:tcPr>
          <w:p>
            <w:pPr>
              <w:pStyle w:val="TableContents"/>
              <w:bidi w:val="0"/>
              <w:spacing w:before="0" w:after="283"/>
              <w:jc w:val="right"/>
              <w:rPr/>
            </w:pPr>
            <w:r>
              <w:rPr/>
              <w:t> </w:t>
            </w:r>
          </w:p>
        </w:tc>
        <w:tc>
          <w:tcPr>
            <w:tcW w:w="128" w:type="dxa"/>
            <w:tcBorders/>
            <w:shd w:fill="CCEEFF" w:val="clear"/>
            <w:vAlign w:val="bottom"/>
          </w:tcPr>
          <w:p>
            <w:pPr>
              <w:pStyle w:val="TableContents"/>
              <w:bidi w:val="0"/>
              <w:spacing w:before="0" w:after="283"/>
              <w:jc w:val="left"/>
              <w:rPr/>
            </w:pPr>
            <w:r>
              <w:rPr/>
              <w:t> </w:t>
            </w:r>
          </w:p>
        </w:tc>
        <w:tc>
          <w:tcPr>
            <w:tcW w:w="1086" w:type="dxa"/>
            <w:tcBorders/>
            <w:shd w:fill="CCEEFF" w:val="clear"/>
            <w:vAlign w:val="bottom"/>
          </w:tcPr>
          <w:p>
            <w:pPr>
              <w:pStyle w:val="TableContents"/>
              <w:bidi w:val="0"/>
              <w:spacing w:before="0" w:after="0"/>
              <w:jc w:val="right"/>
              <w:rPr>
                <w:sz w:val="20"/>
              </w:rPr>
            </w:pPr>
            <w:r>
              <w:rPr>
                <w:sz w:val="20"/>
              </w:rPr>
              <w:t>67.5% - 69.3</w:t>
            </w:r>
          </w:p>
        </w:tc>
        <w:tc>
          <w:tcPr>
            <w:tcW w:w="185" w:type="dxa"/>
            <w:tcBorders/>
            <w:shd w:fill="CCEEFF" w:val="clear"/>
            <w:vAlign w:val="bottom"/>
          </w:tcPr>
          <w:p>
            <w:pPr>
              <w:pStyle w:val="TableContents"/>
              <w:bidi w:val="0"/>
              <w:spacing w:before="0" w:after="0"/>
              <w:jc w:val="left"/>
              <w:rPr>
                <w:sz w:val="20"/>
              </w:rPr>
            </w:pPr>
            <w:r>
              <w:rPr>
                <w:sz w:val="20"/>
              </w:rPr>
              <w:t>%</w:t>
            </w:r>
          </w:p>
        </w:tc>
      </w:tr>
      <w:tr>
        <w:trPr/>
        <w:tc>
          <w:tcPr>
            <w:tcW w:w="1865" w:type="dxa"/>
            <w:tcBorders/>
            <w:vAlign w:val="bottom"/>
          </w:tcPr>
          <w:p>
            <w:pPr>
              <w:pStyle w:val="TableContents"/>
              <w:bidi w:val="0"/>
              <w:spacing w:before="0" w:after="0"/>
              <w:jc w:val="both"/>
              <w:rPr>
                <w:sz w:val="20"/>
              </w:rPr>
            </w:pPr>
            <w:r>
              <w:rPr>
                <w:sz w:val="20"/>
              </w:rPr>
              <w:t>Exercise price</w:t>
            </w:r>
          </w:p>
        </w:tc>
        <w:tc>
          <w:tcPr>
            <w:tcW w:w="60" w:type="dxa"/>
            <w:tcBorders/>
            <w:vAlign w:val="bottom"/>
          </w:tcPr>
          <w:p>
            <w:pPr>
              <w:pStyle w:val="TableContents"/>
              <w:bidi w:val="0"/>
              <w:spacing w:before="0" w:after="283"/>
              <w:jc w:val="right"/>
              <w:rPr/>
            </w:pPr>
            <w:r>
              <w:rPr/>
              <w:t> </w:t>
            </w:r>
          </w:p>
        </w:tc>
        <w:tc>
          <w:tcPr>
            <w:tcW w:w="129" w:type="dxa"/>
            <w:tcBorders/>
            <w:vAlign w:val="bottom"/>
          </w:tcPr>
          <w:p>
            <w:pPr>
              <w:pStyle w:val="TableContents"/>
              <w:bidi w:val="0"/>
              <w:spacing w:before="0" w:after="0"/>
              <w:jc w:val="left"/>
              <w:rPr>
                <w:sz w:val="20"/>
              </w:rPr>
            </w:pPr>
            <w:r>
              <w:rPr>
                <w:sz w:val="20"/>
              </w:rPr>
              <w:t>$</w:t>
            </w:r>
          </w:p>
        </w:tc>
        <w:tc>
          <w:tcPr>
            <w:tcW w:w="1090" w:type="dxa"/>
            <w:tcBorders/>
            <w:vAlign w:val="bottom"/>
          </w:tcPr>
          <w:p>
            <w:pPr>
              <w:pStyle w:val="TableContents"/>
              <w:bidi w:val="0"/>
              <w:spacing w:before="0" w:after="0"/>
              <w:jc w:val="right"/>
              <w:rPr>
                <w:sz w:val="20"/>
              </w:rPr>
            </w:pPr>
            <w:r>
              <w:rPr>
                <w:sz w:val="20"/>
              </w:rPr>
              <w:t>11.50</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8" w:type="dxa"/>
            <w:tcBorders/>
            <w:vAlign w:val="bottom"/>
          </w:tcPr>
          <w:p>
            <w:pPr>
              <w:pStyle w:val="TableContents"/>
              <w:bidi w:val="0"/>
              <w:spacing w:before="0" w:after="0"/>
              <w:jc w:val="left"/>
              <w:rPr>
                <w:sz w:val="20"/>
              </w:rPr>
            </w:pPr>
            <w:r>
              <w:rPr>
                <w:sz w:val="20"/>
              </w:rPr>
              <w:t>$</w:t>
            </w:r>
          </w:p>
        </w:tc>
        <w:tc>
          <w:tcPr>
            <w:tcW w:w="1086" w:type="dxa"/>
            <w:tcBorders/>
            <w:vAlign w:val="bottom"/>
          </w:tcPr>
          <w:p>
            <w:pPr>
              <w:pStyle w:val="TableContents"/>
              <w:bidi w:val="0"/>
              <w:spacing w:before="0" w:after="0"/>
              <w:jc w:val="right"/>
              <w:rPr>
                <w:sz w:val="20"/>
              </w:rPr>
            </w:pPr>
            <w:r>
              <w:rPr>
                <w:sz w:val="20"/>
              </w:rPr>
              <w:t>11.50</w:t>
            </w:r>
          </w:p>
        </w:tc>
        <w:tc>
          <w:tcPr>
            <w:tcW w:w="185" w:type="dxa"/>
            <w:tcBorders/>
            <w:vAlign w:val="bottom"/>
          </w:tcPr>
          <w:p>
            <w:pPr>
              <w:pStyle w:val="TableContents"/>
              <w:bidi w:val="0"/>
              <w:spacing w:before="0" w:after="283"/>
              <w:jc w:val="left"/>
              <w:rPr/>
            </w:pPr>
            <w:r>
              <w:rPr/>
              <w:t> </w:t>
            </w:r>
          </w:p>
        </w:tc>
      </w:tr>
      <w:tr>
        <w:trPr/>
        <w:tc>
          <w:tcPr>
            <w:tcW w:w="1865" w:type="dxa"/>
            <w:tcBorders/>
            <w:shd w:fill="CCEEFF" w:val="clear"/>
            <w:vAlign w:val="bottom"/>
          </w:tcPr>
          <w:p>
            <w:pPr>
              <w:pStyle w:val="TableContents"/>
              <w:bidi w:val="0"/>
              <w:spacing w:before="0" w:after="0"/>
              <w:jc w:val="both"/>
              <w:rPr>
                <w:sz w:val="20"/>
              </w:rPr>
            </w:pPr>
            <w:r>
              <w:rPr>
                <w:sz w:val="20"/>
              </w:rPr>
              <w:t>Underlying share price</w:t>
            </w:r>
          </w:p>
        </w:tc>
        <w:tc>
          <w:tcPr>
            <w:tcW w:w="60" w:type="dxa"/>
            <w:tcBorders/>
            <w:shd w:fill="CCEEFF" w:val="clear"/>
            <w:vAlign w:val="bottom"/>
          </w:tcPr>
          <w:p>
            <w:pPr>
              <w:pStyle w:val="TableContents"/>
              <w:bidi w:val="0"/>
              <w:spacing w:before="0" w:after="283"/>
              <w:jc w:val="right"/>
              <w:rPr/>
            </w:pPr>
            <w:r>
              <w:rPr/>
              <w:t> </w:t>
            </w:r>
          </w:p>
        </w:tc>
        <w:tc>
          <w:tcPr>
            <w:tcW w:w="129" w:type="dxa"/>
            <w:tcBorders/>
            <w:shd w:fill="CCEEFF" w:val="clear"/>
            <w:vAlign w:val="bottom"/>
          </w:tcPr>
          <w:p>
            <w:pPr>
              <w:pStyle w:val="TableContents"/>
              <w:bidi w:val="0"/>
              <w:spacing w:before="0" w:after="0"/>
              <w:jc w:val="left"/>
              <w:rPr>
                <w:sz w:val="20"/>
              </w:rPr>
            </w:pPr>
            <w:r>
              <w:rPr>
                <w:sz w:val="20"/>
              </w:rPr>
              <w:t>$</w:t>
            </w:r>
          </w:p>
        </w:tc>
        <w:tc>
          <w:tcPr>
            <w:tcW w:w="1090" w:type="dxa"/>
            <w:tcBorders/>
            <w:shd w:fill="CCEEFF" w:val="clear"/>
            <w:vAlign w:val="bottom"/>
          </w:tcPr>
          <w:p>
            <w:pPr>
              <w:pStyle w:val="TableContents"/>
              <w:bidi w:val="0"/>
              <w:spacing w:before="0" w:after="0"/>
              <w:jc w:val="right"/>
              <w:rPr>
                <w:sz w:val="20"/>
              </w:rPr>
            </w:pPr>
            <w:r>
              <w:rPr>
                <w:sz w:val="20"/>
              </w:rPr>
              <w:t>3.79</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8" w:type="dxa"/>
            <w:tcBorders/>
            <w:shd w:fill="CCEEFF" w:val="clear"/>
            <w:vAlign w:val="bottom"/>
          </w:tcPr>
          <w:p>
            <w:pPr>
              <w:pStyle w:val="TableContents"/>
              <w:bidi w:val="0"/>
              <w:spacing w:before="0" w:after="0"/>
              <w:jc w:val="left"/>
              <w:rPr>
                <w:sz w:val="20"/>
              </w:rPr>
            </w:pPr>
            <w:r>
              <w:rPr>
                <w:sz w:val="20"/>
              </w:rPr>
              <w:t>$</w:t>
            </w:r>
          </w:p>
        </w:tc>
        <w:tc>
          <w:tcPr>
            <w:tcW w:w="1086" w:type="dxa"/>
            <w:tcBorders/>
            <w:shd w:fill="CCEEFF" w:val="clear"/>
            <w:vAlign w:val="bottom"/>
          </w:tcPr>
          <w:p>
            <w:pPr>
              <w:pStyle w:val="TableContents"/>
              <w:bidi w:val="0"/>
              <w:spacing w:before="0" w:after="0"/>
              <w:jc w:val="right"/>
              <w:rPr>
                <w:sz w:val="20"/>
              </w:rPr>
            </w:pPr>
            <w:r>
              <w:rPr>
                <w:sz w:val="20"/>
              </w:rPr>
              <w:t>3.08</w:t>
            </w:r>
          </w:p>
        </w:tc>
        <w:tc>
          <w:tcPr>
            <w:tcW w:w="185" w:type="dxa"/>
            <w:tcBorders/>
            <w:shd w:fill="CCEEFF" w:val="clear"/>
            <w:vAlign w:val="bottom"/>
          </w:tcPr>
          <w:p>
            <w:pPr>
              <w:pStyle w:val="TableContents"/>
              <w:bidi w:val="0"/>
              <w:spacing w:before="0" w:after="283"/>
              <w:jc w:val="left"/>
              <w:rPr/>
            </w:pPr>
            <w:r>
              <w:rPr/>
              <w:t> </w:t>
            </w:r>
          </w:p>
        </w:tc>
      </w:tr>
    </w:tbl>
    <w:p>
      <w:pPr>
        <w:pStyle w:val="TextBody"/>
        <w:bidi w:val="0"/>
        <w:spacing w:before="0" w:after="0"/>
        <w:ind w:left="1170" w:right="0" w:hanging="0"/>
        <w:jc w:val="left"/>
        <w:rPr>
          <w:sz w:val="18"/>
        </w:rPr>
      </w:pPr>
      <w:r>
        <w:rPr>
          <w:sz w:val="18"/>
        </w:rPr>
      </w:r>
    </w:p>
    <w:p>
      <w:pPr>
        <w:pStyle w:val="TextBody"/>
        <w:bidi w:val="0"/>
        <w:spacing w:before="0" w:after="240"/>
        <w:ind w:left="1170" w:right="0" w:hanging="0"/>
        <w:jc w:val="both"/>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The Company’s use of a Black-Scholes model required the use of subjective assumptions:</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risk-free interest rate assumption was interpolated based on constant maturity U.S. Treasury rates over a term commensurate with the expected term of the Private Warrants.</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expected term was based on the maturity of the Private Warrants of five years following June 29, 2021, the Business Combination date (as defined in the Company’s Annual Report on Form 10-K for the year ended December 31, 2022, filed with the SEC on March 13, 2023), and for certain Private Warrants the maturity date was determined to be five years from October 1, 2020, ION initial public offering effective date.</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expected share volatility assumption was based on the implied volatility from a set of comparable publicly-traded companies as determined based on size and proximity.</w:t>
            </w:r>
          </w:p>
        </w:tc>
      </w:tr>
    </w:tbl>
    <w:p>
      <w:pPr>
        <w:pStyle w:val="TextBody"/>
        <w:bidi w:val="0"/>
        <w:spacing w:before="0" w:after="0"/>
        <w:jc w:val="left"/>
        <w:rPr>
          <w:sz w:val="20"/>
        </w:rPr>
      </w:pPr>
      <w:r>
        <w:rPr>
          <w:sz w:val="20"/>
        </w:rPr>
      </w:r>
    </w:p>
    <w:p>
      <w:pPr>
        <w:pStyle w:val="TextBody"/>
        <w:bidi w:val="0"/>
        <w:spacing w:before="0" w:after="0"/>
        <w:ind w:left="1170" w:right="0" w:hanging="0"/>
        <w:jc w:val="left"/>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The following table presents the changes in the fair value of Warrants liability:</w:t>
      </w:r>
    </w:p>
    <w:p>
      <w:pPr>
        <w:pStyle w:val="TextBody"/>
        <w:bidi w:val="0"/>
        <w:spacing w:before="0" w:after="0"/>
        <w:jc w:val="left"/>
        <w:rPr>
          <w:sz w:val="20"/>
        </w:rPr>
      </w:pPr>
      <w:r>
        <w:rPr>
          <w:sz w:val="20"/>
        </w:rPr>
      </w:r>
    </w:p>
    <w:tbl>
      <w:tblPr>
        <w:tblW w:w="6980" w:type="dxa"/>
        <w:jc w:val="left"/>
        <w:tblInd w:w="1170" w:type="dxa"/>
        <w:tblLayout w:type="fixed"/>
        <w:tblCellMar>
          <w:top w:w="0" w:type="dxa"/>
          <w:left w:w="0" w:type="dxa"/>
          <w:bottom w:w="0" w:type="dxa"/>
          <w:right w:w="0" w:type="dxa"/>
        </w:tblCellMar>
      </w:tblPr>
      <w:tblGrid>
        <w:gridCol w:w="3905"/>
        <w:gridCol w:w="60"/>
        <w:gridCol w:w="164"/>
        <w:gridCol w:w="721"/>
        <w:gridCol w:w="80"/>
        <w:gridCol w:w="60"/>
        <w:gridCol w:w="181"/>
        <w:gridCol w:w="704"/>
        <w:gridCol w:w="80"/>
        <w:gridCol w:w="60"/>
        <w:gridCol w:w="181"/>
        <w:gridCol w:w="704"/>
        <w:gridCol w:w="80"/>
      </w:tblGrid>
      <w:tr>
        <w:trPr/>
        <w:tc>
          <w:tcPr>
            <w:tcW w:w="390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5" w:type="dxa"/>
            <w:gridSpan w:val="2"/>
            <w:tcBorders>
              <w:bottom w:val="single" w:sz="2" w:space="0" w:color="FFFFFF"/>
            </w:tcBorders>
            <w:tcMar>
              <w:bottom w:w="28" w:type="dxa"/>
            </w:tcMar>
            <w:vAlign w:val="bottom"/>
          </w:tcPr>
          <w:p>
            <w:pPr>
              <w:pStyle w:val="TableContents"/>
              <w:bidi w:val="0"/>
              <w:spacing w:before="0" w:after="0"/>
              <w:ind w:left="0" w:right="0" w:firstLine="40"/>
              <w:jc w:val="center"/>
              <w:rPr>
                <w:b/>
                <w:sz w:val="20"/>
              </w:rPr>
            </w:pPr>
            <w:r>
              <w:rPr>
                <w:b/>
                <w:sz w:val="20"/>
              </w:rPr>
              <w:t>Private</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5" w:type="dxa"/>
            <w:gridSpan w:val="2"/>
            <w:tcBorders>
              <w:bottom w:val="single" w:sz="2" w:space="0" w:color="FFFFFF"/>
            </w:tcBorders>
            <w:tcMar>
              <w:bottom w:w="28" w:type="dxa"/>
            </w:tcMar>
            <w:vAlign w:val="bottom"/>
          </w:tcPr>
          <w:p>
            <w:pPr>
              <w:pStyle w:val="TableContents"/>
              <w:bidi w:val="0"/>
              <w:spacing w:before="0" w:after="0"/>
              <w:ind w:left="0" w:right="0" w:firstLine="40"/>
              <w:jc w:val="center"/>
              <w:rPr>
                <w:b/>
                <w:sz w:val="20"/>
              </w:rPr>
            </w:pPr>
            <w:r>
              <w:rPr>
                <w:b/>
                <w:sz w:val="20"/>
              </w:rPr>
              <w:t>Public</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5" w:type="dxa"/>
            <w:gridSpan w:val="2"/>
            <w:tcBorders>
              <w:bottom w:val="single" w:sz="2" w:space="0" w:color="FFFFFF"/>
            </w:tcBorders>
            <w:tcMar>
              <w:bottom w:w="28" w:type="dxa"/>
            </w:tcMar>
            <w:vAlign w:val="bottom"/>
          </w:tcPr>
          <w:p>
            <w:pPr>
              <w:pStyle w:val="TableContents"/>
              <w:bidi w:val="0"/>
              <w:spacing w:before="0" w:after="0"/>
              <w:ind w:left="0" w:right="0" w:firstLine="40"/>
              <w:jc w:val="center"/>
              <w:rPr>
                <w:b/>
                <w:sz w:val="20"/>
              </w:rPr>
            </w:pPr>
            <w:r>
              <w:rPr>
                <w:b/>
                <w:sz w:val="20"/>
              </w:rPr>
              <w:t>Total</w:t>
            </w:r>
          </w:p>
        </w:tc>
        <w:tc>
          <w:tcPr>
            <w:tcW w:w="80" w:type="dxa"/>
            <w:tcBorders/>
            <w:vAlign w:val="bottom"/>
          </w:tcPr>
          <w:p>
            <w:pPr>
              <w:pStyle w:val="TableContents"/>
              <w:bidi w:val="0"/>
              <w:spacing w:before="0" w:after="283"/>
              <w:jc w:val="left"/>
              <w:rPr/>
            </w:pPr>
            <w:r>
              <w:rPr/>
              <w:t> </w:t>
            </w:r>
          </w:p>
        </w:tc>
      </w:tr>
      <w:tr>
        <w:trPr/>
        <w:tc>
          <w:tcPr>
            <w:tcW w:w="3905" w:type="dxa"/>
            <w:tcBorders/>
            <w:vAlign w:val="bottom"/>
          </w:tcPr>
          <w:p>
            <w:pPr>
              <w:pStyle w:val="TableContents"/>
              <w:bidi w:val="0"/>
              <w:spacing w:before="0" w:after="0"/>
              <w:jc w:val="both"/>
              <w:rPr>
                <w:b/>
                <w:sz w:val="20"/>
                <w:u w:val="single"/>
              </w:rPr>
            </w:pPr>
            <w:r>
              <w:rPr>
                <w:b/>
                <w:sz w:val="20"/>
                <w:u w:val="single"/>
              </w:rPr>
              <w:t>Input</w:t>
            </w:r>
          </w:p>
        </w:tc>
        <w:tc>
          <w:tcPr>
            <w:tcW w:w="60" w:type="dxa"/>
            <w:tcBorders/>
            <w:vAlign w:val="bottom"/>
          </w:tcPr>
          <w:p>
            <w:pPr>
              <w:pStyle w:val="TableContents"/>
              <w:bidi w:val="0"/>
              <w:spacing w:before="0" w:after="283"/>
              <w:jc w:val="left"/>
              <w:rPr/>
            </w:pPr>
            <w:r>
              <w:rPr/>
              <w:t> </w:t>
            </w:r>
          </w:p>
        </w:tc>
        <w:tc>
          <w:tcPr>
            <w:tcW w:w="885" w:type="dxa"/>
            <w:gridSpan w:val="2"/>
            <w:tcBorders>
              <w:bottom w:val="single" w:sz="12" w:space="0" w:color="000000"/>
            </w:tcBorders>
            <w:tcMar>
              <w:bottom w:w="28" w:type="dxa"/>
            </w:tcMar>
            <w:vAlign w:val="bottom"/>
          </w:tcPr>
          <w:p>
            <w:pPr>
              <w:pStyle w:val="TableContents"/>
              <w:bidi w:val="0"/>
              <w:spacing w:before="0" w:after="0"/>
              <w:ind w:left="0" w:right="0" w:firstLine="40"/>
              <w:jc w:val="center"/>
              <w:rPr>
                <w:b/>
                <w:sz w:val="20"/>
              </w:rPr>
            </w:pPr>
            <w:r>
              <w:rPr>
                <w:b/>
                <w:sz w:val="20"/>
              </w:rPr>
              <w:t>Warrants</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5" w:type="dxa"/>
            <w:gridSpan w:val="2"/>
            <w:tcBorders>
              <w:bottom w:val="single" w:sz="12" w:space="0" w:color="000000"/>
            </w:tcBorders>
            <w:tcMar>
              <w:bottom w:w="28" w:type="dxa"/>
            </w:tcMar>
            <w:vAlign w:val="bottom"/>
          </w:tcPr>
          <w:p>
            <w:pPr>
              <w:pStyle w:val="TableContents"/>
              <w:bidi w:val="0"/>
              <w:spacing w:before="0" w:after="0"/>
              <w:ind w:left="0" w:right="0" w:firstLine="40"/>
              <w:jc w:val="center"/>
              <w:rPr>
                <w:b/>
                <w:sz w:val="20"/>
              </w:rPr>
            </w:pPr>
            <w:r>
              <w:rPr>
                <w:b/>
                <w:sz w:val="20"/>
              </w:rPr>
              <w:t>Warrants</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5" w:type="dxa"/>
            <w:gridSpan w:val="2"/>
            <w:tcBorders>
              <w:bottom w:val="single" w:sz="12" w:space="0" w:color="000000"/>
            </w:tcBorders>
            <w:tcMar>
              <w:bottom w:w="28" w:type="dxa"/>
            </w:tcMar>
            <w:vAlign w:val="bottom"/>
          </w:tcPr>
          <w:p>
            <w:pPr>
              <w:pStyle w:val="TableContents"/>
              <w:bidi w:val="0"/>
              <w:spacing w:before="0" w:after="0"/>
              <w:ind w:left="0" w:right="0" w:firstLine="40"/>
              <w:jc w:val="center"/>
              <w:rPr>
                <w:b/>
                <w:sz w:val="20"/>
              </w:rPr>
            </w:pPr>
            <w:r>
              <w:rPr>
                <w:b/>
                <w:sz w:val="20"/>
              </w:rPr>
              <w:t>Warrants</w:t>
            </w:r>
          </w:p>
        </w:tc>
        <w:tc>
          <w:tcPr>
            <w:tcW w:w="80" w:type="dxa"/>
            <w:tcBorders/>
            <w:vAlign w:val="bottom"/>
          </w:tcPr>
          <w:p>
            <w:pPr>
              <w:pStyle w:val="TableContents"/>
              <w:bidi w:val="0"/>
              <w:spacing w:before="0" w:after="283"/>
              <w:jc w:val="left"/>
              <w:rPr/>
            </w:pPr>
            <w:r>
              <w:rPr/>
              <w:t> </w:t>
            </w:r>
          </w:p>
        </w:tc>
      </w:tr>
      <w:tr>
        <w:trPr/>
        <w:tc>
          <w:tcPr>
            <w:tcW w:w="390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5" w:type="dxa"/>
            <w:gridSpan w:val="2"/>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5" w:type="dxa"/>
            <w:gridSpan w:val="2"/>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5" w:type="dxa"/>
            <w:gridSpan w:val="2"/>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r>
      <w:tr>
        <w:trPr/>
        <w:tc>
          <w:tcPr>
            <w:tcW w:w="3905" w:type="dxa"/>
            <w:tcBorders/>
            <w:shd w:fill="CCEEFF" w:val="clear"/>
            <w:vAlign w:val="bottom"/>
          </w:tcPr>
          <w:p>
            <w:pPr>
              <w:pStyle w:val="TableContents"/>
              <w:bidi w:val="0"/>
              <w:spacing w:before="0" w:after="0"/>
              <w:ind w:left="180" w:right="0" w:hanging="0"/>
              <w:jc w:val="both"/>
              <w:rPr>
                <w:sz w:val="20"/>
              </w:rPr>
            </w:pPr>
            <w:r>
              <w:rPr>
                <w:sz w:val="20"/>
              </w:rPr>
              <w:t>Fair value as of December 31, 2022</w:t>
            </w:r>
          </w:p>
        </w:tc>
        <w:tc>
          <w:tcPr>
            <w:tcW w:w="60" w:type="dxa"/>
            <w:tcBorders/>
            <w:shd w:fill="CCEEFF" w:val="clear"/>
            <w:vAlign w:val="bottom"/>
          </w:tcPr>
          <w:p>
            <w:pPr>
              <w:pStyle w:val="TableContents"/>
              <w:bidi w:val="0"/>
              <w:spacing w:before="0" w:after="283"/>
              <w:jc w:val="right"/>
              <w:rPr/>
            </w:pPr>
            <w:r>
              <w:rPr/>
              <w:t> </w:t>
            </w:r>
          </w:p>
        </w:tc>
        <w:tc>
          <w:tcPr>
            <w:tcW w:w="164" w:type="dxa"/>
            <w:tcBorders/>
            <w:shd w:fill="CCEEFF" w:val="clear"/>
            <w:vAlign w:val="bottom"/>
          </w:tcPr>
          <w:p>
            <w:pPr>
              <w:pStyle w:val="TableContents"/>
              <w:bidi w:val="0"/>
              <w:spacing w:before="0" w:after="0"/>
              <w:jc w:val="left"/>
              <w:rPr>
                <w:sz w:val="20"/>
              </w:rPr>
            </w:pPr>
            <w:r>
              <w:rPr>
                <w:sz w:val="20"/>
              </w:rPr>
              <w:t>$</w:t>
            </w:r>
          </w:p>
        </w:tc>
        <w:tc>
          <w:tcPr>
            <w:tcW w:w="721" w:type="dxa"/>
            <w:tcBorders/>
            <w:shd w:fill="CCEEFF" w:val="clear"/>
            <w:vAlign w:val="bottom"/>
          </w:tcPr>
          <w:p>
            <w:pPr>
              <w:pStyle w:val="TableContents"/>
              <w:bidi w:val="0"/>
              <w:spacing w:before="0" w:after="0"/>
              <w:jc w:val="right"/>
              <w:rPr>
                <w:sz w:val="20"/>
              </w:rPr>
            </w:pPr>
            <w:r>
              <w:rPr>
                <w:sz w:val="20"/>
              </w:rPr>
              <w:t>3,900</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81" w:type="dxa"/>
            <w:tcBorders/>
            <w:shd w:fill="CCEEFF" w:val="clear"/>
            <w:vAlign w:val="bottom"/>
          </w:tcPr>
          <w:p>
            <w:pPr>
              <w:pStyle w:val="TableContents"/>
              <w:bidi w:val="0"/>
              <w:spacing w:before="0" w:after="0"/>
              <w:jc w:val="left"/>
              <w:rPr>
                <w:sz w:val="20"/>
              </w:rPr>
            </w:pPr>
            <w:r>
              <w:rPr>
                <w:sz w:val="20"/>
              </w:rPr>
              <w:t>$</w:t>
            </w:r>
          </w:p>
        </w:tc>
        <w:tc>
          <w:tcPr>
            <w:tcW w:w="704" w:type="dxa"/>
            <w:tcBorders/>
            <w:shd w:fill="CCEEFF" w:val="clear"/>
            <w:vAlign w:val="bottom"/>
          </w:tcPr>
          <w:p>
            <w:pPr>
              <w:pStyle w:val="TableContents"/>
              <w:bidi w:val="0"/>
              <w:spacing w:before="0" w:after="0"/>
              <w:jc w:val="right"/>
              <w:rPr>
                <w:sz w:val="20"/>
              </w:rPr>
            </w:pPr>
            <w:r>
              <w:rPr>
                <w:sz w:val="20"/>
              </w:rPr>
              <w:t>2,856</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81" w:type="dxa"/>
            <w:tcBorders/>
            <w:shd w:fill="CCEEFF" w:val="clear"/>
            <w:vAlign w:val="bottom"/>
          </w:tcPr>
          <w:p>
            <w:pPr>
              <w:pStyle w:val="TableContents"/>
              <w:bidi w:val="0"/>
              <w:spacing w:before="0" w:after="0"/>
              <w:jc w:val="left"/>
              <w:rPr>
                <w:sz w:val="20"/>
              </w:rPr>
            </w:pPr>
            <w:r>
              <w:rPr>
                <w:sz w:val="20"/>
              </w:rPr>
              <w:t>$</w:t>
            </w:r>
          </w:p>
        </w:tc>
        <w:tc>
          <w:tcPr>
            <w:tcW w:w="704" w:type="dxa"/>
            <w:tcBorders/>
            <w:shd w:fill="CCEEFF" w:val="clear"/>
            <w:vAlign w:val="bottom"/>
          </w:tcPr>
          <w:p>
            <w:pPr>
              <w:pStyle w:val="TableContents"/>
              <w:bidi w:val="0"/>
              <w:spacing w:before="0" w:after="0"/>
              <w:jc w:val="right"/>
              <w:rPr>
                <w:sz w:val="20"/>
              </w:rPr>
            </w:pPr>
            <w:r>
              <w:rPr>
                <w:sz w:val="20"/>
              </w:rPr>
              <w:t>6,756</w:t>
            </w:r>
          </w:p>
        </w:tc>
        <w:tc>
          <w:tcPr>
            <w:tcW w:w="80" w:type="dxa"/>
            <w:tcBorders/>
            <w:shd w:fill="CCEEFF" w:val="clear"/>
            <w:vAlign w:val="bottom"/>
          </w:tcPr>
          <w:p>
            <w:pPr>
              <w:pStyle w:val="TableContents"/>
              <w:bidi w:val="0"/>
              <w:spacing w:before="0" w:after="283"/>
              <w:jc w:val="left"/>
              <w:rPr/>
            </w:pPr>
            <w:r>
              <w:rPr/>
              <w:t> </w:t>
            </w:r>
          </w:p>
        </w:tc>
      </w:tr>
      <w:tr>
        <w:trPr/>
        <w:tc>
          <w:tcPr>
            <w:tcW w:w="3905" w:type="dxa"/>
            <w:tcBorders/>
            <w:vAlign w:val="bottom"/>
          </w:tcPr>
          <w:p>
            <w:pPr>
              <w:pStyle w:val="TableContents"/>
              <w:bidi w:val="0"/>
              <w:spacing w:before="0" w:after="283"/>
              <w:ind w:left="0" w:right="0" w:hanging="0"/>
              <w:jc w:val="both"/>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Change from private to public holdings</w:t>
            </w:r>
          </w:p>
        </w:tc>
        <w:tc>
          <w:tcPr>
            <w:tcW w:w="60" w:type="dxa"/>
            <w:tcBorders/>
            <w:vAlign w:val="bottom"/>
          </w:tcPr>
          <w:p>
            <w:pPr>
              <w:pStyle w:val="TableContents"/>
              <w:bidi w:val="0"/>
              <w:spacing w:before="0" w:after="283"/>
              <w:jc w:val="right"/>
              <w:rPr/>
            </w:pPr>
            <w:r>
              <w:rPr/>
              <w:t> </w:t>
            </w:r>
          </w:p>
        </w:tc>
        <w:tc>
          <w:tcPr>
            <w:tcW w:w="164" w:type="dxa"/>
            <w:tcBorders/>
            <w:vAlign w:val="bottom"/>
          </w:tcPr>
          <w:p>
            <w:pPr>
              <w:pStyle w:val="TableContents"/>
              <w:bidi w:val="0"/>
              <w:spacing w:before="0" w:after="283"/>
              <w:jc w:val="left"/>
              <w:rPr/>
            </w:pPr>
            <w:r>
              <w:rPr/>
              <w:t> </w:t>
            </w:r>
          </w:p>
        </w:tc>
        <w:tc>
          <w:tcPr>
            <w:tcW w:w="721" w:type="dxa"/>
            <w:tcBorders/>
            <w:vAlign w:val="bottom"/>
          </w:tcPr>
          <w:p>
            <w:pPr>
              <w:pStyle w:val="TableContents"/>
              <w:bidi w:val="0"/>
              <w:spacing w:before="0" w:after="283"/>
              <w:jc w:val="right"/>
              <w:rPr>
                <w:sz w:val="20"/>
              </w:rPr>
            </w:pPr>
            <w:r>
              <w:rPr>
                <w:sz w:val="20"/>
              </w:rPr>
              <w:t>(1,714</w:t>
            </w:r>
          </w:p>
        </w:tc>
        <w:tc>
          <w:tcPr>
            <w:tcW w:w="80" w:type="dxa"/>
            <w:tcBorders/>
            <w:vAlign w:val="bottom"/>
          </w:tcPr>
          <w:p>
            <w:pPr>
              <w:pStyle w:val="TableContents"/>
              <w:bidi w:val="0"/>
              <w:spacing w:before="0" w:after="283"/>
              <w:jc w:val="left"/>
              <w:rPr>
                <w:sz w:val="20"/>
              </w:rPr>
            </w:pPr>
            <w:r>
              <w:rPr>
                <w:sz w:val="20"/>
              </w:rPr>
              <w:t>)</w:t>
            </w:r>
          </w:p>
        </w:tc>
        <w:tc>
          <w:tcPr>
            <w:tcW w:w="60" w:type="dxa"/>
            <w:tcBorders/>
            <w:vAlign w:val="bottom"/>
          </w:tcPr>
          <w:p>
            <w:pPr>
              <w:pStyle w:val="TableContents"/>
              <w:bidi w:val="0"/>
              <w:spacing w:before="0" w:after="283"/>
              <w:jc w:val="right"/>
              <w:rPr/>
            </w:pPr>
            <w:r>
              <w:rPr/>
              <w:t> </w:t>
            </w:r>
          </w:p>
        </w:tc>
        <w:tc>
          <w:tcPr>
            <w:tcW w:w="181" w:type="dxa"/>
            <w:tcBorders/>
            <w:vAlign w:val="bottom"/>
          </w:tcPr>
          <w:p>
            <w:pPr>
              <w:pStyle w:val="TableContents"/>
              <w:bidi w:val="0"/>
              <w:spacing w:before="0" w:after="283"/>
              <w:jc w:val="left"/>
              <w:rPr/>
            </w:pPr>
            <w:r>
              <w:rPr/>
              <w:t> </w:t>
            </w:r>
          </w:p>
        </w:tc>
        <w:tc>
          <w:tcPr>
            <w:tcW w:w="704" w:type="dxa"/>
            <w:tcBorders/>
            <w:vAlign w:val="bottom"/>
          </w:tcPr>
          <w:p>
            <w:pPr>
              <w:pStyle w:val="TableContents"/>
              <w:bidi w:val="0"/>
              <w:spacing w:before="0" w:after="283"/>
              <w:jc w:val="right"/>
              <w:rPr>
                <w:sz w:val="20"/>
              </w:rPr>
            </w:pPr>
            <w:r>
              <w:rPr>
                <w:sz w:val="20"/>
              </w:rPr>
              <w:t>1,714</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81" w:type="dxa"/>
            <w:tcBorders/>
            <w:vAlign w:val="bottom"/>
          </w:tcPr>
          <w:p>
            <w:pPr>
              <w:pStyle w:val="TableContents"/>
              <w:bidi w:val="0"/>
              <w:spacing w:before="0" w:after="283"/>
              <w:jc w:val="left"/>
              <w:rPr/>
            </w:pPr>
            <w:r>
              <w:rPr/>
              <w:t> </w:t>
            </w:r>
          </w:p>
        </w:tc>
        <w:tc>
          <w:tcPr>
            <w:tcW w:w="704" w:type="dxa"/>
            <w:tcBorders/>
            <w:vAlign w:val="bottom"/>
          </w:tcPr>
          <w:p>
            <w:pPr>
              <w:pStyle w:val="TableContents"/>
              <w:bidi w:val="0"/>
              <w:spacing w:before="0" w:after="283"/>
              <w:jc w:val="right"/>
              <w:rPr/>
            </w:pPr>
            <w:r>
              <w:rPr/>
              <w:t>—</w:t>
            </w:r>
          </w:p>
        </w:tc>
        <w:tc>
          <w:tcPr>
            <w:tcW w:w="80" w:type="dxa"/>
            <w:tcBorders/>
            <w:vAlign w:val="bottom"/>
          </w:tcPr>
          <w:p>
            <w:pPr>
              <w:pStyle w:val="TableContents"/>
              <w:bidi w:val="0"/>
              <w:spacing w:before="0" w:after="283"/>
              <w:jc w:val="left"/>
              <w:rPr/>
            </w:pPr>
            <w:r>
              <w:rPr/>
              <w:t> </w:t>
            </w:r>
          </w:p>
        </w:tc>
      </w:tr>
      <w:tr>
        <w:trPr/>
        <w:tc>
          <w:tcPr>
            <w:tcW w:w="3905" w:type="dxa"/>
            <w:tcBorders/>
            <w:shd w:fill="CCEEFF" w:val="clear"/>
            <w:vAlign w:val="bottom"/>
          </w:tcPr>
          <w:p>
            <w:pPr>
              <w:pStyle w:val="TableContents"/>
              <w:bidi w:val="0"/>
              <w:spacing w:before="0" w:after="0"/>
              <w:ind w:left="180" w:right="0" w:hanging="180"/>
              <w:jc w:val="both"/>
              <w:rPr>
                <w:sz w:val="20"/>
              </w:rPr>
            </w:pPr>
            <w:r>
              <w:rPr>
                <w:sz w:val="20"/>
              </w:rPr>
              <w:t>Change in fair value</w:t>
            </w:r>
          </w:p>
        </w:tc>
        <w:tc>
          <w:tcPr>
            <w:tcW w:w="60" w:type="dxa"/>
            <w:tcBorders/>
            <w:shd w:fill="CCEEFF" w:val="clear"/>
            <w:vAlign w:val="bottom"/>
          </w:tcPr>
          <w:p>
            <w:pPr>
              <w:pStyle w:val="TableContents"/>
              <w:bidi w:val="0"/>
              <w:spacing w:before="0" w:after="283"/>
              <w:jc w:val="right"/>
              <w:rPr/>
            </w:pPr>
            <w:r>
              <w:rPr/>
              <w:t> </w:t>
            </w:r>
          </w:p>
        </w:tc>
        <w:tc>
          <w:tcPr>
            <w:tcW w:w="164"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21" w:type="dxa"/>
            <w:tcBorders>
              <w:bottom w:val="single" w:sz="12" w:space="0" w:color="000000"/>
            </w:tcBorders>
            <w:shd w:fill="CCEEFF" w:val="clear"/>
            <w:tcMar>
              <w:bottom w:w="28" w:type="dxa"/>
            </w:tcMar>
            <w:vAlign w:val="bottom"/>
          </w:tcPr>
          <w:p>
            <w:pPr>
              <w:pStyle w:val="TableContents"/>
              <w:bidi w:val="0"/>
              <w:spacing w:before="0" w:after="0"/>
              <w:jc w:val="right"/>
              <w:rPr>
                <w:sz w:val="20"/>
              </w:rPr>
            </w:pPr>
            <w:r>
              <w:rPr>
                <w:sz w:val="20"/>
              </w:rPr>
              <w:t>103</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81"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04" w:type="dxa"/>
            <w:tcBorders>
              <w:bottom w:val="single" w:sz="12" w:space="0" w:color="000000"/>
            </w:tcBorders>
            <w:shd w:fill="CCEEFF" w:val="clear"/>
            <w:tcMar>
              <w:bottom w:w="28" w:type="dxa"/>
            </w:tcMar>
            <w:vAlign w:val="bottom"/>
          </w:tcPr>
          <w:p>
            <w:pPr>
              <w:pStyle w:val="TableContents"/>
              <w:bidi w:val="0"/>
              <w:spacing w:before="0" w:after="0"/>
              <w:jc w:val="right"/>
              <w:rPr>
                <w:sz w:val="20"/>
              </w:rPr>
            </w:pPr>
            <w:r>
              <w:rPr>
                <w:sz w:val="20"/>
              </w:rPr>
              <w:t>(836</w:t>
            </w:r>
          </w:p>
        </w:tc>
        <w:tc>
          <w:tcPr>
            <w:tcW w:w="80" w:type="dxa"/>
            <w:tcBorders/>
            <w:shd w:fill="CCEEFF" w:val="clear"/>
            <w:vAlign w:val="bottom"/>
          </w:tcPr>
          <w:p>
            <w:pPr>
              <w:pStyle w:val="TableContents"/>
              <w:bidi w:val="0"/>
              <w:spacing w:before="0" w:after="0"/>
              <w:jc w:val="left"/>
              <w:rPr>
                <w:sz w:val="20"/>
              </w:rPr>
            </w:pPr>
            <w:r>
              <w:rPr>
                <w:sz w:val="20"/>
              </w:rPr>
              <w:t>)</w:t>
            </w:r>
          </w:p>
        </w:tc>
        <w:tc>
          <w:tcPr>
            <w:tcW w:w="60" w:type="dxa"/>
            <w:tcBorders/>
            <w:shd w:fill="CCEEFF" w:val="clear"/>
            <w:vAlign w:val="bottom"/>
          </w:tcPr>
          <w:p>
            <w:pPr>
              <w:pStyle w:val="TableContents"/>
              <w:bidi w:val="0"/>
              <w:spacing w:before="0" w:after="283"/>
              <w:jc w:val="right"/>
              <w:rPr/>
            </w:pPr>
            <w:r>
              <w:rPr/>
              <w:t> </w:t>
            </w:r>
          </w:p>
        </w:tc>
        <w:tc>
          <w:tcPr>
            <w:tcW w:w="181"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04" w:type="dxa"/>
            <w:tcBorders>
              <w:bottom w:val="single" w:sz="12" w:space="0" w:color="000000"/>
            </w:tcBorders>
            <w:shd w:fill="CCEEFF" w:val="clear"/>
            <w:tcMar>
              <w:bottom w:w="28" w:type="dxa"/>
            </w:tcMar>
            <w:vAlign w:val="bottom"/>
          </w:tcPr>
          <w:p>
            <w:pPr>
              <w:pStyle w:val="TableContents"/>
              <w:bidi w:val="0"/>
              <w:spacing w:before="0" w:after="0"/>
              <w:jc w:val="right"/>
              <w:rPr>
                <w:sz w:val="20"/>
              </w:rPr>
            </w:pPr>
            <w:r>
              <w:rPr>
                <w:sz w:val="20"/>
              </w:rPr>
              <w:t>(733</w:t>
            </w:r>
          </w:p>
        </w:tc>
        <w:tc>
          <w:tcPr>
            <w:tcW w:w="80" w:type="dxa"/>
            <w:tcBorders/>
            <w:shd w:fill="CCEEFF" w:val="clear"/>
            <w:vAlign w:val="bottom"/>
          </w:tcPr>
          <w:p>
            <w:pPr>
              <w:pStyle w:val="TableContents"/>
              <w:bidi w:val="0"/>
              <w:spacing w:before="0" w:after="0"/>
              <w:jc w:val="left"/>
              <w:rPr>
                <w:sz w:val="20"/>
              </w:rPr>
            </w:pPr>
            <w:r>
              <w:rPr>
                <w:sz w:val="20"/>
              </w:rPr>
              <w:t>)</w:t>
            </w:r>
          </w:p>
        </w:tc>
      </w:tr>
      <w:tr>
        <w:trPr/>
        <w:tc>
          <w:tcPr>
            <w:tcW w:w="3905" w:type="dxa"/>
            <w:tcBorders/>
            <w:vAlign w:val="bottom"/>
          </w:tcPr>
          <w:p>
            <w:pPr>
              <w:pStyle w:val="TableContents"/>
              <w:bidi w:val="0"/>
              <w:spacing w:before="0" w:after="0"/>
              <w:ind w:left="180" w:right="0" w:hanging="0"/>
              <w:jc w:val="both"/>
              <w:rPr>
                <w:sz w:val="20"/>
              </w:rPr>
            </w:pPr>
            <w:r>
              <w:rPr>
                <w:sz w:val="20"/>
              </w:rPr>
              <w:t>Fair value as of September 30, 2023 (unaudited)</w:t>
            </w:r>
          </w:p>
        </w:tc>
        <w:tc>
          <w:tcPr>
            <w:tcW w:w="60" w:type="dxa"/>
            <w:tcBorders/>
            <w:vAlign w:val="bottom"/>
          </w:tcPr>
          <w:p>
            <w:pPr>
              <w:pStyle w:val="TableContents"/>
              <w:bidi w:val="0"/>
              <w:spacing w:before="0" w:after="283"/>
              <w:jc w:val="right"/>
              <w:rPr/>
            </w:pPr>
            <w:r>
              <w:rPr/>
              <w:t> </w:t>
            </w:r>
          </w:p>
        </w:tc>
        <w:tc>
          <w:tcPr>
            <w:tcW w:w="164" w:type="dxa"/>
            <w:tcBorders>
              <w:bottom w:val="single" w:sz="12" w:space="0" w:color="000000"/>
            </w:tcBorders>
            <w:tcMar>
              <w:bottom w:w="28" w:type="dxa"/>
            </w:tcMar>
            <w:vAlign w:val="bottom"/>
          </w:tcPr>
          <w:p>
            <w:pPr>
              <w:pStyle w:val="TableContents"/>
              <w:bidi w:val="0"/>
              <w:spacing w:before="0" w:after="0"/>
              <w:jc w:val="left"/>
              <w:rPr>
                <w:sz w:val="20"/>
              </w:rPr>
            </w:pPr>
            <w:r>
              <w:rPr>
                <w:sz w:val="20"/>
              </w:rPr>
              <w:t>$</w:t>
            </w:r>
          </w:p>
        </w:tc>
        <w:tc>
          <w:tcPr>
            <w:tcW w:w="721" w:type="dxa"/>
            <w:tcBorders>
              <w:bottom w:val="single" w:sz="12" w:space="0" w:color="000000"/>
            </w:tcBorders>
            <w:tcMar>
              <w:bottom w:w="28" w:type="dxa"/>
            </w:tcMar>
            <w:vAlign w:val="bottom"/>
          </w:tcPr>
          <w:p>
            <w:pPr>
              <w:pStyle w:val="TableContents"/>
              <w:bidi w:val="0"/>
              <w:spacing w:before="0" w:after="0"/>
              <w:jc w:val="right"/>
              <w:rPr>
                <w:sz w:val="20"/>
              </w:rPr>
            </w:pPr>
            <w:r>
              <w:rPr>
                <w:sz w:val="20"/>
              </w:rPr>
              <w:t>2,289</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81" w:type="dxa"/>
            <w:tcBorders>
              <w:bottom w:val="single" w:sz="12" w:space="0" w:color="000000"/>
            </w:tcBorders>
            <w:tcMar>
              <w:bottom w:w="28" w:type="dxa"/>
            </w:tcMar>
            <w:vAlign w:val="bottom"/>
          </w:tcPr>
          <w:p>
            <w:pPr>
              <w:pStyle w:val="TableContents"/>
              <w:bidi w:val="0"/>
              <w:spacing w:before="0" w:after="0"/>
              <w:jc w:val="left"/>
              <w:rPr>
                <w:sz w:val="20"/>
              </w:rPr>
            </w:pPr>
            <w:r>
              <w:rPr>
                <w:sz w:val="20"/>
              </w:rPr>
              <w:t>$</w:t>
            </w:r>
          </w:p>
        </w:tc>
        <w:tc>
          <w:tcPr>
            <w:tcW w:w="704" w:type="dxa"/>
            <w:tcBorders>
              <w:bottom w:val="single" w:sz="12" w:space="0" w:color="000000"/>
            </w:tcBorders>
            <w:tcMar>
              <w:bottom w:w="28" w:type="dxa"/>
            </w:tcMar>
            <w:vAlign w:val="bottom"/>
          </w:tcPr>
          <w:p>
            <w:pPr>
              <w:pStyle w:val="TableContents"/>
              <w:bidi w:val="0"/>
              <w:spacing w:before="0" w:after="0"/>
              <w:jc w:val="right"/>
              <w:rPr>
                <w:sz w:val="20"/>
              </w:rPr>
            </w:pPr>
            <w:r>
              <w:rPr>
                <w:sz w:val="20"/>
              </w:rPr>
              <w:t>3,734</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81" w:type="dxa"/>
            <w:tcBorders>
              <w:bottom w:val="single" w:sz="12" w:space="0" w:color="000000"/>
            </w:tcBorders>
            <w:tcMar>
              <w:bottom w:w="28" w:type="dxa"/>
            </w:tcMar>
            <w:vAlign w:val="bottom"/>
          </w:tcPr>
          <w:p>
            <w:pPr>
              <w:pStyle w:val="TableContents"/>
              <w:bidi w:val="0"/>
              <w:spacing w:before="0" w:after="0"/>
              <w:jc w:val="left"/>
              <w:rPr>
                <w:sz w:val="20"/>
              </w:rPr>
            </w:pPr>
            <w:r>
              <w:rPr>
                <w:sz w:val="20"/>
              </w:rPr>
              <w:t>$</w:t>
            </w:r>
          </w:p>
        </w:tc>
        <w:tc>
          <w:tcPr>
            <w:tcW w:w="704" w:type="dxa"/>
            <w:tcBorders>
              <w:bottom w:val="single" w:sz="12" w:space="0" w:color="000000"/>
            </w:tcBorders>
            <w:tcMar>
              <w:bottom w:w="28" w:type="dxa"/>
            </w:tcMar>
            <w:vAlign w:val="bottom"/>
          </w:tcPr>
          <w:p>
            <w:pPr>
              <w:pStyle w:val="TableContents"/>
              <w:bidi w:val="0"/>
              <w:spacing w:before="0" w:after="0"/>
              <w:jc w:val="right"/>
              <w:rPr>
                <w:sz w:val="20"/>
              </w:rPr>
            </w:pPr>
            <w:r>
              <w:rPr>
                <w:sz w:val="20"/>
              </w:rPr>
              <w:t>6,023</w:t>
            </w:r>
          </w:p>
        </w:tc>
        <w:tc>
          <w:tcPr>
            <w:tcW w:w="80" w:type="dxa"/>
            <w:tcBorders/>
            <w:vAlign w:val="bottom"/>
          </w:tcPr>
          <w:p>
            <w:pPr>
              <w:pStyle w:val="TableContents"/>
              <w:bidi w:val="0"/>
              <w:spacing w:before="0" w:after="283"/>
              <w:jc w:val="left"/>
              <w:rPr/>
            </w:pPr>
            <w:r>
              <w:rPr/>
              <w:t> </w:t>
            </w:r>
          </w:p>
        </w:tc>
      </w:tr>
    </w:tbl>
    <w:p>
      <w:pPr>
        <w:pStyle w:val="TextBody"/>
        <w:bidi w:val="0"/>
        <w:spacing w:before="0" w:after="0"/>
        <w:ind w:left="1170" w:right="0" w:hanging="0"/>
        <w:jc w:val="left"/>
        <w:rPr>
          <w:sz w:val="20"/>
        </w:rPr>
      </w:pPr>
      <w:r>
        <w:rPr>
          <w:sz w:val="20"/>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15</w:t>
      </w:r>
    </w:p>
    <w:p>
      <w:pPr>
        <w:pStyle w:val="HorizontalLine"/>
        <w:bidi w:val="0"/>
        <w:spacing w:before="200" w:after="200"/>
        <w:jc w:val="left"/>
        <w:rPr/>
      </w:pPr>
      <w:r>
        <w:rPr/>
      </w:r>
    </w:p>
    <w:p>
      <w:pPr>
        <w:pStyle w:val="TextBody"/>
        <w:bidi w:val="0"/>
        <w:spacing w:before="200" w:after="200"/>
        <w:jc w:val="left"/>
        <w:rPr/>
      </w:pPr>
      <w:hyperlink w:anchor="Contents">
        <w:r>
          <w:rPr>
            <w:rStyle w:val="InternetLink"/>
            <w:rFonts w:ascii="Times New Roman" w:hAnsi="Times New Roman"/>
            <w:i/>
            <w:color w:val="000000"/>
            <w:sz w:val="16"/>
            <w:shd w:fill="FFFFFF" w:val="clear"/>
          </w:rPr>
          <w:t>Table of Contents</w:t>
        </w:r>
      </w:hyperlink>
    </w:p>
    <w:p>
      <w:pPr>
        <w:pStyle w:val="TextBody"/>
        <w:bidi w:val="0"/>
        <w:spacing w:before="200" w:after="200"/>
        <w:jc w:val="right"/>
        <w:rPr>
          <w:rFonts w:ascii="Times New Roman" w:hAnsi="Times New Roman"/>
          <w:b/>
          <w:color w:val="000000"/>
          <w:sz w:val="18"/>
          <w:bdr w:val="single" w:sz="12" w:space="1" w:color="000000"/>
          <w:shd w:fill="FFFFFF" w:val="clear"/>
        </w:rPr>
      </w:pPr>
      <w:r>
        <w:rPr>
          <w:rFonts w:ascii="Times New Roman" w:hAnsi="Times New Roman"/>
          <w:b/>
          <w:color w:val="000000"/>
          <w:sz w:val="18"/>
          <w:bdr w:val="single" w:sz="12" w:space="1" w:color="000000"/>
          <w:shd w:fill="FFFFFF" w:val="clear"/>
        </w:rPr>
        <w:t>TABOOLA.COM LTD.</w:t>
      </w:r>
    </w:p>
    <w:p>
      <w:pPr>
        <w:pStyle w:val="TextBody"/>
        <w:bidi w:val="0"/>
        <w:spacing w:before="200" w:after="200"/>
        <w:jc w:val="right"/>
        <w:rPr>
          <w:b/>
        </w:rPr>
      </w:pPr>
      <w:r>
        <w:rPr>
          <w:b/>
        </w:rPr>
      </w:r>
    </w:p>
    <w:p>
      <w:pPr>
        <w:pStyle w:val="TextBody"/>
        <w:bidi w:val="0"/>
        <w:spacing w:before="200" w:after="200"/>
        <w:jc w:val="left"/>
        <w:rPr>
          <w:rFonts w:ascii="Times New Roman" w:hAnsi="Times New Roman"/>
          <w:b/>
          <w:color w:val="000000"/>
          <w:sz w:val="18"/>
          <w:bdr w:val="single" w:sz="12" w:space="1" w:color="000000"/>
          <w:shd w:fill="FFFFFF" w:val="clear"/>
        </w:rPr>
      </w:pPr>
      <w:r>
        <w:rPr>
          <w:rFonts w:ascii="Times New Roman" w:hAnsi="Times New Roman"/>
          <w:b/>
          <w:color w:val="000000"/>
          <w:sz w:val="18"/>
          <w:bdr w:val="single" w:sz="12" w:space="1" w:color="000000"/>
          <w:shd w:fill="FFFFFF" w:val="clear"/>
        </w:rPr>
        <w:t>NOTES TO THE CONSOLIDATED INTERIM FINANCIAL STATEMENTS</w:t>
      </w:r>
    </w:p>
    <w:p>
      <w:pPr>
        <w:pStyle w:val="TextBody"/>
        <w:bidi w:val="0"/>
        <w:spacing w:before="200" w:after="200"/>
        <w:jc w:val="left"/>
        <w:rPr>
          <w:rFonts w:ascii="Times New Roman" w:hAnsi="Times New Roman"/>
          <w:b/>
          <w:color w:val="000000"/>
          <w:sz w:val="18"/>
          <w:shd w:fill="FFFFFF" w:val="clear"/>
        </w:rPr>
      </w:pPr>
      <w:r>
        <w:rPr>
          <w:rFonts w:ascii="Times New Roman" w:hAnsi="Times New Roman"/>
          <w:b/>
          <w:color w:val="000000"/>
          <w:sz w:val="18"/>
          <w:shd w:fill="FFFFFF" w:val="clear"/>
        </w:rPr>
        <w:t>U.S. dollars in thousands, except share and per share data</w:t>
      </w:r>
    </w:p>
    <w:tbl>
      <w:tblPr>
        <w:tblW w:w="3670" w:type="dxa"/>
        <w:jc w:val="left"/>
        <w:tblInd w:w="0" w:type="dxa"/>
        <w:tblLayout w:type="fixed"/>
        <w:tblCellMar>
          <w:top w:w="0" w:type="dxa"/>
          <w:left w:w="0" w:type="dxa"/>
          <w:bottom w:w="0" w:type="dxa"/>
          <w:right w:w="0" w:type="dxa"/>
        </w:tblCellMar>
      </w:tblPr>
      <w:tblGrid>
        <w:gridCol w:w="860"/>
        <w:gridCol w:w="2810"/>
      </w:tblGrid>
      <w:tr>
        <w:trPr/>
        <w:tc>
          <w:tcPr>
            <w:tcW w:w="860" w:type="dxa"/>
            <w:tcBorders/>
            <w:vAlign w:val="center"/>
          </w:tcPr>
          <w:p>
            <w:pPr>
              <w:pStyle w:val="TableContents"/>
              <w:bidi w:val="0"/>
              <w:spacing w:before="0" w:after="283"/>
              <w:jc w:val="left"/>
              <w:rPr>
                <w:rFonts w:ascii="Times New Roman" w:hAnsi="Times New Roman"/>
                <w:b/>
                <w:sz w:val="20"/>
              </w:rPr>
            </w:pPr>
            <w:r>
              <w:rPr>
                <w:rFonts w:ascii="Times New Roman" w:hAnsi="Times New Roman"/>
                <w:b/>
                <w:sz w:val="20"/>
              </w:rPr>
              <w:t>NOTE 5:-</w:t>
            </w:r>
          </w:p>
        </w:tc>
        <w:tc>
          <w:tcPr>
            <w:tcW w:w="2810" w:type="dxa"/>
            <w:tcBorders/>
            <w:vAlign w:val="center"/>
          </w:tcPr>
          <w:p>
            <w:pPr>
              <w:pStyle w:val="TableContents"/>
              <w:bidi w:val="0"/>
              <w:spacing w:before="0" w:after="0"/>
              <w:jc w:val="both"/>
              <w:rPr>
                <w:rFonts w:ascii="Times New Roman" w:hAnsi="Times New Roman"/>
                <w:b/>
                <w:sz w:val="20"/>
              </w:rPr>
            </w:pPr>
            <w:r>
              <w:rPr>
                <w:rFonts w:ascii="Times New Roman" w:hAnsi="Times New Roman"/>
                <w:b/>
                <w:sz w:val="20"/>
              </w:rPr>
              <w:t>SHORT-TERM INVESTMENTS</w:t>
            </w:r>
          </w:p>
        </w:tc>
      </w:tr>
    </w:tbl>
    <w:p>
      <w:pPr>
        <w:pStyle w:val="TextBody"/>
        <w:bidi w:val="0"/>
        <w:spacing w:before="0" w:after="0"/>
        <w:ind w:left="1170" w:right="0" w:hanging="0"/>
        <w:jc w:val="both"/>
        <w:rPr>
          <w:rFonts w:ascii="Times New Roman" w:hAnsi="Times New Roman"/>
          <w:sz w:val="20"/>
        </w:rPr>
      </w:pPr>
      <w:r>
        <w:rPr>
          <w:rFonts w:ascii="Times New Roman" w:hAnsi="Times New Roman"/>
          <w:sz w:val="20"/>
        </w:rPr>
      </w:r>
    </w:p>
    <w:p>
      <w:pPr>
        <w:pStyle w:val="TextBody"/>
        <w:bidi w:val="0"/>
        <w:spacing w:before="0" w:after="0"/>
        <w:ind w:left="1170" w:right="0" w:hanging="0"/>
        <w:jc w:val="both"/>
        <w:rPr>
          <w:rFonts w:ascii="Times New Roman" w:hAnsi="Times New Roman"/>
          <w:color w:val="000000"/>
          <w:sz w:val="20"/>
          <w:shd w:fill="FFFFFF" w:val="clear"/>
        </w:rPr>
      </w:pPr>
      <w:r>
        <w:rPr>
          <w:rFonts w:ascii="Times New Roman" w:hAnsi="Times New Roman"/>
          <w:color w:val="000000"/>
          <w:sz w:val="20"/>
          <w:shd w:fill="FFFFFF" w:val="clear"/>
        </w:rPr>
        <w:t>The following is a summary of available-for-sale marketable securities:</w:t>
      </w:r>
    </w:p>
    <w:p>
      <w:pPr>
        <w:pStyle w:val="TextBody"/>
        <w:bidi w:val="0"/>
        <w:spacing w:before="0" w:after="0"/>
        <w:jc w:val="left"/>
        <w:rPr>
          <w:rFonts w:ascii="Times New Roman" w:hAnsi="Times New Roman"/>
          <w:sz w:val="20"/>
        </w:rPr>
      </w:pPr>
      <w:r>
        <w:rPr>
          <w:rFonts w:ascii="Times New Roman" w:hAnsi="Times New Roman"/>
          <w:sz w:val="20"/>
        </w:rPr>
      </w:r>
    </w:p>
    <w:tbl>
      <w:tblPr>
        <w:tblW w:w="6447" w:type="dxa"/>
        <w:jc w:val="left"/>
        <w:tblInd w:w="1170" w:type="dxa"/>
        <w:tblLayout w:type="fixed"/>
        <w:tblCellMar>
          <w:top w:w="0" w:type="dxa"/>
          <w:left w:w="0" w:type="dxa"/>
          <w:bottom w:w="0" w:type="dxa"/>
          <w:right w:w="0" w:type="dxa"/>
        </w:tblCellMar>
      </w:tblPr>
      <w:tblGrid>
        <w:gridCol w:w="2045"/>
        <w:gridCol w:w="60"/>
        <w:gridCol w:w="170"/>
        <w:gridCol w:w="793"/>
        <w:gridCol w:w="60"/>
        <w:gridCol w:w="60"/>
        <w:gridCol w:w="321"/>
        <w:gridCol w:w="669"/>
        <w:gridCol w:w="60"/>
        <w:gridCol w:w="60"/>
        <w:gridCol w:w="298"/>
        <w:gridCol w:w="692"/>
        <w:gridCol w:w="80"/>
        <w:gridCol w:w="60"/>
        <w:gridCol w:w="176"/>
        <w:gridCol w:w="783"/>
        <w:gridCol w:w="60"/>
      </w:tblGrid>
      <w:tr>
        <w:trPr/>
        <w:tc>
          <w:tcPr>
            <w:tcW w:w="20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282" w:type="dxa"/>
            <w:gridSpan w:val="14"/>
            <w:tcBorders>
              <w:bottom w:val="single" w:sz="12" w:space="0" w:color="000000"/>
            </w:tcBorders>
            <w:tcMar>
              <w:bottom w:w="28" w:type="dxa"/>
            </w:tcMar>
            <w:vAlign w:val="bottom"/>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September 30, 2023</w:t>
            </w:r>
          </w:p>
        </w:tc>
        <w:tc>
          <w:tcPr>
            <w:tcW w:w="60" w:type="dxa"/>
            <w:tcBorders/>
            <w:vAlign w:val="bottom"/>
          </w:tcPr>
          <w:p>
            <w:pPr>
              <w:pStyle w:val="TableContents"/>
              <w:bidi w:val="0"/>
              <w:spacing w:before="0" w:after="283"/>
              <w:jc w:val="left"/>
              <w:rPr/>
            </w:pPr>
            <w:r>
              <w:rPr/>
              <w:t> </w:t>
            </w:r>
          </w:p>
        </w:tc>
      </w:tr>
      <w:tr>
        <w:trPr/>
        <w:tc>
          <w:tcPr>
            <w:tcW w:w="20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282" w:type="dxa"/>
            <w:gridSpan w:val="14"/>
            <w:tcBorders>
              <w:bottom w:val="single" w:sz="12" w:space="0" w:color="000000"/>
            </w:tcBorders>
            <w:tcMar>
              <w:bottom w:w="28" w:type="dxa"/>
            </w:tcMar>
            <w:vAlign w:val="bottom"/>
          </w:tcPr>
          <w:p>
            <w:pPr>
              <w:pStyle w:val="TableContents"/>
              <w:bidi w:val="0"/>
              <w:spacing w:before="0" w:after="0"/>
              <w:ind w:left="0" w:right="0" w:hanging="40"/>
              <w:jc w:val="center"/>
              <w:rPr>
                <w:rFonts w:ascii="Times New Roman" w:hAnsi="Times New Roman"/>
                <w:b/>
                <w:sz w:val="20"/>
              </w:rPr>
            </w:pPr>
            <w:r>
              <w:rPr>
                <w:rFonts w:ascii="Times New Roman" w:hAnsi="Times New Roman"/>
                <w:b/>
                <w:sz w:val="20"/>
              </w:rPr>
              <w:t>Unaudited</w:t>
            </w:r>
          </w:p>
        </w:tc>
        <w:tc>
          <w:tcPr>
            <w:tcW w:w="60" w:type="dxa"/>
            <w:tcBorders/>
            <w:vAlign w:val="bottom"/>
          </w:tcPr>
          <w:p>
            <w:pPr>
              <w:pStyle w:val="TableContents"/>
              <w:bidi w:val="0"/>
              <w:spacing w:before="0" w:after="283"/>
              <w:jc w:val="left"/>
              <w:rPr/>
            </w:pPr>
            <w:r>
              <w:rPr/>
              <w:t> </w:t>
            </w:r>
          </w:p>
        </w:tc>
      </w:tr>
      <w:tr>
        <w:trPr/>
        <w:tc>
          <w:tcPr>
            <w:tcW w:w="20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63" w:type="dxa"/>
            <w:gridSpan w:val="2"/>
            <w:tcBorders>
              <w:bottom w:val="single" w:sz="12" w:space="0" w:color="000000"/>
            </w:tcBorders>
            <w:tcMar>
              <w:bottom w:w="28" w:type="dxa"/>
            </w:tcMar>
            <w:vAlign w:val="bottom"/>
          </w:tcPr>
          <w:p>
            <w:pPr>
              <w:pStyle w:val="TableContents"/>
              <w:bidi w:val="0"/>
              <w:spacing w:before="0" w:after="0"/>
              <w:ind w:left="0" w:right="0" w:firstLine="40"/>
              <w:jc w:val="center"/>
              <w:rPr>
                <w:rFonts w:ascii="Times New Roman" w:hAnsi="Times New Roman"/>
                <w:b/>
                <w:sz w:val="20"/>
              </w:rPr>
            </w:pPr>
            <w:r>
              <w:rPr>
                <w:rFonts w:ascii="Times New Roman" w:hAnsi="Times New Roman"/>
                <w:b/>
                <w:sz w:val="20"/>
              </w:rPr>
              <w:t>Amortized</w:t>
            </w:r>
          </w:p>
          <w:p>
            <w:pPr>
              <w:pStyle w:val="TableContents"/>
              <w:bidi w:val="0"/>
              <w:spacing w:before="0" w:after="0"/>
              <w:ind w:left="0" w:right="0" w:firstLine="40"/>
              <w:jc w:val="center"/>
              <w:rPr>
                <w:rFonts w:ascii="Times New Roman" w:hAnsi="Times New Roman"/>
                <w:b/>
                <w:sz w:val="20"/>
              </w:rPr>
            </w:pPr>
            <w:r>
              <w:rPr>
                <w:rFonts w:ascii="Times New Roman" w:hAnsi="Times New Roman"/>
                <w:b/>
                <w:sz w:val="20"/>
              </w:rPr>
              <w:t>Cost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0" w:type="dxa"/>
            <w:gridSpan w:val="2"/>
            <w:tcBorders>
              <w:bottom w:val="single" w:sz="12" w:space="0" w:color="000000"/>
            </w:tcBorders>
            <w:tcMar>
              <w:bottom w:w="28" w:type="dxa"/>
            </w:tcMar>
            <w:vAlign w:val="bottom"/>
          </w:tcPr>
          <w:p>
            <w:pPr>
              <w:pStyle w:val="TableContents"/>
              <w:bidi w:val="0"/>
              <w:spacing w:before="0" w:after="0"/>
              <w:ind w:left="0" w:right="0" w:firstLine="40"/>
              <w:jc w:val="center"/>
              <w:rPr>
                <w:rFonts w:ascii="Times New Roman" w:hAnsi="Times New Roman"/>
                <w:b/>
                <w:sz w:val="20"/>
              </w:rPr>
            </w:pPr>
            <w:r>
              <w:rPr>
                <w:rFonts w:ascii="Times New Roman" w:hAnsi="Times New Roman"/>
                <w:b/>
                <w:sz w:val="20"/>
              </w:rPr>
              <w:t>Gross</w:t>
            </w:r>
          </w:p>
          <w:p>
            <w:pPr>
              <w:pStyle w:val="TableContents"/>
              <w:bidi w:val="0"/>
              <w:spacing w:before="0" w:after="0"/>
              <w:ind w:left="0" w:right="0" w:firstLine="40"/>
              <w:jc w:val="center"/>
              <w:rPr>
                <w:rFonts w:ascii="Times New Roman" w:hAnsi="Times New Roman"/>
                <w:b/>
                <w:sz w:val="20"/>
              </w:rPr>
            </w:pPr>
            <w:r>
              <w:rPr>
                <w:rFonts w:ascii="Times New Roman" w:hAnsi="Times New Roman"/>
                <w:b/>
                <w:sz w:val="20"/>
              </w:rPr>
              <w:t>Unrealized</w:t>
            </w:r>
          </w:p>
          <w:p>
            <w:pPr>
              <w:pStyle w:val="TableContents"/>
              <w:bidi w:val="0"/>
              <w:spacing w:before="0" w:after="0"/>
              <w:ind w:left="0" w:right="0" w:firstLine="40"/>
              <w:jc w:val="center"/>
              <w:rPr>
                <w:rFonts w:ascii="Times New Roman" w:hAnsi="Times New Roman"/>
                <w:b/>
                <w:sz w:val="20"/>
              </w:rPr>
            </w:pPr>
            <w:r>
              <w:rPr>
                <w:rFonts w:ascii="Times New Roman" w:hAnsi="Times New Roman"/>
                <w:b/>
                <w:sz w:val="20"/>
              </w:rPr>
              <w:t>Gains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0" w:type="dxa"/>
            <w:gridSpan w:val="2"/>
            <w:tcBorders>
              <w:bottom w:val="single" w:sz="12" w:space="0" w:color="000000"/>
            </w:tcBorders>
            <w:tcMar>
              <w:bottom w:w="28" w:type="dxa"/>
            </w:tcMar>
            <w:vAlign w:val="bottom"/>
          </w:tcPr>
          <w:p>
            <w:pPr>
              <w:pStyle w:val="TableContents"/>
              <w:bidi w:val="0"/>
              <w:spacing w:before="0" w:after="0"/>
              <w:ind w:left="0" w:right="0" w:firstLine="40"/>
              <w:jc w:val="center"/>
              <w:rPr>
                <w:rFonts w:ascii="Times New Roman" w:hAnsi="Times New Roman"/>
                <w:b/>
                <w:sz w:val="20"/>
              </w:rPr>
            </w:pPr>
            <w:r>
              <w:rPr>
                <w:rFonts w:ascii="Times New Roman" w:hAnsi="Times New Roman"/>
                <w:b/>
                <w:sz w:val="20"/>
              </w:rPr>
              <w:t>Gross</w:t>
            </w:r>
          </w:p>
          <w:p>
            <w:pPr>
              <w:pStyle w:val="TableContents"/>
              <w:bidi w:val="0"/>
              <w:spacing w:before="0" w:after="0"/>
              <w:ind w:left="0" w:right="0" w:firstLine="40"/>
              <w:jc w:val="center"/>
              <w:rPr>
                <w:rFonts w:ascii="Times New Roman" w:hAnsi="Times New Roman"/>
                <w:b/>
                <w:sz w:val="20"/>
              </w:rPr>
            </w:pPr>
            <w:r>
              <w:rPr>
                <w:rFonts w:ascii="Times New Roman" w:hAnsi="Times New Roman"/>
                <w:b/>
                <w:sz w:val="20"/>
              </w:rPr>
              <w:t>Unrealized</w:t>
            </w:r>
          </w:p>
          <w:p>
            <w:pPr>
              <w:pStyle w:val="TableContents"/>
              <w:bidi w:val="0"/>
              <w:spacing w:before="0" w:after="0"/>
              <w:ind w:left="0" w:right="0" w:firstLine="40"/>
              <w:jc w:val="center"/>
              <w:rPr>
                <w:rFonts w:ascii="Times New Roman" w:hAnsi="Times New Roman"/>
                <w:b/>
                <w:sz w:val="20"/>
              </w:rPr>
            </w:pPr>
            <w:r>
              <w:rPr>
                <w:rFonts w:ascii="Times New Roman" w:hAnsi="Times New Roman"/>
                <w:b/>
                <w:sz w:val="20"/>
              </w:rPr>
              <w:t>Losses</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59" w:type="dxa"/>
            <w:gridSpan w:val="2"/>
            <w:tcBorders>
              <w:bottom w:val="single" w:sz="12" w:space="0" w:color="000000"/>
            </w:tcBorders>
            <w:tcMar>
              <w:bottom w:w="28" w:type="dxa"/>
            </w:tcMar>
            <w:vAlign w:val="bottom"/>
          </w:tcPr>
          <w:p>
            <w:pPr>
              <w:pStyle w:val="TableContents"/>
              <w:bidi w:val="0"/>
              <w:spacing w:before="0" w:after="0"/>
              <w:ind w:left="0" w:right="0" w:firstLine="40"/>
              <w:jc w:val="center"/>
              <w:rPr>
                <w:rFonts w:ascii="Times New Roman" w:hAnsi="Times New Roman"/>
                <w:b/>
                <w:sz w:val="20"/>
              </w:rPr>
            </w:pPr>
            <w:r>
              <w:rPr>
                <w:rFonts w:ascii="Times New Roman" w:hAnsi="Times New Roman"/>
                <w:b/>
                <w:sz w:val="20"/>
              </w:rPr>
              <w:t xml:space="preserve">Estimated </w:t>
            </w:r>
          </w:p>
          <w:p>
            <w:pPr>
              <w:pStyle w:val="TableContents"/>
              <w:bidi w:val="0"/>
              <w:spacing w:before="0" w:after="0"/>
              <w:ind w:left="0" w:right="0" w:firstLine="40"/>
              <w:jc w:val="center"/>
              <w:rPr>
                <w:rFonts w:ascii="Times New Roman" w:hAnsi="Times New Roman"/>
                <w:b/>
                <w:sz w:val="20"/>
              </w:rPr>
            </w:pPr>
            <w:r>
              <w:rPr>
                <w:rFonts w:ascii="Times New Roman" w:hAnsi="Times New Roman"/>
                <w:b/>
                <w:sz w:val="20"/>
              </w:rPr>
              <w:t>Fair</w:t>
            </w:r>
          </w:p>
          <w:p>
            <w:pPr>
              <w:pStyle w:val="TableContents"/>
              <w:bidi w:val="0"/>
              <w:spacing w:before="0" w:after="0"/>
              <w:ind w:left="0" w:right="0" w:firstLine="40"/>
              <w:jc w:val="center"/>
              <w:rPr>
                <w:rFonts w:ascii="Times New Roman" w:hAnsi="Times New Roman"/>
                <w:b/>
                <w:sz w:val="20"/>
              </w:rPr>
            </w:pPr>
            <w:r>
              <w:rPr>
                <w:rFonts w:ascii="Times New Roman" w:hAnsi="Times New Roman"/>
                <w:b/>
                <w:sz w:val="20"/>
              </w:rPr>
              <w:t>Value</w:t>
            </w:r>
          </w:p>
        </w:tc>
        <w:tc>
          <w:tcPr>
            <w:tcW w:w="60" w:type="dxa"/>
            <w:tcBorders/>
            <w:vAlign w:val="bottom"/>
          </w:tcPr>
          <w:p>
            <w:pPr>
              <w:pStyle w:val="TableContents"/>
              <w:bidi w:val="0"/>
              <w:spacing w:before="0" w:after="283"/>
              <w:jc w:val="left"/>
              <w:rPr/>
            </w:pPr>
            <w:r>
              <w:rPr/>
              <w:t> </w:t>
            </w:r>
          </w:p>
        </w:tc>
      </w:tr>
      <w:tr>
        <w:trPr/>
        <w:tc>
          <w:tcPr>
            <w:tcW w:w="2045" w:type="dxa"/>
            <w:tcBorders/>
            <w:shd w:fill="CCEEFF" w:val="clear"/>
            <w:vAlign w:val="bottom"/>
          </w:tcPr>
          <w:p>
            <w:pPr>
              <w:pStyle w:val="TableContents"/>
              <w:bidi w:val="0"/>
              <w:spacing w:before="0" w:after="0"/>
              <w:ind w:left="180" w:right="0" w:hanging="180"/>
              <w:jc w:val="both"/>
              <w:rPr>
                <w:rFonts w:ascii="Times New Roman" w:hAnsi="Times New Roman"/>
                <w:sz w:val="20"/>
              </w:rPr>
            </w:pPr>
            <w:r>
              <w:rPr>
                <w:rFonts w:ascii="Times New Roman" w:hAnsi="Times New Roman"/>
                <w:sz w:val="20"/>
              </w:rPr>
              <w:t>Corporate debt securities</w:t>
            </w:r>
          </w:p>
        </w:tc>
        <w:tc>
          <w:tcPr>
            <w:tcW w:w="6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sz w:val="20"/>
              </w:rPr>
            </w:pPr>
            <w:r>
              <w:rPr>
                <w:sz w:val="20"/>
              </w:rPr>
              <w:t xml:space="preserve">$ </w:t>
            </w:r>
          </w:p>
        </w:tc>
        <w:tc>
          <w:tcPr>
            <w:tcW w:w="793"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7,943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321" w:type="dxa"/>
            <w:tcBorders/>
            <w:shd w:fill="CCEEFF" w:val="clear"/>
            <w:vAlign w:val="bottom"/>
          </w:tcPr>
          <w:p>
            <w:pPr>
              <w:pStyle w:val="TableContents"/>
              <w:bidi w:val="0"/>
              <w:spacing w:before="0" w:after="283"/>
              <w:jc w:val="left"/>
              <w:rPr>
                <w:sz w:val="20"/>
              </w:rPr>
            </w:pPr>
            <w:r>
              <w:rPr>
                <w:sz w:val="20"/>
              </w:rPr>
              <w:t xml:space="preserve">$ </w:t>
            </w:r>
          </w:p>
        </w:tc>
        <w:tc>
          <w:tcPr>
            <w:tcW w:w="669" w:type="dxa"/>
            <w:tcBorders/>
            <w:shd w:fill="CCEEFF" w:val="clear"/>
            <w:vAlign w:val="bottom"/>
          </w:tcPr>
          <w:p>
            <w:pPr>
              <w:pStyle w:val="TableContents"/>
              <w:bidi w:val="0"/>
              <w:spacing w:before="0" w:after="0"/>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98" w:type="dxa"/>
            <w:tcBorders/>
            <w:shd w:fill="CCEEFF" w:val="clear"/>
            <w:vAlign w:val="bottom"/>
          </w:tcPr>
          <w:p>
            <w:pPr>
              <w:pStyle w:val="TableContents"/>
              <w:bidi w:val="0"/>
              <w:spacing w:before="0" w:after="283"/>
              <w:jc w:val="left"/>
              <w:rPr>
                <w:sz w:val="20"/>
              </w:rPr>
            </w:pPr>
            <w:r>
              <w:rPr>
                <w:sz w:val="20"/>
              </w:rPr>
              <w:t xml:space="preserve">$ </w:t>
            </w:r>
          </w:p>
        </w:tc>
        <w:tc>
          <w:tcPr>
            <w:tcW w:w="692"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(11</w:t>
            </w:r>
          </w:p>
        </w:tc>
        <w:tc>
          <w:tcPr>
            <w:tcW w:w="8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right"/>
              <w:rPr/>
            </w:pPr>
            <w:r>
              <w:rPr/>
              <w:t> </w:t>
            </w:r>
          </w:p>
        </w:tc>
        <w:tc>
          <w:tcPr>
            <w:tcW w:w="176" w:type="dxa"/>
            <w:tcBorders/>
            <w:shd w:fill="CCEEFF" w:val="clear"/>
            <w:vAlign w:val="bottom"/>
          </w:tcPr>
          <w:p>
            <w:pPr>
              <w:pStyle w:val="TableContents"/>
              <w:bidi w:val="0"/>
              <w:spacing w:before="0" w:after="283"/>
              <w:jc w:val="left"/>
              <w:rPr>
                <w:sz w:val="20"/>
              </w:rPr>
            </w:pPr>
            <w:r>
              <w:rPr>
                <w:sz w:val="20"/>
              </w:rPr>
              <w:t xml:space="preserve">$ </w:t>
            </w:r>
          </w:p>
        </w:tc>
        <w:tc>
          <w:tcPr>
            <w:tcW w:w="783"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7,932</w:t>
            </w:r>
          </w:p>
        </w:tc>
        <w:tc>
          <w:tcPr>
            <w:tcW w:w="60" w:type="dxa"/>
            <w:tcBorders/>
            <w:shd w:fill="CCEEFF" w:val="clear"/>
            <w:vAlign w:val="bottom"/>
          </w:tcPr>
          <w:p>
            <w:pPr>
              <w:pStyle w:val="TableContents"/>
              <w:bidi w:val="0"/>
              <w:spacing w:before="0" w:after="283"/>
              <w:jc w:val="left"/>
              <w:rPr/>
            </w:pPr>
            <w:r>
              <w:rPr/>
              <w:t> </w:t>
            </w:r>
          </w:p>
        </w:tc>
      </w:tr>
      <w:tr>
        <w:trPr/>
        <w:tc>
          <w:tcPr>
            <w:tcW w:w="2045" w:type="dxa"/>
            <w:tcBorders/>
            <w:vAlign w:val="bottom"/>
          </w:tcPr>
          <w:p>
            <w:pPr>
              <w:pStyle w:val="TableContents"/>
              <w:bidi w:val="0"/>
              <w:spacing w:before="0" w:after="0"/>
              <w:ind w:left="180" w:right="0" w:hanging="180"/>
              <w:jc w:val="both"/>
              <w:rPr>
                <w:rFonts w:ascii="Times New Roman" w:hAnsi="Times New Roman"/>
                <w:sz w:val="20"/>
              </w:rPr>
            </w:pPr>
            <w:r>
              <w:rPr>
                <w:rFonts w:ascii="Times New Roman" w:hAnsi="Times New Roman"/>
                <w:sz w:val="20"/>
              </w:rPr>
              <w:t>Commercial paper</w:t>
            </w:r>
          </w:p>
        </w:tc>
        <w:tc>
          <w:tcPr>
            <w:tcW w:w="60" w:type="dxa"/>
            <w:tcBorders/>
            <w:vAlign w:val="bottom"/>
          </w:tcPr>
          <w:p>
            <w:pPr>
              <w:pStyle w:val="TableContents"/>
              <w:bidi w:val="0"/>
              <w:spacing w:before="0" w:after="283"/>
              <w:jc w:val="righ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793"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4,542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321" w:type="dxa"/>
            <w:tcBorders>
              <w:bottom w:val="single" w:sz="12" w:space="0" w:color="000000"/>
            </w:tcBorders>
            <w:tcMar>
              <w:bottom w:w="28" w:type="dxa"/>
            </w:tcMar>
            <w:vAlign w:val="bottom"/>
          </w:tcPr>
          <w:p>
            <w:pPr>
              <w:pStyle w:val="TableContents"/>
              <w:bidi w:val="0"/>
              <w:spacing w:before="0" w:after="283"/>
              <w:jc w:val="left"/>
              <w:rPr/>
            </w:pPr>
            <w:r>
              <w:rPr/>
              <w:t> </w:t>
            </w:r>
          </w:p>
        </w:tc>
        <w:tc>
          <w:tcPr>
            <w:tcW w:w="669" w:type="dxa"/>
            <w:tcBorders>
              <w:bottom w:val="single" w:sz="12" w:space="0" w:color="000000"/>
            </w:tcBorders>
            <w:tcMar>
              <w:bottom w:w="28" w:type="dxa"/>
            </w:tcMar>
            <w:vAlign w:val="bottom"/>
          </w:tcPr>
          <w:p>
            <w:pPr>
              <w:pStyle w:val="TableContents"/>
              <w:bidi w:val="0"/>
              <w:spacing w:before="0" w:after="0"/>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98" w:type="dxa"/>
            <w:tcBorders>
              <w:bottom w:val="single" w:sz="12" w:space="0" w:color="000000"/>
            </w:tcBorders>
            <w:tcMar>
              <w:bottom w:w="28" w:type="dxa"/>
            </w:tcMar>
            <w:vAlign w:val="bottom"/>
          </w:tcPr>
          <w:p>
            <w:pPr>
              <w:pStyle w:val="TableContents"/>
              <w:bidi w:val="0"/>
              <w:spacing w:before="0" w:after="283"/>
              <w:jc w:val="left"/>
              <w:rPr/>
            </w:pPr>
            <w:r>
              <w:rPr/>
              <w:t> </w:t>
            </w:r>
          </w:p>
        </w:tc>
        <w:tc>
          <w:tcPr>
            <w:tcW w:w="692"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(7</w:t>
            </w:r>
          </w:p>
        </w:tc>
        <w:tc>
          <w:tcPr>
            <w:tcW w:w="8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right"/>
              <w:rPr/>
            </w:pPr>
            <w:r>
              <w:rPr/>
              <w:t> </w:t>
            </w:r>
          </w:p>
        </w:tc>
        <w:tc>
          <w:tcPr>
            <w:tcW w:w="176" w:type="dxa"/>
            <w:tcBorders>
              <w:bottom w:val="single" w:sz="12" w:space="0" w:color="000000"/>
            </w:tcBorders>
            <w:tcMar>
              <w:bottom w:w="28" w:type="dxa"/>
            </w:tcMar>
            <w:vAlign w:val="bottom"/>
          </w:tcPr>
          <w:p>
            <w:pPr>
              <w:pStyle w:val="TableContents"/>
              <w:bidi w:val="0"/>
              <w:spacing w:before="0" w:after="283"/>
              <w:jc w:val="left"/>
              <w:rPr/>
            </w:pPr>
            <w:r>
              <w:rPr/>
              <w:t> </w:t>
            </w:r>
          </w:p>
        </w:tc>
        <w:tc>
          <w:tcPr>
            <w:tcW w:w="783"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4,535</w:t>
            </w:r>
          </w:p>
        </w:tc>
        <w:tc>
          <w:tcPr>
            <w:tcW w:w="60" w:type="dxa"/>
            <w:tcBorders/>
            <w:vAlign w:val="bottom"/>
          </w:tcPr>
          <w:p>
            <w:pPr>
              <w:pStyle w:val="TableContents"/>
              <w:bidi w:val="0"/>
              <w:spacing w:before="0" w:after="283"/>
              <w:jc w:val="left"/>
              <w:rPr/>
            </w:pPr>
            <w:r>
              <w:rPr/>
              <w:t> </w:t>
            </w:r>
          </w:p>
        </w:tc>
      </w:tr>
      <w:tr>
        <w:trPr/>
        <w:tc>
          <w:tcPr>
            <w:tcW w:w="2045" w:type="dxa"/>
            <w:tcBorders/>
            <w:shd w:fill="CCEEFF" w:val="clear"/>
            <w:vAlign w:val="bottom"/>
          </w:tcPr>
          <w:p>
            <w:pPr>
              <w:pStyle w:val="TableContents"/>
              <w:bidi w:val="0"/>
              <w:spacing w:before="0" w:after="0"/>
              <w:ind w:left="180" w:right="0" w:hanging="180"/>
              <w:jc w:val="both"/>
              <w:rPr>
                <w:rFonts w:ascii="Times New Roman" w:hAnsi="Times New Roman"/>
                <w:sz w:val="20"/>
              </w:rPr>
            </w:pPr>
            <w:r>
              <w:rPr>
                <w:rFonts w:ascii="Times New Roman" w:hAnsi="Times New Roman"/>
                <w:sz w:val="20"/>
              </w:rPr>
              <w:t>Total</w:t>
            </w:r>
          </w:p>
        </w:tc>
        <w:tc>
          <w:tcPr>
            <w:tcW w:w="60" w:type="dxa"/>
            <w:tcBorders/>
            <w:shd w:fill="CCEEFF" w:val="clear"/>
            <w:vAlign w:val="bottom"/>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793"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12,485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321"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69" w:type="dxa"/>
            <w:tcBorders>
              <w:bottom w:val="single" w:sz="12" w:space="0" w:color="000000"/>
            </w:tcBorders>
            <w:shd w:fill="CCEEFF" w:val="clear"/>
            <w:tcMar>
              <w:bottom w:w="28" w:type="dxa"/>
            </w:tcMar>
            <w:vAlign w:val="bottom"/>
          </w:tcPr>
          <w:p>
            <w:pPr>
              <w:pStyle w:val="TableContents"/>
              <w:bidi w:val="0"/>
              <w:spacing w:before="0" w:after="0"/>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98"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92"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(18</w:t>
            </w:r>
          </w:p>
        </w:tc>
        <w:tc>
          <w:tcPr>
            <w:tcW w:w="8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right"/>
              <w:rPr/>
            </w:pPr>
            <w:r>
              <w:rPr/>
              <w:t> </w:t>
            </w:r>
          </w:p>
        </w:tc>
        <w:tc>
          <w:tcPr>
            <w:tcW w:w="176"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783"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12,467</w:t>
            </w:r>
          </w:p>
        </w:tc>
        <w:tc>
          <w:tcPr>
            <w:tcW w:w="60" w:type="dxa"/>
            <w:tcBorders/>
            <w:shd w:fill="CCEEFF" w:val="clear"/>
            <w:vAlign w:val="bottom"/>
          </w:tcPr>
          <w:p>
            <w:pPr>
              <w:pStyle w:val="TableContents"/>
              <w:bidi w:val="0"/>
              <w:spacing w:before="0" w:after="283"/>
              <w:jc w:val="left"/>
              <w:rPr/>
            </w:pPr>
            <w:r>
              <w:rPr/>
              <w:t> </w:t>
            </w:r>
          </w:p>
        </w:tc>
      </w:tr>
    </w:tbl>
    <w:p>
      <w:pPr>
        <w:pStyle w:val="TextBody"/>
        <w:bidi w:val="0"/>
        <w:spacing w:before="0" w:after="0"/>
        <w:ind w:left="1170" w:right="0" w:hanging="0"/>
        <w:jc w:val="left"/>
        <w:rPr>
          <w:rFonts w:ascii="Times New Roman" w:hAnsi="Times New Roman"/>
          <w:sz w:val="20"/>
        </w:rPr>
      </w:pPr>
      <w:r>
        <w:rPr>
          <w:rFonts w:ascii="Times New Roman" w:hAnsi="Times New Roman"/>
          <w:sz w:val="20"/>
        </w:rPr>
      </w:r>
    </w:p>
    <w:tbl>
      <w:tblPr>
        <w:tblW w:w="6711" w:type="dxa"/>
        <w:jc w:val="left"/>
        <w:tblInd w:w="1170" w:type="dxa"/>
        <w:tblLayout w:type="fixed"/>
        <w:tblCellMar>
          <w:top w:w="0" w:type="dxa"/>
          <w:left w:w="0" w:type="dxa"/>
          <w:bottom w:w="0" w:type="dxa"/>
          <w:right w:w="0" w:type="dxa"/>
        </w:tblCellMar>
      </w:tblPr>
      <w:tblGrid>
        <w:gridCol w:w="2180"/>
        <w:gridCol w:w="60"/>
        <w:gridCol w:w="174"/>
        <w:gridCol w:w="830"/>
        <w:gridCol w:w="60"/>
        <w:gridCol w:w="60"/>
        <w:gridCol w:w="335"/>
        <w:gridCol w:w="699"/>
        <w:gridCol w:w="60"/>
        <w:gridCol w:w="60"/>
        <w:gridCol w:w="247"/>
        <w:gridCol w:w="787"/>
        <w:gridCol w:w="80"/>
        <w:gridCol w:w="60"/>
        <w:gridCol w:w="176"/>
        <w:gridCol w:w="783"/>
        <w:gridCol w:w="60"/>
      </w:tblGrid>
      <w:tr>
        <w:trPr/>
        <w:tc>
          <w:tcPr>
            <w:tcW w:w="21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11" w:type="dxa"/>
            <w:gridSpan w:val="14"/>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December 31, 2022</w:t>
            </w:r>
          </w:p>
        </w:tc>
        <w:tc>
          <w:tcPr>
            <w:tcW w:w="60" w:type="dxa"/>
            <w:tcBorders/>
            <w:vAlign w:val="bottom"/>
          </w:tcPr>
          <w:p>
            <w:pPr>
              <w:pStyle w:val="TableContents"/>
              <w:bidi w:val="0"/>
              <w:spacing w:before="0" w:after="283"/>
              <w:jc w:val="left"/>
              <w:rPr/>
            </w:pPr>
            <w:r>
              <w:rPr/>
              <w:t> </w:t>
            </w:r>
          </w:p>
        </w:tc>
      </w:tr>
      <w:tr>
        <w:trPr/>
        <w:tc>
          <w:tcPr>
            <w:tcW w:w="21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04" w:type="dxa"/>
            <w:gridSpan w:val="2"/>
            <w:tcBorders>
              <w:bottom w:val="single" w:sz="12" w:space="0" w:color="000000"/>
            </w:tcBorders>
            <w:tcMar>
              <w:bottom w:w="28" w:type="dxa"/>
            </w:tcMar>
            <w:vAlign w:val="bottom"/>
          </w:tcPr>
          <w:p>
            <w:pPr>
              <w:pStyle w:val="TableContents"/>
              <w:bidi w:val="0"/>
              <w:spacing w:before="0" w:after="0"/>
              <w:ind w:left="0" w:right="0" w:firstLine="40"/>
              <w:jc w:val="center"/>
              <w:rPr>
                <w:rFonts w:ascii="Times New Roman" w:hAnsi="Times New Roman"/>
                <w:b/>
                <w:sz w:val="20"/>
              </w:rPr>
            </w:pPr>
            <w:r>
              <w:rPr>
                <w:rFonts w:ascii="Times New Roman" w:hAnsi="Times New Roman"/>
                <w:b/>
                <w:sz w:val="20"/>
              </w:rPr>
              <w:t xml:space="preserve">Amortized </w:t>
            </w:r>
          </w:p>
          <w:p>
            <w:pPr>
              <w:pStyle w:val="TableContents"/>
              <w:bidi w:val="0"/>
              <w:spacing w:before="0" w:after="0"/>
              <w:ind w:left="0" w:right="0" w:firstLine="40"/>
              <w:jc w:val="center"/>
              <w:rPr>
                <w:rFonts w:ascii="Times New Roman" w:hAnsi="Times New Roman"/>
                <w:b/>
                <w:sz w:val="20"/>
              </w:rPr>
            </w:pPr>
            <w:r>
              <w:rPr>
                <w:rFonts w:ascii="Times New Roman" w:hAnsi="Times New Roman"/>
                <w:b/>
                <w:sz w:val="20"/>
              </w:rPr>
              <w:t>Cost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34" w:type="dxa"/>
            <w:gridSpan w:val="2"/>
            <w:tcBorders>
              <w:bottom w:val="single" w:sz="12" w:space="0" w:color="000000"/>
            </w:tcBorders>
            <w:tcMar>
              <w:bottom w:w="28" w:type="dxa"/>
            </w:tcMar>
            <w:vAlign w:val="bottom"/>
          </w:tcPr>
          <w:p>
            <w:pPr>
              <w:pStyle w:val="TableContents"/>
              <w:bidi w:val="0"/>
              <w:spacing w:before="0" w:after="0"/>
              <w:ind w:left="0" w:right="0" w:firstLine="40"/>
              <w:jc w:val="center"/>
              <w:rPr>
                <w:rFonts w:ascii="Times New Roman" w:hAnsi="Times New Roman"/>
                <w:b/>
                <w:sz w:val="20"/>
              </w:rPr>
            </w:pPr>
            <w:r>
              <w:rPr>
                <w:rFonts w:ascii="Times New Roman" w:hAnsi="Times New Roman"/>
                <w:b/>
                <w:sz w:val="20"/>
              </w:rPr>
              <w:t xml:space="preserve">Gross </w:t>
            </w:r>
          </w:p>
          <w:p>
            <w:pPr>
              <w:pStyle w:val="TableContents"/>
              <w:bidi w:val="0"/>
              <w:spacing w:before="0" w:after="0"/>
              <w:ind w:left="0" w:right="0" w:firstLine="40"/>
              <w:jc w:val="center"/>
              <w:rPr>
                <w:rFonts w:ascii="Times New Roman" w:hAnsi="Times New Roman"/>
                <w:b/>
                <w:sz w:val="20"/>
              </w:rPr>
            </w:pPr>
            <w:r>
              <w:rPr>
                <w:rFonts w:ascii="Times New Roman" w:hAnsi="Times New Roman"/>
                <w:b/>
                <w:sz w:val="20"/>
              </w:rPr>
              <w:t xml:space="preserve">Unrealized </w:t>
            </w:r>
          </w:p>
          <w:p>
            <w:pPr>
              <w:pStyle w:val="TableContents"/>
              <w:bidi w:val="0"/>
              <w:spacing w:before="0" w:after="0"/>
              <w:ind w:left="0" w:right="0" w:firstLine="40"/>
              <w:jc w:val="center"/>
              <w:rPr>
                <w:rFonts w:ascii="Times New Roman" w:hAnsi="Times New Roman"/>
                <w:b/>
                <w:sz w:val="20"/>
              </w:rPr>
            </w:pPr>
            <w:r>
              <w:rPr>
                <w:rFonts w:ascii="Times New Roman" w:hAnsi="Times New Roman"/>
                <w:b/>
                <w:sz w:val="20"/>
              </w:rPr>
              <w:t>Gains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34" w:type="dxa"/>
            <w:gridSpan w:val="2"/>
            <w:tcBorders>
              <w:bottom w:val="single" w:sz="12" w:space="0" w:color="000000"/>
            </w:tcBorders>
            <w:tcMar>
              <w:bottom w:w="28" w:type="dxa"/>
            </w:tcMar>
            <w:vAlign w:val="bottom"/>
          </w:tcPr>
          <w:p>
            <w:pPr>
              <w:pStyle w:val="TableContents"/>
              <w:bidi w:val="0"/>
              <w:spacing w:before="0" w:after="0"/>
              <w:ind w:left="0" w:right="0" w:firstLine="40"/>
              <w:jc w:val="center"/>
              <w:rPr>
                <w:rFonts w:ascii="Times New Roman" w:hAnsi="Times New Roman"/>
                <w:b/>
                <w:sz w:val="20"/>
              </w:rPr>
            </w:pPr>
            <w:r>
              <w:rPr>
                <w:rFonts w:ascii="Times New Roman" w:hAnsi="Times New Roman"/>
                <w:b/>
                <w:sz w:val="20"/>
              </w:rPr>
              <w:t xml:space="preserve">Gross </w:t>
            </w:r>
          </w:p>
          <w:p>
            <w:pPr>
              <w:pStyle w:val="TableContents"/>
              <w:bidi w:val="0"/>
              <w:spacing w:before="0" w:after="0"/>
              <w:ind w:left="0" w:right="0" w:firstLine="40"/>
              <w:jc w:val="center"/>
              <w:rPr>
                <w:rFonts w:ascii="Times New Roman" w:hAnsi="Times New Roman"/>
                <w:b/>
                <w:sz w:val="20"/>
              </w:rPr>
            </w:pPr>
            <w:r>
              <w:rPr>
                <w:rFonts w:ascii="Times New Roman" w:hAnsi="Times New Roman"/>
                <w:b/>
                <w:sz w:val="20"/>
              </w:rPr>
              <w:t xml:space="preserve">Unrealized </w:t>
            </w:r>
          </w:p>
          <w:p>
            <w:pPr>
              <w:pStyle w:val="TableContents"/>
              <w:bidi w:val="0"/>
              <w:spacing w:before="0" w:after="0"/>
              <w:ind w:left="0" w:right="0" w:firstLine="40"/>
              <w:jc w:val="center"/>
              <w:rPr>
                <w:rFonts w:ascii="Times New Roman" w:hAnsi="Times New Roman"/>
                <w:b/>
                <w:sz w:val="20"/>
              </w:rPr>
            </w:pPr>
            <w:r>
              <w:rPr>
                <w:rFonts w:ascii="Times New Roman" w:hAnsi="Times New Roman"/>
                <w:b/>
                <w:sz w:val="20"/>
              </w:rPr>
              <w:t>Losses</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59" w:type="dxa"/>
            <w:gridSpan w:val="2"/>
            <w:tcBorders>
              <w:bottom w:val="single" w:sz="12" w:space="0" w:color="000000"/>
            </w:tcBorders>
            <w:tcMar>
              <w:bottom w:w="28" w:type="dxa"/>
            </w:tcMar>
            <w:vAlign w:val="bottom"/>
          </w:tcPr>
          <w:p>
            <w:pPr>
              <w:pStyle w:val="TableContents"/>
              <w:bidi w:val="0"/>
              <w:spacing w:before="0" w:after="0"/>
              <w:ind w:left="0" w:right="0" w:firstLine="40"/>
              <w:jc w:val="center"/>
              <w:rPr>
                <w:rFonts w:ascii="Times New Roman" w:hAnsi="Times New Roman"/>
                <w:b/>
                <w:sz w:val="20"/>
              </w:rPr>
            </w:pPr>
            <w:r>
              <w:rPr>
                <w:rFonts w:ascii="Times New Roman" w:hAnsi="Times New Roman"/>
                <w:b/>
                <w:sz w:val="20"/>
              </w:rPr>
              <w:t xml:space="preserve">Estimated </w:t>
            </w:r>
          </w:p>
          <w:p>
            <w:pPr>
              <w:pStyle w:val="TableContents"/>
              <w:bidi w:val="0"/>
              <w:spacing w:before="0" w:after="0"/>
              <w:ind w:left="0" w:right="0" w:firstLine="40"/>
              <w:jc w:val="center"/>
              <w:rPr>
                <w:rFonts w:ascii="Times New Roman" w:hAnsi="Times New Roman"/>
                <w:b/>
                <w:sz w:val="20"/>
              </w:rPr>
            </w:pPr>
            <w:r>
              <w:rPr>
                <w:rFonts w:ascii="Times New Roman" w:hAnsi="Times New Roman"/>
                <w:b/>
                <w:sz w:val="20"/>
              </w:rPr>
              <w:t>Fair</w:t>
            </w:r>
          </w:p>
          <w:p>
            <w:pPr>
              <w:pStyle w:val="TableContents"/>
              <w:bidi w:val="0"/>
              <w:spacing w:before="0" w:after="0"/>
              <w:ind w:left="0" w:right="0" w:firstLine="40"/>
              <w:jc w:val="center"/>
              <w:rPr>
                <w:rFonts w:ascii="Times New Roman" w:hAnsi="Times New Roman"/>
                <w:b/>
                <w:sz w:val="20"/>
              </w:rPr>
            </w:pPr>
            <w:r>
              <w:rPr>
                <w:rFonts w:ascii="Times New Roman" w:hAnsi="Times New Roman"/>
                <w:b/>
                <w:sz w:val="20"/>
              </w:rPr>
              <w:t>Value</w:t>
            </w:r>
          </w:p>
        </w:tc>
        <w:tc>
          <w:tcPr>
            <w:tcW w:w="60" w:type="dxa"/>
            <w:tcBorders/>
            <w:vAlign w:val="bottom"/>
          </w:tcPr>
          <w:p>
            <w:pPr>
              <w:pStyle w:val="TableContents"/>
              <w:bidi w:val="0"/>
              <w:spacing w:before="0" w:after="283"/>
              <w:jc w:val="left"/>
              <w:rPr/>
            </w:pPr>
            <w:r>
              <w:rPr/>
              <w:t> </w:t>
            </w:r>
          </w:p>
        </w:tc>
      </w:tr>
      <w:tr>
        <w:trPr/>
        <w:tc>
          <w:tcPr>
            <w:tcW w:w="2180" w:type="dxa"/>
            <w:tcBorders/>
            <w:shd w:fill="CCEEFF" w:val="clear"/>
            <w:vAlign w:val="bottom"/>
          </w:tcPr>
          <w:p>
            <w:pPr>
              <w:pStyle w:val="TableContents"/>
              <w:bidi w:val="0"/>
              <w:spacing w:before="0" w:after="0"/>
              <w:ind w:left="180" w:right="0" w:hanging="180"/>
              <w:jc w:val="both"/>
              <w:rPr>
                <w:rFonts w:ascii="Times New Roman" w:hAnsi="Times New Roman"/>
                <w:sz w:val="20"/>
              </w:rPr>
            </w:pPr>
            <w:r>
              <w:rPr>
                <w:rFonts w:ascii="Times New Roman" w:hAnsi="Times New Roman"/>
                <w:sz w:val="20"/>
              </w:rPr>
              <w:t>U.S. government treasuries</w:t>
            </w:r>
          </w:p>
        </w:tc>
        <w:tc>
          <w:tcPr>
            <w:tcW w:w="60" w:type="dxa"/>
            <w:tcBorders/>
            <w:shd w:fill="CCEEFF" w:val="clear"/>
            <w:vAlign w:val="bottom"/>
          </w:tcPr>
          <w:p>
            <w:pPr>
              <w:pStyle w:val="TableContents"/>
              <w:bidi w:val="0"/>
              <w:spacing w:before="0" w:after="283"/>
              <w:jc w:val="right"/>
              <w:rPr/>
            </w:pPr>
            <w:r>
              <w:rPr/>
              <w:t> </w:t>
            </w:r>
          </w:p>
        </w:tc>
        <w:tc>
          <w:tcPr>
            <w:tcW w:w="174"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3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46,452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33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99" w:type="dxa"/>
            <w:tcBorders/>
            <w:shd w:fill="CCEEFF" w:val="clear"/>
            <w:vAlign w:val="bottom"/>
          </w:tcPr>
          <w:p>
            <w:pPr>
              <w:pStyle w:val="TableContents"/>
              <w:bidi w:val="0"/>
              <w:spacing w:before="0" w:after="0"/>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47"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787"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(230</w:t>
            </w:r>
          </w:p>
        </w:tc>
        <w:tc>
          <w:tcPr>
            <w:tcW w:w="8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right"/>
              <w:rPr/>
            </w:pPr>
            <w:r>
              <w:rPr/>
              <w:t> </w:t>
            </w:r>
          </w:p>
        </w:tc>
        <w:tc>
          <w:tcPr>
            <w:tcW w:w="176" w:type="dxa"/>
            <w:tcBorders/>
            <w:shd w:fill="CCEEFF" w:val="clear"/>
            <w:vAlign w:val="bottom"/>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783" w:type="dxa"/>
            <w:tcBorders/>
            <w:shd w:fill="CCEEFF" w:val="clear"/>
            <w:vAlign w:val="bottom"/>
          </w:tcPr>
          <w:p>
            <w:pPr>
              <w:pStyle w:val="TableContents"/>
              <w:bidi w:val="0"/>
              <w:spacing w:before="0" w:after="283"/>
              <w:jc w:val="right"/>
              <w:rPr>
                <w:rFonts w:ascii="Times New Roman" w:hAnsi="Times New Roman"/>
                <w:sz w:val="20"/>
              </w:rPr>
            </w:pPr>
            <w:r>
              <w:rPr>
                <w:rFonts w:ascii="Times New Roman" w:hAnsi="Times New Roman"/>
                <w:sz w:val="20"/>
              </w:rPr>
              <w:t>46,222</w:t>
            </w:r>
          </w:p>
        </w:tc>
        <w:tc>
          <w:tcPr>
            <w:tcW w:w="60" w:type="dxa"/>
            <w:tcBorders/>
            <w:shd w:fill="CCEEFF" w:val="clear"/>
            <w:vAlign w:val="bottom"/>
          </w:tcPr>
          <w:p>
            <w:pPr>
              <w:pStyle w:val="TableContents"/>
              <w:bidi w:val="0"/>
              <w:spacing w:before="0" w:after="283"/>
              <w:jc w:val="left"/>
              <w:rPr/>
            </w:pPr>
            <w:r>
              <w:rPr/>
              <w:t> </w:t>
            </w:r>
          </w:p>
        </w:tc>
      </w:tr>
      <w:tr>
        <w:trPr/>
        <w:tc>
          <w:tcPr>
            <w:tcW w:w="2180" w:type="dxa"/>
            <w:tcBorders/>
            <w:vAlign w:val="bottom"/>
          </w:tcPr>
          <w:p>
            <w:pPr>
              <w:pStyle w:val="TableContents"/>
              <w:bidi w:val="0"/>
              <w:spacing w:before="0" w:after="0"/>
              <w:ind w:left="180" w:right="0" w:hanging="180"/>
              <w:jc w:val="both"/>
              <w:rPr>
                <w:rFonts w:ascii="Times New Roman" w:hAnsi="Times New Roman"/>
                <w:sz w:val="20"/>
              </w:rPr>
            </w:pPr>
            <w:r>
              <w:rPr>
                <w:rFonts w:ascii="Times New Roman" w:hAnsi="Times New Roman"/>
                <w:sz w:val="20"/>
              </w:rPr>
              <w:t>Corporate debt securities</w:t>
            </w:r>
          </w:p>
        </w:tc>
        <w:tc>
          <w:tcPr>
            <w:tcW w:w="60" w:type="dxa"/>
            <w:tcBorders/>
            <w:vAlign w:val="bottom"/>
          </w:tcPr>
          <w:p>
            <w:pPr>
              <w:pStyle w:val="TableContents"/>
              <w:bidi w:val="0"/>
              <w:spacing w:before="0" w:after="283"/>
              <w:jc w:val="right"/>
              <w:rPr/>
            </w:pPr>
            <w:r>
              <w:rPr/>
              <w:t> </w:t>
            </w:r>
          </w:p>
        </w:tc>
        <w:tc>
          <w:tcPr>
            <w:tcW w:w="174"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21,762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335" w:type="dxa"/>
            <w:tcBorders/>
            <w:vAlign w:val="bottom"/>
          </w:tcPr>
          <w:p>
            <w:pPr>
              <w:pStyle w:val="TableContents"/>
              <w:bidi w:val="0"/>
              <w:spacing w:before="0" w:after="283"/>
              <w:jc w:val="left"/>
              <w:rPr/>
            </w:pPr>
            <w:r>
              <w:rPr/>
              <w:t> </w:t>
            </w:r>
          </w:p>
        </w:tc>
        <w:tc>
          <w:tcPr>
            <w:tcW w:w="699" w:type="dxa"/>
            <w:tcBorders/>
            <w:vAlign w:val="bottom"/>
          </w:tcPr>
          <w:p>
            <w:pPr>
              <w:pStyle w:val="TableContents"/>
              <w:bidi w:val="0"/>
              <w:spacing w:before="0" w:after="0"/>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47" w:type="dxa"/>
            <w:tcBorders/>
            <w:vAlign w:val="bottom"/>
          </w:tcPr>
          <w:p>
            <w:pPr>
              <w:pStyle w:val="TableContents"/>
              <w:bidi w:val="0"/>
              <w:spacing w:before="0" w:after="283"/>
              <w:jc w:val="left"/>
              <w:rPr/>
            </w:pPr>
            <w:r>
              <w:rPr/>
              <w:t> </w:t>
            </w:r>
          </w:p>
        </w:tc>
        <w:tc>
          <w:tcPr>
            <w:tcW w:w="787"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(126</w:t>
            </w:r>
          </w:p>
        </w:tc>
        <w:tc>
          <w:tcPr>
            <w:tcW w:w="8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right"/>
              <w:rPr/>
            </w:pPr>
            <w:r>
              <w:rPr/>
              <w:t> </w:t>
            </w:r>
          </w:p>
        </w:tc>
        <w:tc>
          <w:tcPr>
            <w:tcW w:w="176" w:type="dxa"/>
            <w:tcBorders/>
            <w:vAlign w:val="bottom"/>
          </w:tcPr>
          <w:p>
            <w:pPr>
              <w:pStyle w:val="TableContents"/>
              <w:bidi w:val="0"/>
              <w:spacing w:before="0" w:after="283"/>
              <w:jc w:val="left"/>
              <w:rPr/>
            </w:pPr>
            <w:r>
              <w:rPr/>
              <w:t> </w:t>
            </w:r>
          </w:p>
        </w:tc>
        <w:tc>
          <w:tcPr>
            <w:tcW w:w="783" w:type="dxa"/>
            <w:tcBorders/>
            <w:vAlign w:val="bottom"/>
          </w:tcPr>
          <w:p>
            <w:pPr>
              <w:pStyle w:val="TableContents"/>
              <w:bidi w:val="0"/>
              <w:spacing w:before="0" w:after="283"/>
              <w:jc w:val="right"/>
              <w:rPr>
                <w:rFonts w:ascii="Times New Roman" w:hAnsi="Times New Roman"/>
                <w:sz w:val="20"/>
              </w:rPr>
            </w:pPr>
            <w:r>
              <w:rPr>
                <w:rFonts w:ascii="Times New Roman" w:hAnsi="Times New Roman"/>
                <w:sz w:val="20"/>
              </w:rPr>
              <w:t>21,636</w:t>
            </w:r>
          </w:p>
        </w:tc>
        <w:tc>
          <w:tcPr>
            <w:tcW w:w="60" w:type="dxa"/>
            <w:tcBorders/>
            <w:vAlign w:val="bottom"/>
          </w:tcPr>
          <w:p>
            <w:pPr>
              <w:pStyle w:val="TableContents"/>
              <w:bidi w:val="0"/>
              <w:spacing w:before="0" w:after="283"/>
              <w:jc w:val="left"/>
              <w:rPr/>
            </w:pPr>
            <w:r>
              <w:rPr/>
              <w:t> </w:t>
            </w:r>
          </w:p>
        </w:tc>
      </w:tr>
      <w:tr>
        <w:trPr/>
        <w:tc>
          <w:tcPr>
            <w:tcW w:w="2180" w:type="dxa"/>
            <w:tcBorders/>
            <w:shd w:fill="CCEEFF" w:val="clear"/>
            <w:vAlign w:val="bottom"/>
          </w:tcPr>
          <w:p>
            <w:pPr>
              <w:pStyle w:val="TableContents"/>
              <w:bidi w:val="0"/>
              <w:spacing w:before="0" w:after="0"/>
              <w:ind w:left="180" w:right="0" w:hanging="180"/>
              <w:jc w:val="both"/>
              <w:rPr>
                <w:rFonts w:ascii="Times New Roman" w:hAnsi="Times New Roman"/>
                <w:sz w:val="20"/>
              </w:rPr>
            </w:pPr>
            <w:r>
              <w:rPr>
                <w:rFonts w:ascii="Times New Roman" w:hAnsi="Times New Roman"/>
                <w:sz w:val="20"/>
              </w:rPr>
              <w:t>U.S. agency bonds</w:t>
            </w:r>
          </w:p>
        </w:tc>
        <w:tc>
          <w:tcPr>
            <w:tcW w:w="60" w:type="dxa"/>
            <w:tcBorders/>
            <w:shd w:fill="CCEEFF" w:val="clear"/>
            <w:vAlign w:val="bottom"/>
          </w:tcPr>
          <w:p>
            <w:pPr>
              <w:pStyle w:val="TableContents"/>
              <w:bidi w:val="0"/>
              <w:spacing w:before="0" w:after="283"/>
              <w:jc w:val="right"/>
              <w:rPr/>
            </w:pPr>
            <w:r>
              <w:rPr/>
              <w:t> </w:t>
            </w:r>
          </w:p>
        </w:tc>
        <w:tc>
          <w:tcPr>
            <w:tcW w:w="174"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20,622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335" w:type="dxa"/>
            <w:tcBorders/>
            <w:shd w:fill="CCEEFF" w:val="clear"/>
            <w:vAlign w:val="bottom"/>
          </w:tcPr>
          <w:p>
            <w:pPr>
              <w:pStyle w:val="TableContents"/>
              <w:bidi w:val="0"/>
              <w:spacing w:before="0" w:after="283"/>
              <w:jc w:val="left"/>
              <w:rPr/>
            </w:pPr>
            <w:r>
              <w:rPr/>
              <w:t> </w:t>
            </w:r>
          </w:p>
        </w:tc>
        <w:tc>
          <w:tcPr>
            <w:tcW w:w="699" w:type="dxa"/>
            <w:tcBorders/>
            <w:shd w:fill="CCEEFF" w:val="clear"/>
            <w:vAlign w:val="bottom"/>
          </w:tcPr>
          <w:p>
            <w:pPr>
              <w:pStyle w:val="TableContents"/>
              <w:bidi w:val="0"/>
              <w:spacing w:before="0" w:after="0"/>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47" w:type="dxa"/>
            <w:tcBorders/>
            <w:shd w:fill="CCEEFF" w:val="clear"/>
            <w:vAlign w:val="bottom"/>
          </w:tcPr>
          <w:p>
            <w:pPr>
              <w:pStyle w:val="TableContents"/>
              <w:bidi w:val="0"/>
              <w:spacing w:before="0" w:after="283"/>
              <w:jc w:val="left"/>
              <w:rPr/>
            </w:pPr>
            <w:r>
              <w:rPr/>
              <w:t> </w:t>
            </w:r>
          </w:p>
        </w:tc>
        <w:tc>
          <w:tcPr>
            <w:tcW w:w="787"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(131</w:t>
            </w:r>
          </w:p>
        </w:tc>
        <w:tc>
          <w:tcPr>
            <w:tcW w:w="8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right"/>
              <w:rPr/>
            </w:pPr>
            <w:r>
              <w:rPr/>
              <w:t> </w:t>
            </w:r>
          </w:p>
        </w:tc>
        <w:tc>
          <w:tcPr>
            <w:tcW w:w="176" w:type="dxa"/>
            <w:tcBorders/>
            <w:shd w:fill="CCEEFF" w:val="clear"/>
            <w:vAlign w:val="bottom"/>
          </w:tcPr>
          <w:p>
            <w:pPr>
              <w:pStyle w:val="TableContents"/>
              <w:bidi w:val="0"/>
              <w:spacing w:before="0" w:after="283"/>
              <w:jc w:val="left"/>
              <w:rPr/>
            </w:pPr>
            <w:r>
              <w:rPr/>
              <w:t> </w:t>
            </w:r>
          </w:p>
        </w:tc>
        <w:tc>
          <w:tcPr>
            <w:tcW w:w="783" w:type="dxa"/>
            <w:tcBorders/>
            <w:shd w:fill="CCEEFF" w:val="clear"/>
            <w:vAlign w:val="bottom"/>
          </w:tcPr>
          <w:p>
            <w:pPr>
              <w:pStyle w:val="TableContents"/>
              <w:bidi w:val="0"/>
              <w:spacing w:before="0" w:after="283"/>
              <w:jc w:val="right"/>
              <w:rPr>
                <w:rFonts w:ascii="Times New Roman" w:hAnsi="Times New Roman"/>
                <w:sz w:val="20"/>
              </w:rPr>
            </w:pPr>
            <w:r>
              <w:rPr>
                <w:rFonts w:ascii="Times New Roman" w:hAnsi="Times New Roman"/>
                <w:sz w:val="20"/>
              </w:rPr>
              <w:t>20,491</w:t>
            </w:r>
          </w:p>
        </w:tc>
        <w:tc>
          <w:tcPr>
            <w:tcW w:w="60" w:type="dxa"/>
            <w:tcBorders/>
            <w:shd w:fill="CCEEFF" w:val="clear"/>
            <w:vAlign w:val="bottom"/>
          </w:tcPr>
          <w:p>
            <w:pPr>
              <w:pStyle w:val="TableContents"/>
              <w:bidi w:val="0"/>
              <w:spacing w:before="0" w:after="283"/>
              <w:jc w:val="left"/>
              <w:rPr/>
            </w:pPr>
            <w:r>
              <w:rPr/>
              <w:t> </w:t>
            </w:r>
          </w:p>
        </w:tc>
      </w:tr>
      <w:tr>
        <w:trPr/>
        <w:tc>
          <w:tcPr>
            <w:tcW w:w="2180" w:type="dxa"/>
            <w:tcBorders/>
            <w:vAlign w:val="bottom"/>
          </w:tcPr>
          <w:p>
            <w:pPr>
              <w:pStyle w:val="TableContents"/>
              <w:bidi w:val="0"/>
              <w:spacing w:before="0" w:after="0"/>
              <w:ind w:left="180" w:right="0" w:hanging="180"/>
              <w:jc w:val="both"/>
              <w:rPr>
                <w:rFonts w:ascii="Times New Roman" w:hAnsi="Times New Roman"/>
                <w:sz w:val="20"/>
              </w:rPr>
            </w:pPr>
            <w:r>
              <w:rPr>
                <w:rFonts w:ascii="Times New Roman" w:hAnsi="Times New Roman"/>
                <w:sz w:val="20"/>
              </w:rPr>
              <w:t>Commercial paper</w:t>
            </w:r>
          </w:p>
        </w:tc>
        <w:tc>
          <w:tcPr>
            <w:tcW w:w="60" w:type="dxa"/>
            <w:tcBorders/>
            <w:vAlign w:val="bottom"/>
          </w:tcPr>
          <w:p>
            <w:pPr>
              <w:pStyle w:val="TableContents"/>
              <w:bidi w:val="0"/>
              <w:spacing w:before="0" w:after="283"/>
              <w:jc w:val="right"/>
              <w:rPr/>
            </w:pPr>
            <w:r>
              <w:rPr/>
              <w:t> </w:t>
            </w:r>
          </w:p>
        </w:tc>
        <w:tc>
          <w:tcPr>
            <w:tcW w:w="174" w:type="dxa"/>
            <w:tcBorders>
              <w:bottom w:val="single" w:sz="12" w:space="0" w:color="000000"/>
            </w:tcBorders>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8,599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335" w:type="dxa"/>
            <w:tcBorders>
              <w:bottom w:val="single" w:sz="12" w:space="0" w:color="000000"/>
            </w:tcBorders>
            <w:tcMar>
              <w:bottom w:w="28" w:type="dxa"/>
            </w:tcMar>
            <w:vAlign w:val="bottom"/>
          </w:tcPr>
          <w:p>
            <w:pPr>
              <w:pStyle w:val="TableContents"/>
              <w:bidi w:val="0"/>
              <w:spacing w:before="0" w:after="283"/>
              <w:jc w:val="left"/>
              <w:rPr/>
            </w:pPr>
            <w:r>
              <w:rPr/>
              <w:t> </w:t>
            </w:r>
          </w:p>
        </w:tc>
        <w:tc>
          <w:tcPr>
            <w:tcW w:w="699" w:type="dxa"/>
            <w:tcBorders>
              <w:bottom w:val="single" w:sz="12" w:space="0" w:color="000000"/>
            </w:tcBorders>
            <w:tcMar>
              <w:bottom w:w="28" w:type="dxa"/>
            </w:tcMar>
            <w:vAlign w:val="bottom"/>
          </w:tcPr>
          <w:p>
            <w:pPr>
              <w:pStyle w:val="TableContents"/>
              <w:bidi w:val="0"/>
              <w:spacing w:before="0" w:after="0"/>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47" w:type="dxa"/>
            <w:tcBorders>
              <w:bottom w:val="single" w:sz="12" w:space="0" w:color="000000"/>
            </w:tcBorders>
            <w:tcMar>
              <w:bottom w:w="28" w:type="dxa"/>
            </w:tcMar>
            <w:vAlign w:val="bottom"/>
          </w:tcPr>
          <w:p>
            <w:pPr>
              <w:pStyle w:val="TableContents"/>
              <w:bidi w:val="0"/>
              <w:spacing w:before="0" w:after="283"/>
              <w:jc w:val="left"/>
              <w:rPr/>
            </w:pPr>
            <w:r>
              <w:rPr/>
              <w:t> </w:t>
            </w:r>
          </w:p>
        </w:tc>
        <w:tc>
          <w:tcPr>
            <w:tcW w:w="787"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(34</w:t>
            </w:r>
          </w:p>
        </w:tc>
        <w:tc>
          <w:tcPr>
            <w:tcW w:w="8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right"/>
              <w:rPr/>
            </w:pPr>
            <w:r>
              <w:rPr/>
              <w:t> </w:t>
            </w:r>
          </w:p>
        </w:tc>
        <w:tc>
          <w:tcPr>
            <w:tcW w:w="176" w:type="dxa"/>
            <w:tcBorders>
              <w:bottom w:val="single" w:sz="12" w:space="0" w:color="000000"/>
            </w:tcBorders>
            <w:tcMar>
              <w:bottom w:w="28" w:type="dxa"/>
            </w:tcMar>
            <w:vAlign w:val="bottom"/>
          </w:tcPr>
          <w:p>
            <w:pPr>
              <w:pStyle w:val="TableContents"/>
              <w:bidi w:val="0"/>
              <w:spacing w:before="0" w:after="283"/>
              <w:jc w:val="left"/>
              <w:rPr/>
            </w:pPr>
            <w:r>
              <w:rPr/>
              <w:t> </w:t>
            </w:r>
          </w:p>
        </w:tc>
        <w:tc>
          <w:tcPr>
            <w:tcW w:w="783" w:type="dxa"/>
            <w:tcBorders>
              <w:bottom w:val="single" w:sz="12" w:space="0" w:color="000000"/>
            </w:tcBorders>
            <w:tcMar>
              <w:bottom w:w="28" w:type="dxa"/>
            </w:tcMar>
            <w:vAlign w:val="bottom"/>
          </w:tcPr>
          <w:p>
            <w:pPr>
              <w:pStyle w:val="TableContents"/>
              <w:bidi w:val="0"/>
              <w:spacing w:before="0" w:after="283"/>
              <w:jc w:val="right"/>
              <w:rPr>
                <w:rFonts w:ascii="Times New Roman" w:hAnsi="Times New Roman"/>
                <w:sz w:val="20"/>
              </w:rPr>
            </w:pPr>
            <w:r>
              <w:rPr>
                <w:rFonts w:ascii="Times New Roman" w:hAnsi="Times New Roman"/>
                <w:sz w:val="20"/>
              </w:rPr>
              <w:t>8,565</w:t>
            </w:r>
          </w:p>
        </w:tc>
        <w:tc>
          <w:tcPr>
            <w:tcW w:w="60" w:type="dxa"/>
            <w:tcBorders/>
            <w:vAlign w:val="bottom"/>
          </w:tcPr>
          <w:p>
            <w:pPr>
              <w:pStyle w:val="TableContents"/>
              <w:bidi w:val="0"/>
              <w:spacing w:before="0" w:after="283"/>
              <w:jc w:val="left"/>
              <w:rPr/>
            </w:pPr>
            <w:r>
              <w:rPr/>
              <w:t> </w:t>
            </w:r>
          </w:p>
        </w:tc>
      </w:tr>
      <w:tr>
        <w:trPr/>
        <w:tc>
          <w:tcPr>
            <w:tcW w:w="2180" w:type="dxa"/>
            <w:tcBorders/>
            <w:shd w:fill="CCEEFF" w:val="clear"/>
            <w:vAlign w:val="bottom"/>
          </w:tcPr>
          <w:p>
            <w:pPr>
              <w:pStyle w:val="TableContents"/>
              <w:bidi w:val="0"/>
              <w:spacing w:before="0" w:after="0"/>
              <w:ind w:left="180" w:right="0" w:hanging="180"/>
              <w:jc w:val="both"/>
              <w:rPr>
                <w:rFonts w:ascii="Times New Roman" w:hAnsi="Times New Roman"/>
                <w:sz w:val="20"/>
              </w:rPr>
            </w:pPr>
            <w:r>
              <w:rPr>
                <w:rFonts w:ascii="Times New Roman" w:hAnsi="Times New Roman"/>
                <w:sz w:val="20"/>
              </w:rPr>
              <w:t>Total</w:t>
            </w:r>
          </w:p>
        </w:tc>
        <w:tc>
          <w:tcPr>
            <w:tcW w:w="60" w:type="dxa"/>
            <w:tcBorders/>
            <w:shd w:fill="CCEEFF" w:val="clear"/>
            <w:vAlign w:val="bottom"/>
          </w:tcPr>
          <w:p>
            <w:pPr>
              <w:pStyle w:val="TableContents"/>
              <w:bidi w:val="0"/>
              <w:spacing w:before="0" w:after="283"/>
              <w:jc w:val="right"/>
              <w:rPr/>
            </w:pPr>
            <w:r>
              <w:rPr/>
              <w:t> </w:t>
            </w:r>
          </w:p>
        </w:tc>
        <w:tc>
          <w:tcPr>
            <w:tcW w:w="174"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3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97,435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335"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99" w:type="dxa"/>
            <w:tcBorders>
              <w:bottom w:val="single" w:sz="12" w:space="0" w:color="000000"/>
            </w:tcBorders>
            <w:shd w:fill="CCEEFF" w:val="clear"/>
            <w:tcMar>
              <w:bottom w:w="28" w:type="dxa"/>
            </w:tcMar>
            <w:vAlign w:val="bottom"/>
          </w:tcPr>
          <w:p>
            <w:pPr>
              <w:pStyle w:val="TableContents"/>
              <w:bidi w:val="0"/>
              <w:spacing w:before="0" w:after="0"/>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47"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787"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(521</w:t>
            </w:r>
          </w:p>
        </w:tc>
        <w:tc>
          <w:tcPr>
            <w:tcW w:w="8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right"/>
              <w:rPr/>
            </w:pPr>
            <w:r>
              <w:rPr/>
              <w:t> </w:t>
            </w:r>
          </w:p>
        </w:tc>
        <w:tc>
          <w:tcPr>
            <w:tcW w:w="176" w:type="dxa"/>
            <w:tcBorders>
              <w:bottom w:val="single" w:sz="12" w:space="0" w:color="000000"/>
            </w:tcBorders>
            <w:shd w:fill="CCEEFF" w:val="clear"/>
            <w:tcMar>
              <w:bottom w:w="28" w:type="dxa"/>
            </w:tcMar>
            <w:vAlign w:val="bottom"/>
          </w:tcPr>
          <w:p>
            <w:pPr>
              <w:pStyle w:val="TableContents"/>
              <w:bidi w:val="0"/>
              <w:spacing w:before="0" w:after="283"/>
              <w:jc w:val="left"/>
              <w:rPr>
                <w:rFonts w:ascii="Times New Roman" w:hAnsi="Times New Roman"/>
                <w:sz w:val="20"/>
              </w:rPr>
            </w:pPr>
            <w:r>
              <w:rPr>
                <w:rFonts w:ascii="Times New Roman" w:hAnsi="Times New Roman"/>
                <w:sz w:val="20"/>
              </w:rPr>
              <w:t xml:space="preserve">$ </w:t>
            </w:r>
          </w:p>
        </w:tc>
        <w:tc>
          <w:tcPr>
            <w:tcW w:w="783" w:type="dxa"/>
            <w:tcBorders>
              <w:bottom w:val="single" w:sz="12" w:space="0" w:color="000000"/>
            </w:tcBorders>
            <w:shd w:fill="CCEEFF" w:val="clear"/>
            <w:tcMar>
              <w:bottom w:w="28" w:type="dxa"/>
            </w:tcMar>
            <w:vAlign w:val="bottom"/>
          </w:tcPr>
          <w:p>
            <w:pPr>
              <w:pStyle w:val="TableContents"/>
              <w:bidi w:val="0"/>
              <w:spacing w:before="0" w:after="283"/>
              <w:jc w:val="right"/>
              <w:rPr>
                <w:rFonts w:ascii="Times New Roman" w:hAnsi="Times New Roman"/>
                <w:sz w:val="20"/>
              </w:rPr>
            </w:pPr>
            <w:r>
              <w:rPr>
                <w:rFonts w:ascii="Times New Roman" w:hAnsi="Times New Roman"/>
                <w:sz w:val="20"/>
              </w:rPr>
              <w:t>96,914</w:t>
            </w:r>
          </w:p>
        </w:tc>
        <w:tc>
          <w:tcPr>
            <w:tcW w:w="60" w:type="dxa"/>
            <w:tcBorders/>
            <w:shd w:fill="CCEEFF" w:val="clear"/>
            <w:vAlign w:val="bottom"/>
          </w:tcPr>
          <w:p>
            <w:pPr>
              <w:pStyle w:val="TableContents"/>
              <w:bidi w:val="0"/>
              <w:spacing w:before="0" w:after="283"/>
              <w:jc w:val="left"/>
              <w:rPr/>
            </w:pPr>
            <w:r>
              <w:rPr/>
              <w:t> </w:t>
            </w:r>
          </w:p>
        </w:tc>
      </w:tr>
    </w:tbl>
    <w:p>
      <w:pPr>
        <w:pStyle w:val="TextBody"/>
        <w:bidi w:val="0"/>
        <w:spacing w:before="0" w:after="0"/>
        <w:ind w:left="1170" w:right="0" w:hanging="0"/>
        <w:jc w:val="left"/>
        <w:rPr>
          <w:rFonts w:ascii="Times New Roman" w:hAnsi="Times New Roman"/>
          <w:sz w:val="20"/>
        </w:rPr>
      </w:pPr>
      <w:r>
        <w:rPr>
          <w:rFonts w:ascii="Times New Roman" w:hAnsi="Times New Roman"/>
          <w:sz w:val="20"/>
        </w:rPr>
      </w:r>
    </w:p>
    <w:p>
      <w:pPr>
        <w:pStyle w:val="TextBody"/>
        <w:bidi w:val="0"/>
        <w:spacing w:before="0" w:after="200"/>
        <w:ind w:left="1170" w:right="0" w:hanging="0"/>
        <w:jc w:val="both"/>
        <w:rPr>
          <w:rFonts w:ascii="Times New Roman" w:hAnsi="Times New Roman"/>
          <w:color w:val="000000"/>
          <w:sz w:val="20"/>
          <w:shd w:fill="FFFFFF" w:val="clear"/>
        </w:rPr>
      </w:pPr>
      <w:r>
        <w:rPr>
          <w:rFonts w:ascii="Times New Roman" w:hAnsi="Times New Roman"/>
          <w:color w:val="000000"/>
          <w:sz w:val="20"/>
          <w:shd w:fill="FFFFFF" w:val="clear"/>
        </w:rPr>
        <w:t xml:space="preserve">As of September 30, 2023, the Company had no significant unrealized losses related to marketable securities (which were accumulated in a period of less than 12 months) and determined the unrealized losses are not due to credit related losses, therefore, the Company did not record an allowance for credit losses for its available-for-sale marketable securities. </w:t>
      </w:r>
    </w:p>
    <w:p>
      <w:pPr>
        <w:pStyle w:val="TextBody"/>
        <w:bidi w:val="0"/>
        <w:spacing w:before="220" w:after="0"/>
        <w:ind w:left="1170" w:right="0" w:hanging="0"/>
        <w:jc w:val="both"/>
        <w:rPr>
          <w:rFonts w:ascii="Times New Roman" w:hAnsi="Times New Roman"/>
          <w:color w:val="000000"/>
          <w:sz w:val="20"/>
          <w:shd w:fill="FFFFFF" w:val="clear"/>
        </w:rPr>
      </w:pPr>
      <w:r>
        <w:rPr>
          <w:rFonts w:ascii="Times New Roman" w:hAnsi="Times New Roman"/>
          <w:color w:val="000000"/>
          <w:sz w:val="20"/>
          <w:shd w:fill="FFFFFF" w:val="clear"/>
        </w:rPr>
        <w:t>As of September 30, 2023, all of the Company’s available-for-sale marketable securities were due within one year.</w:t>
      </w:r>
    </w:p>
    <w:p>
      <w:pPr>
        <w:pStyle w:val="TextBody"/>
        <w:bidi w:val="0"/>
        <w:spacing w:before="0" w:after="0"/>
        <w:ind w:left="1170" w:right="0" w:hanging="0"/>
        <w:jc w:val="both"/>
        <w:rPr>
          <w:rFonts w:ascii="Times New Roman" w:hAnsi="Times New Roman"/>
          <w:sz w:val="20"/>
        </w:rPr>
      </w:pPr>
      <w:r>
        <w:rPr>
          <w:rFonts w:ascii="Times New Roman" w:hAnsi="Times New Roman"/>
          <w:sz w:val="20"/>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16</w:t>
      </w:r>
    </w:p>
    <w:p>
      <w:pPr>
        <w:pStyle w:val="HorizontalLine"/>
        <w:bidi w:val="0"/>
        <w:spacing w:before="200" w:after="200"/>
        <w:jc w:val="left"/>
        <w:rPr/>
      </w:pPr>
      <w:r>
        <w:rPr/>
      </w:r>
    </w:p>
    <w:p>
      <w:pPr>
        <w:pStyle w:val="TextBody"/>
        <w:bidi w:val="0"/>
        <w:spacing w:before="200" w:after="200"/>
        <w:jc w:val="left"/>
        <w:rPr/>
      </w:pPr>
      <w:hyperlink w:anchor="Contents">
        <w:r>
          <w:rPr>
            <w:rStyle w:val="InternetLink"/>
            <w:rFonts w:ascii="Times New Roman" w:hAnsi="Times New Roman"/>
            <w:i/>
            <w:color w:val="000000"/>
            <w:sz w:val="16"/>
            <w:shd w:fill="FFFFFF" w:val="clear"/>
          </w:rPr>
          <w:t>Table of Contents</w:t>
        </w:r>
      </w:hyperlink>
    </w:p>
    <w:p>
      <w:pPr>
        <w:pStyle w:val="TextBody"/>
        <w:bidi w:val="0"/>
        <w:spacing w:before="200" w:after="200"/>
        <w:jc w:val="right"/>
        <w:rPr>
          <w:rFonts w:ascii="Times New Roman" w:hAnsi="Times New Roman"/>
          <w:b/>
          <w:color w:val="000000"/>
          <w:sz w:val="18"/>
          <w:bdr w:val="single" w:sz="12" w:space="1" w:color="000000"/>
          <w:shd w:fill="FFFFFF" w:val="clear"/>
        </w:rPr>
      </w:pPr>
      <w:r>
        <w:rPr>
          <w:rFonts w:ascii="Times New Roman" w:hAnsi="Times New Roman"/>
          <w:b/>
          <w:color w:val="000000"/>
          <w:sz w:val="18"/>
          <w:bdr w:val="single" w:sz="12" w:space="1" w:color="000000"/>
          <w:shd w:fill="FFFFFF" w:val="clear"/>
        </w:rPr>
        <w:t>TABOOLA.COM LTD.</w:t>
      </w:r>
    </w:p>
    <w:p>
      <w:pPr>
        <w:pStyle w:val="TextBody"/>
        <w:bidi w:val="0"/>
        <w:spacing w:before="200" w:after="200"/>
        <w:jc w:val="right"/>
        <w:rPr>
          <w:b/>
        </w:rPr>
      </w:pPr>
      <w:r>
        <w:rPr>
          <w:b/>
        </w:rPr>
      </w:r>
    </w:p>
    <w:p>
      <w:pPr>
        <w:pStyle w:val="TextBody"/>
        <w:bidi w:val="0"/>
        <w:spacing w:before="200" w:after="200"/>
        <w:jc w:val="left"/>
        <w:rPr>
          <w:rFonts w:ascii="Times New Roman" w:hAnsi="Times New Roman"/>
          <w:b/>
          <w:color w:val="000000"/>
          <w:sz w:val="18"/>
          <w:bdr w:val="single" w:sz="12" w:space="1" w:color="000000"/>
          <w:shd w:fill="FFFFFF" w:val="clear"/>
        </w:rPr>
      </w:pPr>
      <w:r>
        <w:rPr>
          <w:rFonts w:ascii="Times New Roman" w:hAnsi="Times New Roman"/>
          <w:b/>
          <w:color w:val="000000"/>
          <w:sz w:val="18"/>
          <w:bdr w:val="single" w:sz="12" w:space="1" w:color="000000"/>
          <w:shd w:fill="FFFFFF" w:val="clear"/>
        </w:rPr>
        <w:t>NOTES TO THE CONSOLIDATED INTERIM FINANCIAL STATEMENTS</w:t>
      </w:r>
    </w:p>
    <w:p>
      <w:pPr>
        <w:pStyle w:val="TextBody"/>
        <w:bidi w:val="0"/>
        <w:spacing w:before="200" w:after="200"/>
        <w:jc w:val="left"/>
        <w:rPr>
          <w:rFonts w:ascii="Times New Roman" w:hAnsi="Times New Roman"/>
          <w:b/>
          <w:color w:val="000000"/>
          <w:sz w:val="18"/>
          <w:shd w:fill="FFFFFF" w:val="clear"/>
        </w:rPr>
      </w:pPr>
      <w:r>
        <w:rPr>
          <w:rFonts w:ascii="Times New Roman" w:hAnsi="Times New Roman"/>
          <w:b/>
          <w:color w:val="000000"/>
          <w:sz w:val="18"/>
          <w:shd w:fill="FFFFFF" w:val="clear"/>
        </w:rPr>
        <w:t>U.S. dollars in thousands, except share and per share data</w:t>
      </w:r>
    </w:p>
    <w:tbl>
      <w:tblPr>
        <w:tblW w:w="6190" w:type="dxa"/>
        <w:jc w:val="left"/>
        <w:tblInd w:w="0" w:type="dxa"/>
        <w:tblLayout w:type="fixed"/>
        <w:tblCellMar>
          <w:top w:w="0" w:type="dxa"/>
          <w:left w:w="0" w:type="dxa"/>
          <w:bottom w:w="0" w:type="dxa"/>
          <w:right w:w="0" w:type="dxa"/>
        </w:tblCellMar>
      </w:tblPr>
      <w:tblGrid>
        <w:gridCol w:w="860"/>
        <w:gridCol w:w="5330"/>
      </w:tblGrid>
      <w:tr>
        <w:trPr/>
        <w:tc>
          <w:tcPr>
            <w:tcW w:w="860" w:type="dxa"/>
            <w:tcBorders/>
            <w:vAlign w:val="center"/>
          </w:tcPr>
          <w:p>
            <w:pPr>
              <w:pStyle w:val="TableContents"/>
              <w:bidi w:val="0"/>
              <w:spacing w:before="0" w:after="283"/>
              <w:jc w:val="left"/>
              <w:rPr>
                <w:b/>
                <w:sz w:val="20"/>
              </w:rPr>
            </w:pPr>
            <w:r>
              <w:rPr>
                <w:b/>
                <w:sz w:val="20"/>
              </w:rPr>
              <w:t>NOTE 6:-</w:t>
            </w:r>
          </w:p>
        </w:tc>
        <w:tc>
          <w:tcPr>
            <w:tcW w:w="5330" w:type="dxa"/>
            <w:tcBorders/>
            <w:vAlign w:val="center"/>
          </w:tcPr>
          <w:p>
            <w:pPr>
              <w:pStyle w:val="TableContents"/>
              <w:bidi w:val="0"/>
              <w:spacing w:before="0" w:after="0"/>
              <w:jc w:val="both"/>
              <w:rPr>
                <w:b/>
                <w:sz w:val="20"/>
              </w:rPr>
            </w:pPr>
            <w:r>
              <w:rPr>
                <w:b/>
                <w:sz w:val="20"/>
              </w:rPr>
              <w:t>DERIVATIVE INSTRUMENTS AND HEDGING ACTIVITIES</w:t>
            </w:r>
          </w:p>
        </w:tc>
      </w:tr>
    </w:tbl>
    <w:p>
      <w:pPr>
        <w:pStyle w:val="TextBody"/>
        <w:bidi w:val="0"/>
        <w:spacing w:before="0" w:after="0"/>
        <w:ind w:left="1170" w:right="0" w:hanging="0"/>
        <w:jc w:val="both"/>
        <w:rPr>
          <w:rFonts w:ascii="Times New Roman" w:hAnsi="Times New Roman"/>
          <w:sz w:val="20"/>
        </w:rPr>
      </w:pPr>
      <w:r>
        <w:rPr>
          <w:rFonts w:ascii="Times New Roman" w:hAnsi="Times New Roman"/>
          <w:sz w:val="20"/>
        </w:rPr>
      </w:r>
    </w:p>
    <w:p>
      <w:pPr>
        <w:pStyle w:val="TextBody"/>
        <w:bidi w:val="0"/>
        <w:spacing w:before="0" w:after="0"/>
        <w:ind w:left="1170" w:right="0" w:hanging="0"/>
        <w:jc w:val="both"/>
        <w:rPr>
          <w:rFonts w:ascii="Times New Roman" w:hAnsi="Times New Roman"/>
          <w:color w:val="000000"/>
          <w:sz w:val="20"/>
          <w:shd w:fill="FFFFFF" w:val="clear"/>
        </w:rPr>
      </w:pPr>
      <w:r>
        <w:rPr>
          <w:rFonts w:ascii="Times New Roman" w:hAnsi="Times New Roman"/>
          <w:color w:val="000000"/>
          <w:sz w:val="20"/>
          <w:shd w:fill="FFFFFF" w:val="clear"/>
        </w:rPr>
        <w:t>The Company enters into foreign currency forward contracts and put and call options with financial institution</w:t>
      </w:r>
      <w:r>
        <w:rPr>
          <w:rFonts w:ascii="Times New Roman" w:hAnsi="Times New Roman"/>
          <w:b/>
          <w:color w:val="000000"/>
          <w:sz w:val="20"/>
          <w:shd w:fill="FFFFFF" w:val="clear"/>
        </w:rPr>
        <w:t xml:space="preserve">s </w:t>
      </w:r>
      <w:r>
        <w:rPr>
          <w:rFonts w:ascii="Times New Roman" w:hAnsi="Times New Roman"/>
          <w:color w:val="000000"/>
          <w:sz w:val="20"/>
          <w:shd w:fill="FFFFFF" w:val="clear"/>
        </w:rPr>
        <w:t>to protect itself against the foreign exchange risks, mainly exposure to changes in the exchange rate of the New Israeli Shekel (“NIS”) against the U.S dollar that are associated with forecasted future cash flows for up to twelve months. The Company’s risk management strategy includes the use of derivative financial instruments to reduce the volatility of earnings and cash flows associated with changes in foreign currency exchange rates; these derivative instruments are designated as cash flow hedges. The Company does not enter into derivative transactions for trading or speculative purposes.</w:t>
      </w:r>
    </w:p>
    <w:p>
      <w:pPr>
        <w:pStyle w:val="TextBody"/>
        <w:bidi w:val="0"/>
        <w:spacing w:before="0" w:after="0"/>
        <w:jc w:val="left"/>
        <w:rPr>
          <w:sz w:val="20"/>
        </w:rPr>
      </w:pPr>
      <w:r>
        <w:rPr>
          <w:sz w:val="20"/>
        </w:rPr>
      </w:r>
    </w:p>
    <w:p>
      <w:pPr>
        <w:pStyle w:val="TextBody"/>
        <w:bidi w:val="0"/>
        <w:spacing w:before="0" w:after="0"/>
        <w:ind w:left="1170" w:right="0" w:hanging="0"/>
        <w:jc w:val="both"/>
        <w:rPr>
          <w:rFonts w:ascii="Times New Roman" w:hAnsi="Times New Roman"/>
          <w:color w:val="000000"/>
          <w:sz w:val="20"/>
          <w:shd w:fill="FFFFFF" w:val="clear"/>
        </w:rPr>
      </w:pPr>
      <w:r>
        <w:rPr>
          <w:rFonts w:ascii="Times New Roman" w:hAnsi="Times New Roman"/>
          <w:color w:val="000000"/>
          <w:sz w:val="20"/>
          <w:shd w:fill="FFFFFF" w:val="clear"/>
        </w:rPr>
        <w:t>As of September 30, 2023 and December 31, 2022, the notional amounts of the Company’s derivative instruments designated as cash flow hedging instruments outstanding are in U.S. dollars amounted to $4,415 and $38,669, respectively.</w:t>
      </w:r>
    </w:p>
    <w:p>
      <w:pPr>
        <w:pStyle w:val="TextBody"/>
        <w:bidi w:val="0"/>
        <w:spacing w:before="0" w:after="0"/>
        <w:ind w:left="1170" w:right="0" w:hanging="0"/>
        <w:jc w:val="both"/>
        <w:rPr>
          <w:rFonts w:ascii="Times New Roman" w:hAnsi="Times New Roman"/>
          <w:sz w:val="20"/>
        </w:rPr>
      </w:pPr>
      <w:r>
        <w:rPr>
          <w:rFonts w:ascii="Times New Roman" w:hAnsi="Times New Roman"/>
          <w:sz w:val="20"/>
        </w:rPr>
      </w:r>
    </w:p>
    <w:p>
      <w:pPr>
        <w:pStyle w:val="TextBody"/>
        <w:bidi w:val="0"/>
        <w:spacing w:before="0" w:after="0"/>
        <w:ind w:left="1170" w:right="0" w:hanging="0"/>
        <w:jc w:val="both"/>
        <w:rPr>
          <w:rFonts w:ascii="Times New Roman" w:hAnsi="Times New Roman"/>
          <w:color w:val="000000"/>
          <w:sz w:val="20"/>
          <w:shd w:fill="FFFFFF" w:val="clear"/>
        </w:rPr>
      </w:pPr>
      <w:r>
        <w:rPr>
          <w:rFonts w:ascii="Times New Roman" w:hAnsi="Times New Roman"/>
          <w:color w:val="000000"/>
          <w:sz w:val="20"/>
          <w:shd w:fill="FFFFFF" w:val="clear"/>
        </w:rPr>
        <w:t xml:space="preserve">Gross notional amounts do not quantify risk or represent assets or liabilities of the Company but are used in the calculation of settlements under the contracts. </w:t>
      </w:r>
    </w:p>
    <w:p>
      <w:pPr>
        <w:pStyle w:val="TextBody"/>
        <w:bidi w:val="0"/>
        <w:spacing w:before="220" w:after="0"/>
        <w:ind w:left="1170" w:right="0" w:hanging="0"/>
        <w:jc w:val="both"/>
        <w:rPr>
          <w:rFonts w:ascii="Times New Roman" w:hAnsi="Times New Roman"/>
          <w:color w:val="000000"/>
          <w:sz w:val="20"/>
          <w:shd w:fill="FFFFFF" w:val="clear"/>
        </w:rPr>
      </w:pPr>
      <w:r>
        <w:rPr>
          <w:rFonts w:ascii="Times New Roman" w:hAnsi="Times New Roman"/>
          <w:color w:val="000000"/>
          <w:sz w:val="20"/>
          <w:shd w:fill="FFFFFF" w:val="clear"/>
        </w:rPr>
        <w:t>The Company records all cash flow hedging instruments on the consolidated balance sheets at fair value. The fair value of cash flow hedging instruments recorded as liabilities were $200 and $313 as of September 30, 2023 and December 31, 2022, respectively, which were recorded in accrued expenses and other current liabilities in the consolidated interim balance sheet.</w:t>
      </w:r>
    </w:p>
    <w:p>
      <w:pPr>
        <w:pStyle w:val="TextBody"/>
        <w:bidi w:val="0"/>
        <w:spacing w:before="0" w:after="0"/>
        <w:ind w:left="1170" w:right="0" w:hanging="0"/>
        <w:jc w:val="both"/>
        <w:rPr>
          <w:rFonts w:ascii="Times New Roman" w:hAnsi="Times New Roman"/>
          <w:sz w:val="20"/>
        </w:rPr>
      </w:pPr>
      <w:r>
        <w:rPr>
          <w:rFonts w:ascii="Times New Roman" w:hAnsi="Times New Roman"/>
          <w:sz w:val="20"/>
        </w:rPr>
      </w:r>
    </w:p>
    <w:p>
      <w:pPr>
        <w:pStyle w:val="TextBody"/>
        <w:bidi w:val="0"/>
        <w:spacing w:before="0" w:after="0"/>
        <w:ind w:left="1170" w:right="0" w:hanging="0"/>
        <w:jc w:val="both"/>
        <w:rPr>
          <w:rFonts w:ascii="Times New Roman" w:hAnsi="Times New Roman"/>
          <w:color w:val="000000"/>
          <w:sz w:val="20"/>
          <w:shd w:fill="FFFFFF" w:val="clear"/>
        </w:rPr>
      </w:pPr>
      <w:r>
        <w:rPr>
          <w:rFonts w:ascii="Times New Roman" w:hAnsi="Times New Roman"/>
          <w:color w:val="000000"/>
          <w:sz w:val="20"/>
          <w:shd w:fill="FFFFFF" w:val="clear"/>
        </w:rPr>
        <w:t>The changes related to cash flow hedging instruments, recorded in the consolidated interim statements of loss, for the three and nine months ended September 30, 2023 and 2022, were as follows:</w:t>
      </w:r>
    </w:p>
    <w:p>
      <w:pPr>
        <w:pStyle w:val="TextBody"/>
        <w:bidi w:val="0"/>
        <w:spacing w:before="0" w:after="0"/>
        <w:jc w:val="left"/>
        <w:rPr/>
      </w:pPr>
      <w:r>
        <w:rPr/>
      </w:r>
    </w:p>
    <w:tbl>
      <w:tblPr>
        <w:tblW w:w="9035" w:type="dxa"/>
        <w:jc w:val="left"/>
        <w:tblInd w:w="1170" w:type="dxa"/>
        <w:tblLayout w:type="fixed"/>
        <w:tblCellMar>
          <w:top w:w="0" w:type="dxa"/>
          <w:left w:w="0" w:type="dxa"/>
          <w:bottom w:w="0" w:type="dxa"/>
          <w:right w:w="0" w:type="dxa"/>
        </w:tblCellMar>
      </w:tblPr>
      <w:tblGrid>
        <w:gridCol w:w="4801"/>
        <w:gridCol w:w="60"/>
        <w:gridCol w:w="190"/>
        <w:gridCol w:w="512"/>
        <w:gridCol w:w="91"/>
        <w:gridCol w:w="91"/>
        <w:gridCol w:w="190"/>
        <w:gridCol w:w="742"/>
        <w:gridCol w:w="91"/>
        <w:gridCol w:w="91"/>
        <w:gridCol w:w="251"/>
        <w:gridCol w:w="742"/>
        <w:gridCol w:w="91"/>
        <w:gridCol w:w="91"/>
        <w:gridCol w:w="190"/>
        <w:gridCol w:w="742"/>
        <w:gridCol w:w="69"/>
      </w:tblGrid>
      <w:tr>
        <w:trPr/>
        <w:tc>
          <w:tcPr>
            <w:tcW w:w="480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105" w:type="dxa"/>
            <w:gridSpan w:val="14"/>
            <w:tcBorders>
              <w:bottom w:val="single" w:sz="12" w:space="0" w:color="000000"/>
            </w:tcBorders>
            <w:tcMar>
              <w:bottom w:w="28" w:type="dxa"/>
            </w:tcMar>
            <w:vAlign w:val="bottom"/>
          </w:tcPr>
          <w:p>
            <w:pPr>
              <w:pStyle w:val="TableContents"/>
              <w:bidi w:val="0"/>
              <w:spacing w:before="0" w:after="0"/>
              <w:ind w:left="0" w:right="0" w:firstLine="40"/>
              <w:jc w:val="center"/>
              <w:rPr>
                <w:b/>
                <w:sz w:val="20"/>
              </w:rPr>
            </w:pPr>
            <w:r>
              <w:rPr>
                <w:b/>
                <w:sz w:val="20"/>
              </w:rPr>
              <w:t>Reclassification of losses into loss from accumulated</w:t>
            </w:r>
          </w:p>
          <w:p>
            <w:pPr>
              <w:pStyle w:val="TableContents"/>
              <w:bidi w:val="0"/>
              <w:spacing w:before="0" w:after="0"/>
              <w:ind w:left="0" w:right="0" w:firstLine="40"/>
              <w:jc w:val="center"/>
              <w:rPr>
                <w:b/>
                <w:sz w:val="20"/>
              </w:rPr>
            </w:pPr>
            <w:r>
              <w:rPr>
                <w:b/>
                <w:sz w:val="20"/>
              </w:rPr>
              <w:t>other comprehensive loss</w:t>
            </w:r>
          </w:p>
        </w:tc>
        <w:tc>
          <w:tcPr>
            <w:tcW w:w="69" w:type="dxa"/>
            <w:tcBorders/>
            <w:vAlign w:val="bottom"/>
          </w:tcPr>
          <w:p>
            <w:pPr>
              <w:pStyle w:val="TableContents"/>
              <w:bidi w:val="0"/>
              <w:spacing w:before="0" w:after="283"/>
              <w:jc w:val="left"/>
              <w:rPr/>
            </w:pPr>
            <w:r>
              <w:rPr/>
              <w:t> </w:t>
            </w:r>
          </w:p>
        </w:tc>
      </w:tr>
      <w:tr>
        <w:trPr/>
        <w:tc>
          <w:tcPr>
            <w:tcW w:w="480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16" w:type="dxa"/>
            <w:gridSpan w:val="6"/>
            <w:tcBorders>
              <w:bottom w:val="single" w:sz="12" w:space="0" w:color="000000"/>
            </w:tcBorders>
            <w:tcMar>
              <w:bottom w:w="28" w:type="dxa"/>
            </w:tcMar>
            <w:vAlign w:val="bottom"/>
          </w:tcPr>
          <w:p>
            <w:pPr>
              <w:pStyle w:val="TableContents"/>
              <w:bidi w:val="0"/>
              <w:spacing w:before="0" w:after="0"/>
              <w:ind w:left="0" w:right="0" w:firstLine="40"/>
              <w:jc w:val="center"/>
              <w:rPr>
                <w:b/>
                <w:sz w:val="20"/>
              </w:rPr>
            </w:pPr>
            <w:r>
              <w:rPr>
                <w:b/>
                <w:sz w:val="20"/>
              </w:rPr>
              <w:t>Three months ended</w:t>
            </w:r>
          </w:p>
          <w:p>
            <w:pPr>
              <w:pStyle w:val="TableContents"/>
              <w:bidi w:val="0"/>
              <w:spacing w:before="0" w:after="0"/>
              <w:ind w:left="0" w:right="0" w:firstLine="40"/>
              <w:jc w:val="center"/>
              <w:rPr>
                <w:b/>
                <w:sz w:val="20"/>
              </w:rPr>
            </w:pPr>
            <w:r>
              <w:rPr>
                <w:b/>
                <w:sz w:val="20"/>
              </w:rPr>
              <w:t>September 30,</w:t>
            </w:r>
          </w:p>
        </w:tc>
        <w:tc>
          <w:tcPr>
            <w:tcW w:w="91"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2107" w:type="dxa"/>
            <w:gridSpan w:val="6"/>
            <w:tcBorders>
              <w:bottom w:val="single" w:sz="12" w:space="0" w:color="000000"/>
            </w:tcBorders>
            <w:tcMar>
              <w:bottom w:w="28" w:type="dxa"/>
            </w:tcMar>
            <w:vAlign w:val="bottom"/>
          </w:tcPr>
          <w:p>
            <w:pPr>
              <w:pStyle w:val="TableContents"/>
              <w:bidi w:val="0"/>
              <w:spacing w:before="0" w:after="0"/>
              <w:ind w:left="0" w:right="0" w:firstLine="40"/>
              <w:jc w:val="center"/>
              <w:rPr>
                <w:b/>
                <w:sz w:val="20"/>
              </w:rPr>
            </w:pPr>
            <w:r>
              <w:rPr>
                <w:b/>
                <w:sz w:val="20"/>
              </w:rPr>
              <w:t>Nine months ended</w:t>
            </w:r>
          </w:p>
          <w:p>
            <w:pPr>
              <w:pStyle w:val="TableContents"/>
              <w:bidi w:val="0"/>
              <w:spacing w:before="0" w:after="0"/>
              <w:ind w:left="0" w:right="0" w:firstLine="40"/>
              <w:jc w:val="center"/>
              <w:rPr>
                <w:b/>
                <w:sz w:val="20"/>
              </w:rPr>
            </w:pPr>
            <w:r>
              <w:rPr>
                <w:b/>
                <w:sz w:val="20"/>
              </w:rPr>
              <w:t>September 30,</w:t>
            </w:r>
          </w:p>
        </w:tc>
        <w:tc>
          <w:tcPr>
            <w:tcW w:w="69" w:type="dxa"/>
            <w:tcBorders/>
            <w:vAlign w:val="bottom"/>
          </w:tcPr>
          <w:p>
            <w:pPr>
              <w:pStyle w:val="TableContents"/>
              <w:bidi w:val="0"/>
              <w:spacing w:before="0" w:after="283"/>
              <w:jc w:val="left"/>
              <w:rPr/>
            </w:pPr>
            <w:r>
              <w:rPr/>
              <w:t> </w:t>
            </w:r>
          </w:p>
        </w:tc>
      </w:tr>
      <w:tr>
        <w:trPr/>
        <w:tc>
          <w:tcPr>
            <w:tcW w:w="480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2" w:type="dxa"/>
            <w:gridSpan w:val="2"/>
            <w:tcBorders>
              <w:bottom w:val="single" w:sz="12" w:space="0" w:color="000000"/>
            </w:tcBorders>
            <w:tcMar>
              <w:bottom w:w="28" w:type="dxa"/>
            </w:tcMar>
            <w:vAlign w:val="bottom"/>
          </w:tcPr>
          <w:p>
            <w:pPr>
              <w:pStyle w:val="TableContents"/>
              <w:bidi w:val="0"/>
              <w:spacing w:before="0" w:after="0"/>
              <w:ind w:left="0" w:right="0" w:hanging="0"/>
              <w:jc w:val="center"/>
              <w:rPr>
                <w:b/>
                <w:sz w:val="20"/>
              </w:rPr>
            </w:pPr>
            <w:r>
              <w:rPr>
                <w:b/>
                <w:sz w:val="20"/>
              </w:rPr>
              <w:t>2023</w:t>
            </w:r>
          </w:p>
        </w:tc>
        <w:tc>
          <w:tcPr>
            <w:tcW w:w="91"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center"/>
              <w:rPr/>
            </w:pPr>
            <w:r>
              <w:rPr/>
              <w:t> </w:t>
            </w:r>
          </w:p>
        </w:tc>
        <w:tc>
          <w:tcPr>
            <w:tcW w:w="932" w:type="dxa"/>
            <w:gridSpan w:val="2"/>
            <w:tcBorders>
              <w:bottom w:val="single" w:sz="12" w:space="0" w:color="000000"/>
            </w:tcBorders>
            <w:tcMar>
              <w:bottom w:w="28" w:type="dxa"/>
            </w:tcMar>
            <w:vAlign w:val="bottom"/>
          </w:tcPr>
          <w:p>
            <w:pPr>
              <w:pStyle w:val="TableContents"/>
              <w:bidi w:val="0"/>
              <w:spacing w:before="0" w:after="283"/>
              <w:jc w:val="center"/>
              <w:rPr>
                <w:b/>
                <w:sz w:val="20"/>
              </w:rPr>
            </w:pPr>
            <w:r>
              <w:rPr>
                <w:b/>
                <w:sz w:val="20"/>
              </w:rPr>
              <w:t>2022</w:t>
            </w:r>
          </w:p>
        </w:tc>
        <w:tc>
          <w:tcPr>
            <w:tcW w:w="91"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993" w:type="dxa"/>
            <w:gridSpan w:val="2"/>
            <w:tcBorders>
              <w:bottom w:val="single" w:sz="12" w:space="0" w:color="000000"/>
            </w:tcBorders>
            <w:tcMar>
              <w:bottom w:w="28" w:type="dxa"/>
            </w:tcMar>
            <w:vAlign w:val="center"/>
          </w:tcPr>
          <w:p>
            <w:pPr>
              <w:pStyle w:val="TableContents"/>
              <w:bidi w:val="0"/>
              <w:spacing w:before="0" w:after="283"/>
              <w:jc w:val="center"/>
              <w:rPr>
                <w:b/>
                <w:sz w:val="20"/>
              </w:rPr>
            </w:pPr>
            <w:r>
              <w:rPr>
                <w:b/>
                <w:sz w:val="20"/>
              </w:rPr>
              <w:t>2023</w:t>
            </w:r>
          </w:p>
        </w:tc>
        <w:tc>
          <w:tcPr>
            <w:tcW w:w="91" w:type="dxa"/>
            <w:tcBorders/>
            <w:vAlign w:val="center"/>
          </w:tcPr>
          <w:p>
            <w:pPr>
              <w:pStyle w:val="TableContents"/>
              <w:bidi w:val="0"/>
              <w:spacing w:before="0" w:after="283"/>
              <w:jc w:val="center"/>
              <w:rPr/>
            </w:pPr>
            <w:r>
              <w:rPr/>
              <w:t> </w:t>
            </w:r>
          </w:p>
        </w:tc>
        <w:tc>
          <w:tcPr>
            <w:tcW w:w="91" w:type="dxa"/>
            <w:tcBorders/>
            <w:vAlign w:val="center"/>
          </w:tcPr>
          <w:p>
            <w:pPr>
              <w:pStyle w:val="TableContents"/>
              <w:bidi w:val="0"/>
              <w:spacing w:before="0" w:after="283"/>
              <w:jc w:val="center"/>
              <w:rPr/>
            </w:pPr>
            <w:r>
              <w:rPr/>
              <w:t> </w:t>
            </w:r>
          </w:p>
        </w:tc>
        <w:tc>
          <w:tcPr>
            <w:tcW w:w="932" w:type="dxa"/>
            <w:gridSpan w:val="2"/>
            <w:tcBorders>
              <w:bottom w:val="single" w:sz="12" w:space="0" w:color="000000"/>
            </w:tcBorders>
            <w:tcMar>
              <w:bottom w:w="28" w:type="dxa"/>
            </w:tcMar>
            <w:vAlign w:val="center"/>
          </w:tcPr>
          <w:p>
            <w:pPr>
              <w:pStyle w:val="TableContents"/>
              <w:bidi w:val="0"/>
              <w:spacing w:before="0" w:after="283"/>
              <w:jc w:val="center"/>
              <w:rPr>
                <w:b/>
                <w:sz w:val="20"/>
              </w:rPr>
            </w:pPr>
            <w:r>
              <w:rPr>
                <w:b/>
                <w:sz w:val="20"/>
              </w:rPr>
              <w:t>2022</w:t>
            </w:r>
          </w:p>
        </w:tc>
        <w:tc>
          <w:tcPr>
            <w:tcW w:w="69" w:type="dxa"/>
            <w:tcBorders/>
            <w:vAlign w:val="bottom"/>
          </w:tcPr>
          <w:p>
            <w:pPr>
              <w:pStyle w:val="TableContents"/>
              <w:bidi w:val="0"/>
              <w:spacing w:before="0" w:after="283"/>
              <w:jc w:val="left"/>
              <w:rPr/>
            </w:pPr>
            <w:r>
              <w:rPr/>
              <w:t> </w:t>
            </w:r>
          </w:p>
        </w:tc>
      </w:tr>
      <w:tr>
        <w:trPr/>
        <w:tc>
          <w:tcPr>
            <w:tcW w:w="480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105" w:type="dxa"/>
            <w:gridSpan w:val="14"/>
            <w:tcBorders>
              <w:bottom w:val="single" w:sz="12" w:space="0" w:color="000000"/>
            </w:tcBorders>
            <w:tcMar>
              <w:bottom w:w="28" w:type="dxa"/>
            </w:tcMar>
            <w:vAlign w:val="bottom"/>
          </w:tcPr>
          <w:p>
            <w:pPr>
              <w:pStyle w:val="TableContents"/>
              <w:bidi w:val="0"/>
              <w:spacing w:before="0" w:after="0"/>
              <w:ind w:left="0" w:right="0" w:firstLine="40"/>
              <w:jc w:val="center"/>
              <w:rPr>
                <w:b/>
                <w:sz w:val="20"/>
              </w:rPr>
            </w:pPr>
            <w:r>
              <w:rPr>
                <w:b/>
                <w:sz w:val="20"/>
              </w:rPr>
              <w:t>Unaudited</w:t>
            </w:r>
          </w:p>
        </w:tc>
        <w:tc>
          <w:tcPr>
            <w:tcW w:w="69" w:type="dxa"/>
            <w:tcBorders/>
            <w:vAlign w:val="bottom"/>
          </w:tcPr>
          <w:p>
            <w:pPr>
              <w:pStyle w:val="TableContents"/>
              <w:bidi w:val="0"/>
              <w:spacing w:before="0" w:after="283"/>
              <w:jc w:val="left"/>
              <w:rPr/>
            </w:pPr>
            <w:r>
              <w:rPr/>
              <w:t> </w:t>
            </w:r>
          </w:p>
        </w:tc>
      </w:tr>
      <w:tr>
        <w:trPr/>
        <w:tc>
          <w:tcPr>
            <w:tcW w:w="4801" w:type="dxa"/>
            <w:tcBorders/>
            <w:shd w:fill="CCEEFF" w:val="clear"/>
            <w:vAlign w:val="bottom"/>
          </w:tcPr>
          <w:p>
            <w:pPr>
              <w:pStyle w:val="TableContents"/>
              <w:bidi w:val="0"/>
              <w:spacing w:before="0" w:after="0"/>
              <w:ind w:left="180" w:right="0" w:hanging="0"/>
              <w:jc w:val="left"/>
              <w:rPr>
                <w:sz w:val="20"/>
              </w:rPr>
            </w:pPr>
            <w:r>
              <w:rPr>
                <w:sz w:val="20"/>
              </w:rPr>
              <w:t>Cost of revenues</w:t>
            </w:r>
          </w:p>
        </w:tc>
        <w:tc>
          <w:tcPr>
            <w:tcW w:w="60" w:type="dxa"/>
            <w:tcBorders/>
            <w:shd w:fill="CCEEFF" w:val="clear"/>
            <w:vAlign w:val="bottom"/>
          </w:tcPr>
          <w:p>
            <w:pPr>
              <w:pStyle w:val="TableContents"/>
              <w:bidi w:val="0"/>
              <w:spacing w:before="0" w:after="283"/>
              <w:jc w:val="right"/>
              <w:rPr/>
            </w:pPr>
            <w:r>
              <w:rPr/>
              <w:t> </w:t>
            </w:r>
          </w:p>
        </w:tc>
        <w:tc>
          <w:tcPr>
            <w:tcW w:w="190" w:type="dxa"/>
            <w:tcBorders/>
            <w:shd w:fill="CCEEFF" w:val="clear"/>
            <w:vAlign w:val="bottom"/>
          </w:tcPr>
          <w:p>
            <w:pPr>
              <w:pStyle w:val="TableContents"/>
              <w:bidi w:val="0"/>
              <w:spacing w:before="0" w:after="0"/>
              <w:jc w:val="left"/>
              <w:rPr>
                <w:sz w:val="20"/>
              </w:rPr>
            </w:pPr>
            <w:r>
              <w:rPr>
                <w:sz w:val="20"/>
              </w:rPr>
              <w:t>$</w:t>
            </w:r>
          </w:p>
        </w:tc>
        <w:tc>
          <w:tcPr>
            <w:tcW w:w="512" w:type="dxa"/>
            <w:tcBorders/>
            <w:shd w:fill="CCEEFF" w:val="clear"/>
            <w:vAlign w:val="bottom"/>
          </w:tcPr>
          <w:p>
            <w:pPr>
              <w:pStyle w:val="TableContents"/>
              <w:bidi w:val="0"/>
              <w:spacing w:before="0" w:after="0"/>
              <w:jc w:val="right"/>
              <w:rPr>
                <w:sz w:val="20"/>
              </w:rPr>
            </w:pPr>
            <w:r>
              <w:rPr>
                <w:sz w:val="20"/>
              </w:rPr>
              <w:t>60</w:t>
            </w:r>
          </w:p>
        </w:tc>
        <w:tc>
          <w:tcPr>
            <w:tcW w:w="91"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right"/>
              <w:rPr/>
            </w:pPr>
            <w:r>
              <w:rPr/>
              <w:t> </w:t>
            </w:r>
          </w:p>
        </w:tc>
        <w:tc>
          <w:tcPr>
            <w:tcW w:w="190" w:type="dxa"/>
            <w:tcBorders/>
            <w:shd w:fill="CCEEFF" w:val="clear"/>
            <w:vAlign w:val="bottom"/>
          </w:tcPr>
          <w:p>
            <w:pPr>
              <w:pStyle w:val="TableContents"/>
              <w:bidi w:val="0"/>
              <w:spacing w:before="0" w:after="0"/>
              <w:jc w:val="left"/>
              <w:rPr>
                <w:sz w:val="20"/>
              </w:rPr>
            </w:pPr>
            <w:r>
              <w:rPr>
                <w:sz w:val="20"/>
              </w:rPr>
              <w:t>$</w:t>
            </w:r>
          </w:p>
        </w:tc>
        <w:tc>
          <w:tcPr>
            <w:tcW w:w="742" w:type="dxa"/>
            <w:tcBorders/>
            <w:shd w:fill="CCEEFF" w:val="clear"/>
            <w:vAlign w:val="bottom"/>
          </w:tcPr>
          <w:p>
            <w:pPr>
              <w:pStyle w:val="TableContents"/>
              <w:bidi w:val="0"/>
              <w:spacing w:before="0" w:after="0"/>
              <w:jc w:val="right"/>
              <w:rPr>
                <w:sz w:val="20"/>
              </w:rPr>
            </w:pPr>
            <w:r>
              <w:rPr>
                <w:sz w:val="20"/>
              </w:rPr>
              <w:t>145</w:t>
            </w:r>
          </w:p>
        </w:tc>
        <w:tc>
          <w:tcPr>
            <w:tcW w:w="91"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sz w:val="20"/>
              </w:rPr>
            </w:pPr>
            <w:r>
              <w:rPr>
                <w:sz w:val="20"/>
              </w:rPr>
              <w:t xml:space="preserve">$ </w:t>
            </w:r>
          </w:p>
        </w:tc>
        <w:tc>
          <w:tcPr>
            <w:tcW w:w="742" w:type="dxa"/>
            <w:tcBorders/>
            <w:shd w:fill="CCEEFF" w:val="clear"/>
            <w:vAlign w:val="bottom"/>
          </w:tcPr>
          <w:p>
            <w:pPr>
              <w:pStyle w:val="TableContents"/>
              <w:bidi w:val="0"/>
              <w:spacing w:before="0" w:after="283"/>
              <w:jc w:val="right"/>
              <w:rPr>
                <w:sz w:val="20"/>
              </w:rPr>
            </w:pPr>
            <w:r>
              <w:rPr>
                <w:sz w:val="20"/>
              </w:rPr>
              <w:t>142</w:t>
            </w:r>
          </w:p>
        </w:tc>
        <w:tc>
          <w:tcPr>
            <w:tcW w:w="91"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sz w:val="20"/>
              </w:rPr>
            </w:pPr>
            <w:r>
              <w:rPr>
                <w:sz w:val="20"/>
              </w:rPr>
              <w:t>$</w:t>
            </w:r>
          </w:p>
        </w:tc>
        <w:tc>
          <w:tcPr>
            <w:tcW w:w="742" w:type="dxa"/>
            <w:tcBorders/>
            <w:shd w:fill="CCEEFF" w:val="clear"/>
            <w:vAlign w:val="bottom"/>
          </w:tcPr>
          <w:p>
            <w:pPr>
              <w:pStyle w:val="TableContents"/>
              <w:bidi w:val="0"/>
              <w:spacing w:before="0" w:after="283"/>
              <w:jc w:val="right"/>
              <w:rPr>
                <w:sz w:val="20"/>
              </w:rPr>
            </w:pPr>
            <w:r>
              <w:rPr>
                <w:sz w:val="20"/>
              </w:rPr>
              <w:t>290</w:t>
            </w:r>
          </w:p>
        </w:tc>
        <w:tc>
          <w:tcPr>
            <w:tcW w:w="69" w:type="dxa"/>
            <w:tcBorders/>
            <w:shd w:fill="CCEEFF" w:val="clear"/>
            <w:vAlign w:val="bottom"/>
          </w:tcPr>
          <w:p>
            <w:pPr>
              <w:pStyle w:val="TableContents"/>
              <w:bidi w:val="0"/>
              <w:spacing w:before="0" w:after="283"/>
              <w:jc w:val="left"/>
              <w:rPr/>
            </w:pPr>
            <w:r>
              <w:rPr/>
              <w:t> </w:t>
            </w:r>
          </w:p>
        </w:tc>
      </w:tr>
      <w:tr>
        <w:trPr/>
        <w:tc>
          <w:tcPr>
            <w:tcW w:w="4801" w:type="dxa"/>
            <w:tcBorders/>
            <w:vAlign w:val="bottom"/>
          </w:tcPr>
          <w:p>
            <w:pPr>
              <w:pStyle w:val="TableContents"/>
              <w:bidi w:val="0"/>
              <w:spacing w:before="0" w:after="0"/>
              <w:ind w:left="180" w:right="0" w:hanging="0"/>
              <w:jc w:val="both"/>
              <w:rPr>
                <w:sz w:val="20"/>
              </w:rPr>
            </w:pPr>
            <w:r>
              <w:rPr>
                <w:sz w:val="20"/>
              </w:rPr>
              <w:t>Research and development</w:t>
            </w:r>
          </w:p>
        </w:tc>
        <w:tc>
          <w:tcPr>
            <w:tcW w:w="60" w:type="dxa"/>
            <w:tcBorders/>
            <w:vAlign w:val="bottom"/>
          </w:tcPr>
          <w:p>
            <w:pPr>
              <w:pStyle w:val="TableContents"/>
              <w:bidi w:val="0"/>
              <w:spacing w:before="0" w:after="283"/>
              <w:jc w:val="right"/>
              <w:rPr/>
            </w:pPr>
            <w:r>
              <w:rPr/>
              <w:t> </w:t>
            </w:r>
          </w:p>
        </w:tc>
        <w:tc>
          <w:tcPr>
            <w:tcW w:w="190" w:type="dxa"/>
            <w:tcBorders/>
            <w:vAlign w:val="bottom"/>
          </w:tcPr>
          <w:p>
            <w:pPr>
              <w:pStyle w:val="TableContents"/>
              <w:bidi w:val="0"/>
              <w:spacing w:before="0" w:after="283"/>
              <w:jc w:val="left"/>
              <w:rPr/>
            </w:pPr>
            <w:r>
              <w:rPr/>
              <w:t> </w:t>
            </w:r>
          </w:p>
        </w:tc>
        <w:tc>
          <w:tcPr>
            <w:tcW w:w="512" w:type="dxa"/>
            <w:tcBorders/>
            <w:vAlign w:val="bottom"/>
          </w:tcPr>
          <w:p>
            <w:pPr>
              <w:pStyle w:val="TableContents"/>
              <w:bidi w:val="0"/>
              <w:spacing w:before="0" w:after="0"/>
              <w:jc w:val="right"/>
              <w:rPr>
                <w:sz w:val="20"/>
              </w:rPr>
            </w:pPr>
            <w:r>
              <w:rPr>
                <w:sz w:val="20"/>
              </w:rPr>
              <w:t>627</w:t>
            </w:r>
          </w:p>
        </w:tc>
        <w:tc>
          <w:tcPr>
            <w:tcW w:w="91"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right"/>
              <w:rPr/>
            </w:pPr>
            <w:r>
              <w:rPr/>
              <w:t> </w:t>
            </w:r>
          </w:p>
        </w:tc>
        <w:tc>
          <w:tcPr>
            <w:tcW w:w="190" w:type="dxa"/>
            <w:tcBorders/>
            <w:vAlign w:val="bottom"/>
          </w:tcPr>
          <w:p>
            <w:pPr>
              <w:pStyle w:val="TableContents"/>
              <w:bidi w:val="0"/>
              <w:spacing w:before="0" w:after="283"/>
              <w:jc w:val="left"/>
              <w:rPr/>
            </w:pPr>
            <w:r>
              <w:rPr/>
              <w:t> </w:t>
            </w:r>
          </w:p>
        </w:tc>
        <w:tc>
          <w:tcPr>
            <w:tcW w:w="742" w:type="dxa"/>
            <w:tcBorders/>
            <w:vAlign w:val="bottom"/>
          </w:tcPr>
          <w:p>
            <w:pPr>
              <w:pStyle w:val="TableContents"/>
              <w:bidi w:val="0"/>
              <w:spacing w:before="0" w:after="0"/>
              <w:jc w:val="right"/>
              <w:rPr>
                <w:sz w:val="20"/>
              </w:rPr>
            </w:pPr>
            <w:r>
              <w:rPr>
                <w:sz w:val="20"/>
              </w:rPr>
              <w:t>992</w:t>
            </w:r>
          </w:p>
        </w:tc>
        <w:tc>
          <w:tcPr>
            <w:tcW w:w="91"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742" w:type="dxa"/>
            <w:tcBorders/>
            <w:vAlign w:val="bottom"/>
          </w:tcPr>
          <w:p>
            <w:pPr>
              <w:pStyle w:val="TableContents"/>
              <w:bidi w:val="0"/>
              <w:spacing w:before="0" w:after="283"/>
              <w:jc w:val="right"/>
              <w:rPr>
                <w:sz w:val="20"/>
              </w:rPr>
            </w:pPr>
            <w:r>
              <w:rPr>
                <w:sz w:val="20"/>
              </w:rPr>
              <w:t>1,478</w:t>
            </w:r>
          </w:p>
        </w:tc>
        <w:tc>
          <w:tcPr>
            <w:tcW w:w="91"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742" w:type="dxa"/>
            <w:tcBorders/>
            <w:vAlign w:val="bottom"/>
          </w:tcPr>
          <w:p>
            <w:pPr>
              <w:pStyle w:val="TableContents"/>
              <w:bidi w:val="0"/>
              <w:spacing w:before="0" w:after="283"/>
              <w:jc w:val="right"/>
              <w:rPr>
                <w:sz w:val="20"/>
              </w:rPr>
            </w:pPr>
            <w:r>
              <w:rPr>
                <w:sz w:val="20"/>
              </w:rPr>
              <w:t>1,971</w:t>
            </w:r>
          </w:p>
        </w:tc>
        <w:tc>
          <w:tcPr>
            <w:tcW w:w="69" w:type="dxa"/>
            <w:tcBorders/>
            <w:vAlign w:val="bottom"/>
          </w:tcPr>
          <w:p>
            <w:pPr>
              <w:pStyle w:val="TableContents"/>
              <w:bidi w:val="0"/>
              <w:spacing w:before="0" w:after="283"/>
              <w:jc w:val="left"/>
              <w:rPr/>
            </w:pPr>
            <w:r>
              <w:rPr/>
              <w:t> </w:t>
            </w:r>
          </w:p>
        </w:tc>
      </w:tr>
      <w:tr>
        <w:trPr/>
        <w:tc>
          <w:tcPr>
            <w:tcW w:w="4801" w:type="dxa"/>
            <w:tcBorders/>
            <w:shd w:fill="CCEEFF" w:val="clear"/>
            <w:vAlign w:val="bottom"/>
          </w:tcPr>
          <w:p>
            <w:pPr>
              <w:pStyle w:val="TableContents"/>
              <w:bidi w:val="0"/>
              <w:spacing w:before="0" w:after="0"/>
              <w:ind w:left="180" w:right="0" w:hanging="0"/>
              <w:jc w:val="both"/>
              <w:rPr>
                <w:sz w:val="20"/>
              </w:rPr>
            </w:pPr>
            <w:r>
              <w:rPr>
                <w:sz w:val="20"/>
              </w:rPr>
              <w:t>Sales and marketing</w:t>
            </w:r>
          </w:p>
        </w:tc>
        <w:tc>
          <w:tcPr>
            <w:tcW w:w="60" w:type="dxa"/>
            <w:tcBorders/>
            <w:shd w:fill="CCEEFF" w:val="clear"/>
            <w:vAlign w:val="bottom"/>
          </w:tcPr>
          <w:p>
            <w:pPr>
              <w:pStyle w:val="TableContents"/>
              <w:bidi w:val="0"/>
              <w:spacing w:before="0" w:after="283"/>
              <w:jc w:val="right"/>
              <w:rPr/>
            </w:pPr>
            <w:r>
              <w:rPr/>
              <w:t> </w:t>
            </w:r>
          </w:p>
        </w:tc>
        <w:tc>
          <w:tcPr>
            <w:tcW w:w="190" w:type="dxa"/>
            <w:tcBorders/>
            <w:shd w:fill="CCEEFF" w:val="clear"/>
            <w:vAlign w:val="bottom"/>
          </w:tcPr>
          <w:p>
            <w:pPr>
              <w:pStyle w:val="TableContents"/>
              <w:bidi w:val="0"/>
              <w:spacing w:before="0" w:after="283"/>
              <w:jc w:val="left"/>
              <w:rPr/>
            </w:pPr>
            <w:r>
              <w:rPr/>
              <w:t> </w:t>
            </w:r>
          </w:p>
        </w:tc>
        <w:tc>
          <w:tcPr>
            <w:tcW w:w="512" w:type="dxa"/>
            <w:tcBorders/>
            <w:shd w:fill="CCEEFF" w:val="clear"/>
            <w:vAlign w:val="bottom"/>
          </w:tcPr>
          <w:p>
            <w:pPr>
              <w:pStyle w:val="TableContents"/>
              <w:bidi w:val="0"/>
              <w:spacing w:before="0" w:after="0"/>
              <w:jc w:val="right"/>
              <w:rPr>
                <w:sz w:val="20"/>
              </w:rPr>
            </w:pPr>
            <w:r>
              <w:rPr>
                <w:sz w:val="20"/>
              </w:rPr>
              <w:t>114</w:t>
            </w:r>
          </w:p>
        </w:tc>
        <w:tc>
          <w:tcPr>
            <w:tcW w:w="91"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right"/>
              <w:rPr/>
            </w:pPr>
            <w:r>
              <w:rPr/>
              <w:t> </w:t>
            </w:r>
          </w:p>
        </w:tc>
        <w:tc>
          <w:tcPr>
            <w:tcW w:w="190" w:type="dxa"/>
            <w:tcBorders/>
            <w:shd w:fill="CCEEFF" w:val="clear"/>
            <w:vAlign w:val="bottom"/>
          </w:tcPr>
          <w:p>
            <w:pPr>
              <w:pStyle w:val="TableContents"/>
              <w:bidi w:val="0"/>
              <w:spacing w:before="0" w:after="283"/>
              <w:jc w:val="left"/>
              <w:rPr/>
            </w:pPr>
            <w:r>
              <w:rPr/>
              <w:t> </w:t>
            </w:r>
          </w:p>
        </w:tc>
        <w:tc>
          <w:tcPr>
            <w:tcW w:w="742" w:type="dxa"/>
            <w:tcBorders/>
            <w:shd w:fill="CCEEFF" w:val="clear"/>
            <w:vAlign w:val="bottom"/>
          </w:tcPr>
          <w:p>
            <w:pPr>
              <w:pStyle w:val="TableContents"/>
              <w:bidi w:val="0"/>
              <w:spacing w:before="0" w:after="0"/>
              <w:jc w:val="right"/>
              <w:rPr>
                <w:sz w:val="20"/>
              </w:rPr>
            </w:pPr>
            <w:r>
              <w:rPr>
                <w:sz w:val="20"/>
              </w:rPr>
              <w:t>190</w:t>
            </w:r>
          </w:p>
        </w:tc>
        <w:tc>
          <w:tcPr>
            <w:tcW w:w="91"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pPr>
            <w:r>
              <w:rPr/>
              <w:t> </w:t>
            </w:r>
          </w:p>
        </w:tc>
        <w:tc>
          <w:tcPr>
            <w:tcW w:w="742" w:type="dxa"/>
            <w:tcBorders/>
            <w:shd w:fill="CCEEFF" w:val="clear"/>
            <w:vAlign w:val="bottom"/>
          </w:tcPr>
          <w:p>
            <w:pPr>
              <w:pStyle w:val="TableContents"/>
              <w:bidi w:val="0"/>
              <w:spacing w:before="0" w:after="283"/>
              <w:jc w:val="right"/>
              <w:rPr>
                <w:sz w:val="20"/>
              </w:rPr>
            </w:pPr>
            <w:r>
              <w:rPr>
                <w:sz w:val="20"/>
              </w:rPr>
              <w:t>270</w:t>
            </w:r>
          </w:p>
        </w:tc>
        <w:tc>
          <w:tcPr>
            <w:tcW w:w="91"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742" w:type="dxa"/>
            <w:tcBorders/>
            <w:shd w:fill="CCEEFF" w:val="clear"/>
            <w:vAlign w:val="bottom"/>
          </w:tcPr>
          <w:p>
            <w:pPr>
              <w:pStyle w:val="TableContents"/>
              <w:bidi w:val="0"/>
              <w:spacing w:before="0" w:after="283"/>
              <w:jc w:val="right"/>
              <w:rPr>
                <w:sz w:val="20"/>
              </w:rPr>
            </w:pPr>
            <w:r>
              <w:rPr>
                <w:sz w:val="20"/>
              </w:rPr>
              <w:t>376</w:t>
            </w:r>
          </w:p>
        </w:tc>
        <w:tc>
          <w:tcPr>
            <w:tcW w:w="69" w:type="dxa"/>
            <w:tcBorders/>
            <w:shd w:fill="CCEEFF" w:val="clear"/>
            <w:vAlign w:val="bottom"/>
          </w:tcPr>
          <w:p>
            <w:pPr>
              <w:pStyle w:val="TableContents"/>
              <w:bidi w:val="0"/>
              <w:spacing w:before="0" w:after="283"/>
              <w:jc w:val="left"/>
              <w:rPr/>
            </w:pPr>
            <w:r>
              <w:rPr/>
              <w:t> </w:t>
            </w:r>
          </w:p>
        </w:tc>
      </w:tr>
      <w:tr>
        <w:trPr/>
        <w:tc>
          <w:tcPr>
            <w:tcW w:w="4801" w:type="dxa"/>
            <w:tcBorders/>
            <w:vAlign w:val="bottom"/>
          </w:tcPr>
          <w:p>
            <w:pPr>
              <w:pStyle w:val="TableContents"/>
              <w:bidi w:val="0"/>
              <w:spacing w:before="0" w:after="0"/>
              <w:ind w:left="180" w:right="0" w:hanging="0"/>
              <w:jc w:val="both"/>
              <w:rPr>
                <w:sz w:val="20"/>
              </w:rPr>
            </w:pPr>
            <w:r>
              <w:rPr>
                <w:sz w:val="20"/>
              </w:rPr>
              <w:t>General and administrative</w:t>
            </w:r>
          </w:p>
        </w:tc>
        <w:tc>
          <w:tcPr>
            <w:tcW w:w="60" w:type="dxa"/>
            <w:tcBorders/>
            <w:vAlign w:val="bottom"/>
          </w:tcPr>
          <w:p>
            <w:pPr>
              <w:pStyle w:val="TableContents"/>
              <w:bidi w:val="0"/>
              <w:spacing w:before="0" w:after="283"/>
              <w:jc w:val="right"/>
              <w:rPr/>
            </w:pPr>
            <w:r>
              <w:rPr/>
              <w:t> </w:t>
            </w:r>
          </w:p>
        </w:tc>
        <w:tc>
          <w:tcPr>
            <w:tcW w:w="190" w:type="dxa"/>
            <w:tcBorders>
              <w:bottom w:val="single" w:sz="12" w:space="0" w:color="000000"/>
            </w:tcBorders>
            <w:tcMar>
              <w:bottom w:w="28" w:type="dxa"/>
            </w:tcMar>
            <w:vAlign w:val="bottom"/>
          </w:tcPr>
          <w:p>
            <w:pPr>
              <w:pStyle w:val="TableContents"/>
              <w:bidi w:val="0"/>
              <w:spacing w:before="0" w:after="283"/>
              <w:jc w:val="left"/>
              <w:rPr/>
            </w:pPr>
            <w:r>
              <w:rPr/>
              <w:t> </w:t>
            </w:r>
          </w:p>
        </w:tc>
        <w:tc>
          <w:tcPr>
            <w:tcW w:w="512" w:type="dxa"/>
            <w:tcBorders>
              <w:bottom w:val="single" w:sz="12" w:space="0" w:color="000000"/>
            </w:tcBorders>
            <w:tcMar>
              <w:bottom w:w="28" w:type="dxa"/>
            </w:tcMar>
            <w:vAlign w:val="bottom"/>
          </w:tcPr>
          <w:p>
            <w:pPr>
              <w:pStyle w:val="TableContents"/>
              <w:bidi w:val="0"/>
              <w:spacing w:before="0" w:after="0"/>
              <w:jc w:val="right"/>
              <w:rPr>
                <w:sz w:val="20"/>
              </w:rPr>
            </w:pPr>
            <w:r>
              <w:rPr>
                <w:sz w:val="20"/>
              </w:rPr>
              <w:t>117</w:t>
            </w:r>
          </w:p>
        </w:tc>
        <w:tc>
          <w:tcPr>
            <w:tcW w:w="91"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right"/>
              <w:rPr/>
            </w:pPr>
            <w:r>
              <w:rPr/>
              <w:t> </w:t>
            </w:r>
          </w:p>
        </w:tc>
        <w:tc>
          <w:tcPr>
            <w:tcW w:w="190" w:type="dxa"/>
            <w:tcBorders>
              <w:bottom w:val="single" w:sz="12" w:space="0" w:color="000000"/>
            </w:tcBorders>
            <w:tcMar>
              <w:bottom w:w="28" w:type="dxa"/>
            </w:tcMar>
            <w:vAlign w:val="bottom"/>
          </w:tcPr>
          <w:p>
            <w:pPr>
              <w:pStyle w:val="TableContents"/>
              <w:bidi w:val="0"/>
              <w:spacing w:before="0" w:after="283"/>
              <w:jc w:val="left"/>
              <w:rPr/>
            </w:pPr>
            <w:r>
              <w:rPr/>
              <w:t> </w:t>
            </w:r>
          </w:p>
        </w:tc>
        <w:tc>
          <w:tcPr>
            <w:tcW w:w="742" w:type="dxa"/>
            <w:tcBorders>
              <w:bottom w:val="single" w:sz="12" w:space="0" w:color="000000"/>
            </w:tcBorders>
            <w:tcMar>
              <w:bottom w:w="28" w:type="dxa"/>
            </w:tcMar>
            <w:vAlign w:val="bottom"/>
          </w:tcPr>
          <w:p>
            <w:pPr>
              <w:pStyle w:val="TableContents"/>
              <w:bidi w:val="0"/>
              <w:spacing w:before="0" w:after="0"/>
              <w:jc w:val="right"/>
              <w:rPr>
                <w:sz w:val="20"/>
              </w:rPr>
            </w:pPr>
            <w:r>
              <w:rPr>
                <w:sz w:val="20"/>
              </w:rPr>
              <w:t>165</w:t>
            </w:r>
          </w:p>
        </w:tc>
        <w:tc>
          <w:tcPr>
            <w:tcW w:w="91"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251" w:type="dxa"/>
            <w:tcBorders>
              <w:bottom w:val="single" w:sz="12" w:space="0" w:color="000000"/>
            </w:tcBorders>
            <w:tcMar>
              <w:bottom w:w="28" w:type="dxa"/>
            </w:tcMar>
            <w:vAlign w:val="bottom"/>
          </w:tcPr>
          <w:p>
            <w:pPr>
              <w:pStyle w:val="TableContents"/>
              <w:bidi w:val="0"/>
              <w:spacing w:before="0" w:after="283"/>
              <w:jc w:val="left"/>
              <w:rPr/>
            </w:pPr>
            <w:r>
              <w:rPr/>
              <w:t> </w:t>
            </w:r>
          </w:p>
        </w:tc>
        <w:tc>
          <w:tcPr>
            <w:tcW w:w="742" w:type="dxa"/>
            <w:tcBorders>
              <w:bottom w:val="single" w:sz="12" w:space="0" w:color="000000"/>
            </w:tcBorders>
            <w:tcMar>
              <w:bottom w:w="28" w:type="dxa"/>
            </w:tcMar>
            <w:vAlign w:val="bottom"/>
          </w:tcPr>
          <w:p>
            <w:pPr>
              <w:pStyle w:val="TableContents"/>
              <w:bidi w:val="0"/>
              <w:spacing w:before="0" w:after="283"/>
              <w:jc w:val="right"/>
              <w:rPr>
                <w:sz w:val="20"/>
              </w:rPr>
            </w:pPr>
            <w:r>
              <w:rPr>
                <w:sz w:val="20"/>
              </w:rPr>
              <w:t>270</w:t>
            </w:r>
          </w:p>
        </w:tc>
        <w:tc>
          <w:tcPr>
            <w:tcW w:w="91"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190" w:type="dxa"/>
            <w:tcBorders>
              <w:bottom w:val="single" w:sz="12" w:space="0" w:color="000000"/>
            </w:tcBorders>
            <w:tcMar>
              <w:bottom w:w="28" w:type="dxa"/>
            </w:tcMar>
            <w:vAlign w:val="bottom"/>
          </w:tcPr>
          <w:p>
            <w:pPr>
              <w:pStyle w:val="TableContents"/>
              <w:bidi w:val="0"/>
              <w:spacing w:before="0" w:after="283"/>
              <w:jc w:val="left"/>
              <w:rPr/>
            </w:pPr>
            <w:r>
              <w:rPr/>
              <w:t> </w:t>
            </w:r>
          </w:p>
        </w:tc>
        <w:tc>
          <w:tcPr>
            <w:tcW w:w="742" w:type="dxa"/>
            <w:tcBorders>
              <w:bottom w:val="single" w:sz="12" w:space="0" w:color="000000"/>
            </w:tcBorders>
            <w:tcMar>
              <w:bottom w:w="28" w:type="dxa"/>
            </w:tcMar>
            <w:vAlign w:val="bottom"/>
          </w:tcPr>
          <w:p>
            <w:pPr>
              <w:pStyle w:val="TableContents"/>
              <w:bidi w:val="0"/>
              <w:spacing w:before="0" w:after="283"/>
              <w:jc w:val="right"/>
              <w:rPr>
                <w:sz w:val="20"/>
              </w:rPr>
            </w:pPr>
            <w:r>
              <w:rPr>
                <w:sz w:val="20"/>
              </w:rPr>
              <w:t>329</w:t>
            </w:r>
          </w:p>
        </w:tc>
        <w:tc>
          <w:tcPr>
            <w:tcW w:w="69" w:type="dxa"/>
            <w:tcBorders/>
            <w:vAlign w:val="bottom"/>
          </w:tcPr>
          <w:p>
            <w:pPr>
              <w:pStyle w:val="TableContents"/>
              <w:bidi w:val="0"/>
              <w:spacing w:before="0" w:after="283"/>
              <w:jc w:val="left"/>
              <w:rPr/>
            </w:pPr>
            <w:r>
              <w:rPr/>
              <w:t> </w:t>
            </w:r>
          </w:p>
        </w:tc>
      </w:tr>
      <w:tr>
        <w:trPr/>
        <w:tc>
          <w:tcPr>
            <w:tcW w:w="4801" w:type="dxa"/>
            <w:tcBorders/>
            <w:shd w:fill="CCEEFF" w:val="clear"/>
            <w:vAlign w:val="bottom"/>
          </w:tcPr>
          <w:p>
            <w:pPr>
              <w:pStyle w:val="TableContents"/>
              <w:bidi w:val="0"/>
              <w:spacing w:before="0" w:after="0"/>
              <w:ind w:left="180" w:right="0" w:hanging="0"/>
              <w:jc w:val="both"/>
              <w:rPr>
                <w:sz w:val="20"/>
              </w:rPr>
            </w:pPr>
            <w:r>
              <w:rPr>
                <w:sz w:val="20"/>
              </w:rPr>
              <w:t>Total losses recognized in the consolidated interim statements of loss</w:t>
            </w:r>
          </w:p>
        </w:tc>
        <w:tc>
          <w:tcPr>
            <w:tcW w:w="60" w:type="dxa"/>
            <w:tcBorders/>
            <w:shd w:fill="CCEEFF" w:val="clear"/>
            <w:vAlign w:val="bottom"/>
          </w:tcPr>
          <w:p>
            <w:pPr>
              <w:pStyle w:val="TableContents"/>
              <w:bidi w:val="0"/>
              <w:spacing w:before="0" w:after="283"/>
              <w:jc w:val="right"/>
              <w:rPr/>
            </w:pPr>
            <w:r>
              <w:rPr/>
              <w:t> </w:t>
            </w:r>
          </w:p>
        </w:tc>
        <w:tc>
          <w:tcPr>
            <w:tcW w:w="190" w:type="dxa"/>
            <w:tcBorders>
              <w:bottom w:val="single" w:sz="12" w:space="0" w:color="000000"/>
            </w:tcBorders>
            <w:shd w:fill="CCEEFF" w:val="clear"/>
            <w:tcMar>
              <w:bottom w:w="28" w:type="dxa"/>
            </w:tcMar>
            <w:vAlign w:val="bottom"/>
          </w:tcPr>
          <w:p>
            <w:pPr>
              <w:pStyle w:val="TableContents"/>
              <w:bidi w:val="0"/>
              <w:spacing w:before="0" w:after="0"/>
              <w:jc w:val="left"/>
              <w:rPr>
                <w:sz w:val="20"/>
              </w:rPr>
            </w:pPr>
            <w:r>
              <w:rPr>
                <w:sz w:val="20"/>
              </w:rPr>
              <w:t>$</w:t>
            </w:r>
          </w:p>
        </w:tc>
        <w:tc>
          <w:tcPr>
            <w:tcW w:w="512" w:type="dxa"/>
            <w:tcBorders>
              <w:bottom w:val="single" w:sz="12" w:space="0" w:color="000000"/>
            </w:tcBorders>
            <w:shd w:fill="CCEEFF" w:val="clear"/>
            <w:tcMar>
              <w:bottom w:w="28" w:type="dxa"/>
            </w:tcMar>
            <w:vAlign w:val="bottom"/>
          </w:tcPr>
          <w:p>
            <w:pPr>
              <w:pStyle w:val="TableContents"/>
              <w:bidi w:val="0"/>
              <w:spacing w:before="0" w:after="0"/>
              <w:jc w:val="right"/>
              <w:rPr>
                <w:sz w:val="20"/>
              </w:rPr>
            </w:pPr>
            <w:r>
              <w:rPr>
                <w:sz w:val="20"/>
              </w:rPr>
              <w:t>918</w:t>
            </w:r>
          </w:p>
        </w:tc>
        <w:tc>
          <w:tcPr>
            <w:tcW w:w="91"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right"/>
              <w:rPr/>
            </w:pPr>
            <w:r>
              <w:rPr/>
              <w:t> </w:t>
            </w:r>
          </w:p>
        </w:tc>
        <w:tc>
          <w:tcPr>
            <w:tcW w:w="190" w:type="dxa"/>
            <w:tcBorders>
              <w:bottom w:val="single" w:sz="12" w:space="0" w:color="000000"/>
            </w:tcBorders>
            <w:shd w:fill="CCEEFF" w:val="clear"/>
            <w:tcMar>
              <w:bottom w:w="28" w:type="dxa"/>
            </w:tcMar>
            <w:vAlign w:val="bottom"/>
          </w:tcPr>
          <w:p>
            <w:pPr>
              <w:pStyle w:val="TableContents"/>
              <w:bidi w:val="0"/>
              <w:spacing w:before="0" w:after="0"/>
              <w:jc w:val="left"/>
              <w:rPr>
                <w:sz w:val="20"/>
              </w:rPr>
            </w:pPr>
            <w:r>
              <w:rPr>
                <w:sz w:val="20"/>
              </w:rPr>
              <w:t>$</w:t>
            </w:r>
          </w:p>
        </w:tc>
        <w:tc>
          <w:tcPr>
            <w:tcW w:w="742" w:type="dxa"/>
            <w:tcBorders>
              <w:bottom w:val="single" w:sz="12" w:space="0" w:color="000000"/>
            </w:tcBorders>
            <w:shd w:fill="CCEEFF" w:val="clear"/>
            <w:tcMar>
              <w:bottom w:w="28" w:type="dxa"/>
            </w:tcMar>
            <w:vAlign w:val="bottom"/>
          </w:tcPr>
          <w:p>
            <w:pPr>
              <w:pStyle w:val="TableContents"/>
              <w:bidi w:val="0"/>
              <w:spacing w:before="0" w:after="0"/>
              <w:jc w:val="right"/>
              <w:rPr>
                <w:sz w:val="20"/>
              </w:rPr>
            </w:pPr>
            <w:r>
              <w:rPr>
                <w:sz w:val="20"/>
              </w:rPr>
              <w:t>1,492</w:t>
            </w:r>
          </w:p>
        </w:tc>
        <w:tc>
          <w:tcPr>
            <w:tcW w:w="91"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251" w:type="dxa"/>
            <w:tcBorders>
              <w:bottom w:val="single" w:sz="12" w:space="0" w:color="000000"/>
            </w:tcBorders>
            <w:shd w:fill="CCEEFF" w:val="clear"/>
            <w:tcMar>
              <w:bottom w:w="28" w:type="dxa"/>
            </w:tcMar>
            <w:vAlign w:val="bottom"/>
          </w:tcPr>
          <w:p>
            <w:pPr>
              <w:pStyle w:val="TableContents"/>
              <w:bidi w:val="0"/>
              <w:spacing w:before="0" w:after="283"/>
              <w:jc w:val="left"/>
              <w:rPr>
                <w:sz w:val="20"/>
              </w:rPr>
            </w:pPr>
            <w:r>
              <w:rPr>
                <w:sz w:val="20"/>
              </w:rPr>
              <w:t>$</w:t>
            </w:r>
          </w:p>
        </w:tc>
        <w:tc>
          <w:tcPr>
            <w:tcW w:w="742" w:type="dxa"/>
            <w:tcBorders>
              <w:bottom w:val="single" w:sz="12" w:space="0" w:color="000000"/>
            </w:tcBorders>
            <w:shd w:fill="CCEEFF" w:val="clear"/>
            <w:tcMar>
              <w:bottom w:w="28" w:type="dxa"/>
            </w:tcMar>
            <w:vAlign w:val="bottom"/>
          </w:tcPr>
          <w:p>
            <w:pPr>
              <w:pStyle w:val="TableContents"/>
              <w:bidi w:val="0"/>
              <w:spacing w:before="0" w:after="283"/>
              <w:jc w:val="right"/>
              <w:rPr>
                <w:sz w:val="20"/>
              </w:rPr>
            </w:pPr>
            <w:r>
              <w:rPr>
                <w:sz w:val="20"/>
              </w:rPr>
              <w:t>2,160</w:t>
            </w:r>
          </w:p>
        </w:tc>
        <w:tc>
          <w:tcPr>
            <w:tcW w:w="91"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190" w:type="dxa"/>
            <w:tcBorders>
              <w:bottom w:val="single" w:sz="12" w:space="0" w:color="000000"/>
            </w:tcBorders>
            <w:shd w:fill="CCEEFF" w:val="clear"/>
            <w:tcMar>
              <w:bottom w:w="28" w:type="dxa"/>
            </w:tcMar>
            <w:vAlign w:val="bottom"/>
          </w:tcPr>
          <w:p>
            <w:pPr>
              <w:pStyle w:val="TableContents"/>
              <w:bidi w:val="0"/>
              <w:spacing w:before="0" w:after="283"/>
              <w:jc w:val="left"/>
              <w:rPr>
                <w:sz w:val="20"/>
              </w:rPr>
            </w:pPr>
            <w:r>
              <w:rPr>
                <w:sz w:val="20"/>
              </w:rPr>
              <w:t>$</w:t>
            </w:r>
          </w:p>
        </w:tc>
        <w:tc>
          <w:tcPr>
            <w:tcW w:w="742" w:type="dxa"/>
            <w:tcBorders>
              <w:bottom w:val="single" w:sz="12" w:space="0" w:color="000000"/>
            </w:tcBorders>
            <w:shd w:fill="CCEEFF" w:val="clear"/>
            <w:tcMar>
              <w:bottom w:w="28" w:type="dxa"/>
            </w:tcMar>
            <w:vAlign w:val="bottom"/>
          </w:tcPr>
          <w:p>
            <w:pPr>
              <w:pStyle w:val="TableContents"/>
              <w:bidi w:val="0"/>
              <w:spacing w:before="0" w:after="283"/>
              <w:jc w:val="right"/>
              <w:rPr>
                <w:sz w:val="20"/>
              </w:rPr>
            </w:pPr>
            <w:r>
              <w:rPr>
                <w:sz w:val="20"/>
              </w:rPr>
              <w:t>2,966</w:t>
            </w:r>
          </w:p>
        </w:tc>
        <w:tc>
          <w:tcPr>
            <w:tcW w:w="69" w:type="dxa"/>
            <w:tcBorders/>
            <w:shd w:fill="CCEEFF" w:val="clear"/>
            <w:vAlign w:val="bottom"/>
          </w:tcPr>
          <w:p>
            <w:pPr>
              <w:pStyle w:val="TableContents"/>
              <w:bidi w:val="0"/>
              <w:spacing w:before="0" w:after="283"/>
              <w:jc w:val="left"/>
              <w:rPr/>
            </w:pPr>
            <w:r>
              <w:rPr/>
              <w:t> </w:t>
            </w:r>
          </w:p>
        </w:tc>
      </w:tr>
    </w:tbl>
    <w:p>
      <w:pPr>
        <w:pStyle w:val="TextBody"/>
        <w:bidi w:val="0"/>
        <w:spacing w:before="0" w:after="0"/>
        <w:ind w:left="1170" w:right="0" w:hanging="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17</w:t>
      </w:r>
    </w:p>
    <w:p>
      <w:pPr>
        <w:pStyle w:val="HorizontalLine"/>
        <w:bidi w:val="0"/>
        <w:spacing w:before="200" w:after="200"/>
        <w:jc w:val="left"/>
        <w:rPr/>
      </w:pPr>
      <w:r>
        <w:rPr/>
      </w:r>
    </w:p>
    <w:p>
      <w:pPr>
        <w:pStyle w:val="TextBody"/>
        <w:bidi w:val="0"/>
        <w:spacing w:before="200" w:after="200"/>
        <w:jc w:val="left"/>
        <w:rPr/>
      </w:pPr>
      <w:hyperlink w:anchor="Contents">
        <w:r>
          <w:rPr>
            <w:rStyle w:val="InternetLink"/>
            <w:rFonts w:ascii="Times New Roman" w:hAnsi="Times New Roman"/>
            <w:i/>
            <w:color w:val="000000"/>
            <w:sz w:val="16"/>
            <w:shd w:fill="FFFFFF" w:val="clear"/>
          </w:rPr>
          <w:t>Table of Contents</w:t>
        </w:r>
      </w:hyperlink>
    </w:p>
    <w:p>
      <w:pPr>
        <w:pStyle w:val="TextBody"/>
        <w:bidi w:val="0"/>
        <w:spacing w:before="200" w:after="200"/>
        <w:jc w:val="right"/>
        <w:rPr>
          <w:rFonts w:ascii="Times New Roman" w:hAnsi="Times New Roman"/>
          <w:b/>
          <w:color w:val="000000"/>
          <w:sz w:val="18"/>
          <w:bdr w:val="single" w:sz="12" w:space="1" w:color="000000"/>
          <w:shd w:fill="FFFFFF" w:val="clear"/>
        </w:rPr>
      </w:pPr>
      <w:r>
        <w:rPr>
          <w:rFonts w:ascii="Times New Roman" w:hAnsi="Times New Roman"/>
          <w:b/>
          <w:color w:val="000000"/>
          <w:sz w:val="18"/>
          <w:bdr w:val="single" w:sz="12" w:space="1" w:color="000000"/>
          <w:shd w:fill="FFFFFF" w:val="clear"/>
        </w:rPr>
        <w:t>TABOOLA.COM LTD.</w:t>
      </w:r>
    </w:p>
    <w:p>
      <w:pPr>
        <w:pStyle w:val="TextBody"/>
        <w:bidi w:val="0"/>
        <w:spacing w:before="200" w:after="200"/>
        <w:jc w:val="right"/>
        <w:rPr>
          <w:b/>
        </w:rPr>
      </w:pPr>
      <w:r>
        <w:rPr>
          <w:b/>
        </w:rPr>
      </w:r>
    </w:p>
    <w:p>
      <w:pPr>
        <w:pStyle w:val="TextBody"/>
        <w:bidi w:val="0"/>
        <w:spacing w:before="200" w:after="200"/>
        <w:jc w:val="left"/>
        <w:rPr>
          <w:rFonts w:ascii="Times New Roman" w:hAnsi="Times New Roman"/>
          <w:b/>
          <w:color w:val="000000"/>
          <w:sz w:val="18"/>
          <w:bdr w:val="single" w:sz="12" w:space="1" w:color="000000"/>
          <w:shd w:fill="FFFFFF" w:val="clear"/>
        </w:rPr>
      </w:pPr>
      <w:r>
        <w:rPr>
          <w:rFonts w:ascii="Times New Roman" w:hAnsi="Times New Roman"/>
          <w:b/>
          <w:color w:val="000000"/>
          <w:sz w:val="18"/>
          <w:bdr w:val="single" w:sz="12" w:space="1" w:color="000000"/>
          <w:shd w:fill="FFFFFF" w:val="clear"/>
        </w:rPr>
        <w:t>NOTES TO THE CONSOLIDATED INTERIM FINANCIAL STATEMENTS</w:t>
      </w:r>
    </w:p>
    <w:p>
      <w:pPr>
        <w:pStyle w:val="TextBody"/>
        <w:bidi w:val="0"/>
        <w:spacing w:before="200" w:after="200"/>
        <w:jc w:val="left"/>
        <w:rPr>
          <w:rFonts w:ascii="Times New Roman" w:hAnsi="Times New Roman"/>
          <w:b/>
          <w:color w:val="000000"/>
          <w:sz w:val="18"/>
          <w:shd w:fill="FFFFFF" w:val="clear"/>
        </w:rPr>
      </w:pPr>
      <w:r>
        <w:rPr>
          <w:rFonts w:ascii="Times New Roman" w:hAnsi="Times New Roman"/>
          <w:b/>
          <w:color w:val="000000"/>
          <w:sz w:val="18"/>
          <w:shd w:fill="FFFFFF" w:val="clear"/>
        </w:rPr>
        <w:t>U.S. dollars in thousands, except share and per share data</w:t>
      </w:r>
    </w:p>
    <w:tbl>
      <w:tblPr>
        <w:tblW w:w="6805" w:type="dxa"/>
        <w:jc w:val="left"/>
        <w:tblInd w:w="0" w:type="dxa"/>
        <w:tblLayout w:type="fixed"/>
        <w:tblCellMar>
          <w:top w:w="0" w:type="dxa"/>
          <w:left w:w="0" w:type="dxa"/>
          <w:bottom w:w="0" w:type="dxa"/>
          <w:right w:w="0" w:type="dxa"/>
        </w:tblCellMar>
      </w:tblPr>
      <w:tblGrid>
        <w:gridCol w:w="860"/>
        <w:gridCol w:w="5945"/>
      </w:tblGrid>
      <w:tr>
        <w:trPr/>
        <w:tc>
          <w:tcPr>
            <w:tcW w:w="860" w:type="dxa"/>
            <w:tcBorders/>
            <w:vAlign w:val="center"/>
          </w:tcPr>
          <w:p>
            <w:pPr>
              <w:pStyle w:val="TableContents"/>
              <w:bidi w:val="0"/>
              <w:spacing w:before="0" w:after="283"/>
              <w:jc w:val="left"/>
              <w:rPr>
                <w:b/>
                <w:sz w:val="20"/>
              </w:rPr>
            </w:pPr>
            <w:r>
              <w:rPr>
                <w:b/>
                <w:sz w:val="20"/>
              </w:rPr>
              <w:t>NOTE 6:-</w:t>
            </w:r>
          </w:p>
        </w:tc>
        <w:tc>
          <w:tcPr>
            <w:tcW w:w="5945" w:type="dxa"/>
            <w:tcBorders/>
            <w:vAlign w:val="center"/>
          </w:tcPr>
          <w:p>
            <w:pPr>
              <w:pStyle w:val="TableContents"/>
              <w:bidi w:val="0"/>
              <w:spacing w:before="0" w:after="0"/>
              <w:jc w:val="both"/>
              <w:rPr>
                <w:b/>
                <w:sz w:val="20"/>
              </w:rPr>
            </w:pPr>
            <w:r>
              <w:rPr>
                <w:b/>
                <w:sz w:val="20"/>
              </w:rPr>
              <w:t>DERIVATIVE INSTRUMENTS AND HEDGING ACTIVITIES (Cont.)</w:t>
            </w:r>
          </w:p>
        </w:tc>
      </w:tr>
    </w:tbl>
    <w:p>
      <w:pPr>
        <w:pStyle w:val="TextBody"/>
        <w:bidi w:val="0"/>
        <w:spacing w:before="0" w:after="0"/>
        <w:jc w:val="left"/>
        <w:rPr>
          <w:sz w:val="20"/>
        </w:rPr>
      </w:pPr>
      <w:r>
        <w:rPr>
          <w:sz w:val="20"/>
        </w:rPr>
      </w:r>
    </w:p>
    <w:p>
      <w:pPr>
        <w:pStyle w:val="TextBody"/>
        <w:bidi w:val="0"/>
        <w:spacing w:before="0" w:after="0"/>
        <w:ind w:left="1170" w:right="0" w:hanging="0"/>
        <w:jc w:val="both"/>
        <w:rPr>
          <w:rFonts w:ascii="Times New Roman" w:hAnsi="Times New Roman"/>
          <w:b/>
          <w:i/>
          <w:caps w:val="false"/>
          <w:smallCaps w:val="false"/>
          <w:color w:val="000000"/>
          <w:sz w:val="20"/>
          <w:shd w:fill="FFFFFF" w:val="clear"/>
        </w:rPr>
      </w:pPr>
      <w:r>
        <w:rPr>
          <w:rFonts w:ascii="Times New Roman" w:hAnsi="Times New Roman"/>
          <w:b/>
          <w:i/>
          <w:caps w:val="false"/>
          <w:smallCaps w:val="false"/>
          <w:color w:val="000000"/>
          <w:sz w:val="20"/>
          <w:shd w:fill="FFFFFF" w:val="clear"/>
        </w:rPr>
        <w:t>Effect of Foreign Currency Contracts on Accumulated Other Comprehensive Loss</w:t>
      </w:r>
    </w:p>
    <w:p>
      <w:pPr>
        <w:pStyle w:val="TextBody"/>
        <w:bidi w:val="0"/>
        <w:spacing w:before="220" w:after="0"/>
        <w:ind w:left="1170" w:right="0" w:hanging="0"/>
        <w:jc w:val="both"/>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Net unrealized losses of foreign currency contracts designated as cash flow hedging instruments are recorded in accumulated other comprehensive loss.</w:t>
      </w:r>
    </w:p>
    <w:p>
      <w:pPr>
        <w:pStyle w:val="TextBody"/>
        <w:bidi w:val="0"/>
        <w:spacing w:before="0" w:after="0"/>
        <w:ind w:left="1170" w:right="0" w:hanging="0"/>
        <w:jc w:val="both"/>
        <w:rPr>
          <w:rFonts w:ascii="Times New Roman" w:hAnsi="Times New Roman"/>
          <w:sz w:val="20"/>
        </w:rPr>
      </w:pPr>
      <w:r>
        <w:rPr>
          <w:rFonts w:ascii="Times New Roman" w:hAnsi="Times New Roman"/>
          <w:sz w:val="20"/>
        </w:rPr>
      </w:r>
    </w:p>
    <w:p>
      <w:pPr>
        <w:pStyle w:val="TextBody"/>
        <w:bidi w:val="0"/>
        <w:spacing w:before="0" w:after="0"/>
        <w:ind w:left="1170" w:right="0" w:hanging="0"/>
        <w:jc w:val="both"/>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The changes in unrealized losses on the Company’s derivative instruments recorded in accumulated other comprehensive loss were as follows:</w:t>
      </w:r>
    </w:p>
    <w:p>
      <w:pPr>
        <w:pStyle w:val="TextBody"/>
        <w:bidi w:val="0"/>
        <w:spacing w:before="0" w:after="0"/>
        <w:jc w:val="left"/>
        <w:rPr/>
      </w:pPr>
      <w:r>
        <w:rPr/>
      </w:r>
    </w:p>
    <w:tbl>
      <w:tblPr>
        <w:tblW w:w="9035" w:type="dxa"/>
        <w:jc w:val="left"/>
        <w:tblInd w:w="1170" w:type="dxa"/>
        <w:tblLayout w:type="fixed"/>
        <w:tblCellMar>
          <w:top w:w="0" w:type="dxa"/>
          <w:left w:w="0" w:type="dxa"/>
          <w:bottom w:w="0" w:type="dxa"/>
          <w:right w:w="0" w:type="dxa"/>
        </w:tblCellMar>
      </w:tblPr>
      <w:tblGrid>
        <w:gridCol w:w="7302"/>
        <w:gridCol w:w="60"/>
        <w:gridCol w:w="134"/>
        <w:gridCol w:w="586"/>
        <w:gridCol w:w="86"/>
        <w:gridCol w:w="64"/>
        <w:gridCol w:w="134"/>
        <w:gridCol w:w="586"/>
        <w:gridCol w:w="83"/>
      </w:tblGrid>
      <w:tr>
        <w:trPr/>
        <w:tc>
          <w:tcPr>
            <w:tcW w:w="730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90" w:type="dxa"/>
            <w:gridSpan w:val="6"/>
            <w:tcBorders>
              <w:bottom w:val="single" w:sz="12" w:space="0" w:color="000000"/>
            </w:tcBorders>
            <w:tcMar>
              <w:bottom w:w="28" w:type="dxa"/>
            </w:tcMar>
            <w:vAlign w:val="bottom"/>
          </w:tcPr>
          <w:p>
            <w:pPr>
              <w:pStyle w:val="TableContents"/>
              <w:bidi w:val="0"/>
              <w:spacing w:before="0" w:after="0"/>
              <w:ind w:left="0" w:right="0" w:firstLine="40"/>
              <w:jc w:val="center"/>
              <w:rPr>
                <w:b/>
                <w:color w:val="000000"/>
                <w:sz w:val="20"/>
              </w:rPr>
            </w:pPr>
            <w:r>
              <w:rPr>
                <w:b/>
                <w:color w:val="000000"/>
                <w:sz w:val="20"/>
              </w:rPr>
              <w:t>Nine months ended</w:t>
            </w:r>
          </w:p>
          <w:p>
            <w:pPr>
              <w:pStyle w:val="TableContents"/>
              <w:bidi w:val="0"/>
              <w:spacing w:before="0" w:after="0"/>
              <w:ind w:left="0" w:right="0" w:firstLine="40"/>
              <w:jc w:val="center"/>
              <w:rPr>
                <w:b/>
                <w:color w:val="000000"/>
                <w:sz w:val="20"/>
              </w:rPr>
            </w:pPr>
            <w:r>
              <w:rPr>
                <w:b/>
                <w:color w:val="000000"/>
                <w:sz w:val="20"/>
              </w:rPr>
              <w:t>September 30,</w:t>
            </w:r>
          </w:p>
        </w:tc>
        <w:tc>
          <w:tcPr>
            <w:tcW w:w="83" w:type="dxa"/>
            <w:tcBorders/>
            <w:vAlign w:val="bottom"/>
          </w:tcPr>
          <w:p>
            <w:pPr>
              <w:pStyle w:val="TableContents"/>
              <w:bidi w:val="0"/>
              <w:spacing w:before="0" w:after="283"/>
              <w:jc w:val="left"/>
              <w:rPr/>
            </w:pPr>
            <w:r>
              <w:rPr/>
              <w:t> </w:t>
            </w:r>
          </w:p>
        </w:tc>
      </w:tr>
      <w:tr>
        <w:trPr/>
        <w:tc>
          <w:tcPr>
            <w:tcW w:w="730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20" w:type="dxa"/>
            <w:gridSpan w:val="2"/>
            <w:tcBorders>
              <w:bottom w:val="single" w:sz="12" w:space="0" w:color="000000"/>
            </w:tcBorders>
            <w:tcMar>
              <w:bottom w:w="28" w:type="dxa"/>
            </w:tcMar>
            <w:vAlign w:val="bottom"/>
          </w:tcPr>
          <w:p>
            <w:pPr>
              <w:pStyle w:val="TableContents"/>
              <w:bidi w:val="0"/>
              <w:spacing w:before="0" w:after="0"/>
              <w:ind w:left="0" w:right="0" w:hanging="0"/>
              <w:jc w:val="center"/>
              <w:rPr>
                <w:b/>
                <w:color w:val="000000"/>
                <w:sz w:val="20"/>
              </w:rPr>
            </w:pPr>
            <w:r>
              <w:rPr>
                <w:b/>
                <w:color w:val="000000"/>
                <w:sz w:val="20"/>
              </w:rPr>
              <w:t>2023</w:t>
            </w:r>
          </w:p>
        </w:tc>
        <w:tc>
          <w:tcPr>
            <w:tcW w:w="86"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720" w:type="dxa"/>
            <w:gridSpan w:val="2"/>
            <w:tcBorders>
              <w:bottom w:val="single" w:sz="12" w:space="0" w:color="000000"/>
            </w:tcBorders>
            <w:tcMar>
              <w:bottom w:w="28" w:type="dxa"/>
            </w:tcMar>
            <w:vAlign w:val="bottom"/>
          </w:tcPr>
          <w:p>
            <w:pPr>
              <w:pStyle w:val="TableContents"/>
              <w:bidi w:val="0"/>
              <w:spacing w:before="0" w:after="0"/>
              <w:ind w:left="0" w:right="0" w:hanging="0"/>
              <w:jc w:val="center"/>
              <w:rPr>
                <w:b/>
                <w:color w:val="000000"/>
                <w:sz w:val="20"/>
              </w:rPr>
            </w:pPr>
            <w:r>
              <w:rPr>
                <w:b/>
                <w:color w:val="000000"/>
                <w:sz w:val="20"/>
              </w:rPr>
              <w:t>2022</w:t>
            </w:r>
          </w:p>
        </w:tc>
        <w:tc>
          <w:tcPr>
            <w:tcW w:w="83" w:type="dxa"/>
            <w:tcBorders/>
            <w:vAlign w:val="bottom"/>
          </w:tcPr>
          <w:p>
            <w:pPr>
              <w:pStyle w:val="TableContents"/>
              <w:bidi w:val="0"/>
              <w:spacing w:before="0" w:after="283"/>
              <w:jc w:val="left"/>
              <w:rPr/>
            </w:pPr>
            <w:r>
              <w:rPr/>
              <w:t> </w:t>
            </w:r>
          </w:p>
        </w:tc>
      </w:tr>
      <w:tr>
        <w:trPr/>
        <w:tc>
          <w:tcPr>
            <w:tcW w:w="730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90" w:type="dxa"/>
            <w:gridSpan w:val="6"/>
            <w:tcBorders>
              <w:bottom w:val="single" w:sz="12" w:space="0" w:color="000000"/>
            </w:tcBorders>
            <w:tcMar>
              <w:bottom w:w="28" w:type="dxa"/>
            </w:tcMar>
            <w:vAlign w:val="bottom"/>
          </w:tcPr>
          <w:p>
            <w:pPr>
              <w:pStyle w:val="TableContents"/>
              <w:bidi w:val="0"/>
              <w:spacing w:before="0" w:after="0"/>
              <w:ind w:left="0" w:right="0" w:firstLine="40"/>
              <w:jc w:val="center"/>
              <w:rPr>
                <w:b/>
                <w:color w:val="000000"/>
                <w:sz w:val="20"/>
              </w:rPr>
            </w:pPr>
            <w:r>
              <w:rPr>
                <w:b/>
                <w:color w:val="000000"/>
                <w:sz w:val="20"/>
              </w:rPr>
              <w:t>Unaudited</w:t>
            </w:r>
          </w:p>
        </w:tc>
        <w:tc>
          <w:tcPr>
            <w:tcW w:w="83" w:type="dxa"/>
            <w:tcBorders/>
            <w:vAlign w:val="bottom"/>
          </w:tcPr>
          <w:p>
            <w:pPr>
              <w:pStyle w:val="TableContents"/>
              <w:bidi w:val="0"/>
              <w:spacing w:before="0" w:after="283"/>
              <w:jc w:val="left"/>
              <w:rPr/>
            </w:pPr>
            <w:r>
              <w:rPr/>
              <w:t> </w:t>
            </w:r>
          </w:p>
        </w:tc>
      </w:tr>
      <w:tr>
        <w:trPr/>
        <w:tc>
          <w:tcPr>
            <w:tcW w:w="7302" w:type="dxa"/>
            <w:tcBorders/>
            <w:shd w:fill="CCEEFF" w:val="clear"/>
            <w:vAlign w:val="bottom"/>
          </w:tcPr>
          <w:p>
            <w:pPr>
              <w:pStyle w:val="TableContents"/>
              <w:bidi w:val="0"/>
              <w:spacing w:before="0" w:after="0"/>
              <w:ind w:left="180" w:right="0" w:hanging="180"/>
              <w:jc w:val="left"/>
              <w:rPr>
                <w:color w:val="000000"/>
                <w:sz w:val="20"/>
              </w:rPr>
            </w:pPr>
            <w:r>
              <w:rPr>
                <w:color w:val="000000"/>
                <w:sz w:val="20"/>
              </w:rPr>
              <w:t>Unrealized losses on derivative instruments at the beginning of the period</w:t>
            </w:r>
          </w:p>
        </w:tc>
        <w:tc>
          <w:tcPr>
            <w:tcW w:w="60" w:type="dxa"/>
            <w:tcBorders/>
            <w:shd w:fill="CCEEFF" w:val="clear"/>
            <w:vAlign w:val="bottom"/>
          </w:tcPr>
          <w:p>
            <w:pPr>
              <w:pStyle w:val="TableContents"/>
              <w:bidi w:val="0"/>
              <w:spacing w:before="0" w:after="283"/>
              <w:jc w:val="right"/>
              <w:rPr/>
            </w:pPr>
            <w:r>
              <w:rPr/>
              <w:t> </w:t>
            </w:r>
          </w:p>
        </w:tc>
        <w:tc>
          <w:tcPr>
            <w:tcW w:w="134" w:type="dxa"/>
            <w:tcBorders>
              <w:bottom w:val="single" w:sz="2" w:space="0" w:color="FFFFFF"/>
            </w:tcBorders>
            <w:shd w:fill="CCEEFF" w:val="clear"/>
            <w:tcMar>
              <w:bottom w:w="28" w:type="dxa"/>
            </w:tcMar>
            <w:vAlign w:val="bottom"/>
          </w:tcPr>
          <w:p>
            <w:pPr>
              <w:pStyle w:val="TableContents"/>
              <w:bidi w:val="0"/>
              <w:spacing w:before="0" w:after="283"/>
              <w:jc w:val="left"/>
              <w:rPr>
                <w:sz w:val="20"/>
              </w:rPr>
            </w:pPr>
            <w:r>
              <w:rPr>
                <w:sz w:val="20"/>
              </w:rPr>
              <w:t>$</w:t>
            </w:r>
          </w:p>
        </w:tc>
        <w:tc>
          <w:tcPr>
            <w:tcW w:w="586" w:type="dxa"/>
            <w:tcBorders>
              <w:bottom w:val="single" w:sz="2" w:space="0" w:color="FFFFFF"/>
            </w:tcBorders>
            <w:shd w:fill="CCEEFF" w:val="clear"/>
            <w:tcMar>
              <w:bottom w:w="28" w:type="dxa"/>
            </w:tcMar>
            <w:vAlign w:val="bottom"/>
          </w:tcPr>
          <w:p>
            <w:pPr>
              <w:pStyle w:val="TableContents"/>
              <w:bidi w:val="0"/>
              <w:spacing w:before="0" w:after="283"/>
              <w:jc w:val="right"/>
              <w:rPr>
                <w:sz w:val="20"/>
              </w:rPr>
            </w:pPr>
            <w:r>
              <w:rPr>
                <w:sz w:val="20"/>
              </w:rPr>
              <w:t>(313</w:t>
            </w:r>
          </w:p>
        </w:tc>
        <w:tc>
          <w:tcPr>
            <w:tcW w:w="86" w:type="dxa"/>
            <w:tcBorders/>
            <w:shd w:fill="CCEEFF" w:val="clear"/>
            <w:vAlign w:val="bottom"/>
          </w:tcPr>
          <w:p>
            <w:pPr>
              <w:pStyle w:val="TableContents"/>
              <w:bidi w:val="0"/>
              <w:spacing w:before="0" w:after="283"/>
              <w:jc w:val="left"/>
              <w:rPr>
                <w:sz w:val="20"/>
              </w:rPr>
            </w:pPr>
            <w:r>
              <w:rPr>
                <w:sz w:val="20"/>
              </w:rPr>
              <w:t>)</w:t>
            </w:r>
          </w:p>
        </w:tc>
        <w:tc>
          <w:tcPr>
            <w:tcW w:w="64" w:type="dxa"/>
            <w:tcBorders/>
            <w:shd w:fill="CCEEFF" w:val="clear"/>
            <w:vAlign w:val="bottom"/>
          </w:tcPr>
          <w:p>
            <w:pPr>
              <w:pStyle w:val="TableContents"/>
              <w:bidi w:val="0"/>
              <w:spacing w:before="0" w:after="283"/>
              <w:jc w:val="right"/>
              <w:rPr/>
            </w:pPr>
            <w:r>
              <w:rPr/>
              <w:t> </w:t>
            </w:r>
          </w:p>
        </w:tc>
        <w:tc>
          <w:tcPr>
            <w:tcW w:w="134" w:type="dxa"/>
            <w:tcBorders>
              <w:bottom w:val="single" w:sz="2" w:space="0" w:color="FFFFFF"/>
            </w:tcBorders>
            <w:shd w:fill="CCEEFF" w:val="clear"/>
            <w:tcMar>
              <w:bottom w:w="28" w:type="dxa"/>
            </w:tcMar>
            <w:vAlign w:val="bottom"/>
          </w:tcPr>
          <w:p>
            <w:pPr>
              <w:pStyle w:val="TableContents"/>
              <w:bidi w:val="0"/>
              <w:spacing w:before="0" w:after="283"/>
              <w:jc w:val="left"/>
              <w:rPr>
                <w:sz w:val="20"/>
              </w:rPr>
            </w:pPr>
            <w:r>
              <w:rPr>
                <w:sz w:val="20"/>
              </w:rPr>
              <w:t>$</w:t>
            </w:r>
          </w:p>
        </w:tc>
        <w:tc>
          <w:tcPr>
            <w:tcW w:w="586" w:type="dxa"/>
            <w:tcBorders>
              <w:bottom w:val="single" w:sz="2" w:space="0" w:color="FFFFFF"/>
            </w:tcBorders>
            <w:shd w:fill="CCEEFF" w:val="clear"/>
            <w:tcMar>
              <w:bottom w:w="28" w:type="dxa"/>
            </w:tcMar>
            <w:vAlign w:val="bottom"/>
          </w:tcPr>
          <w:p>
            <w:pPr>
              <w:pStyle w:val="TableContents"/>
              <w:bidi w:val="0"/>
              <w:spacing w:before="0" w:after="283"/>
              <w:jc w:val="right"/>
              <w:rPr/>
            </w:pPr>
            <w:r>
              <w:rPr/>
              <w:t>—</w:t>
            </w:r>
          </w:p>
        </w:tc>
        <w:tc>
          <w:tcPr>
            <w:tcW w:w="83" w:type="dxa"/>
            <w:tcBorders/>
            <w:shd w:fill="CCEEFF" w:val="clear"/>
            <w:vAlign w:val="bottom"/>
          </w:tcPr>
          <w:p>
            <w:pPr>
              <w:pStyle w:val="TableContents"/>
              <w:bidi w:val="0"/>
              <w:spacing w:before="0" w:after="283"/>
              <w:jc w:val="left"/>
              <w:rPr/>
            </w:pPr>
            <w:r>
              <w:rPr/>
              <w:t> </w:t>
            </w:r>
          </w:p>
        </w:tc>
      </w:tr>
      <w:tr>
        <w:trPr/>
        <w:tc>
          <w:tcPr>
            <w:tcW w:w="7302" w:type="dxa"/>
            <w:tcBorders/>
            <w:vAlign w:val="bottom"/>
          </w:tcPr>
          <w:p>
            <w:pPr>
              <w:pStyle w:val="TableContents"/>
              <w:bidi w:val="0"/>
              <w:spacing w:before="0" w:after="0"/>
              <w:ind w:left="180" w:right="0" w:hanging="180"/>
              <w:jc w:val="left"/>
              <w:rPr>
                <w:color w:val="000000"/>
                <w:sz w:val="20"/>
              </w:rPr>
            </w:pPr>
            <w:r>
              <w:rPr>
                <w:color w:val="000000"/>
                <w:sz w:val="20"/>
              </w:rPr>
              <w:t>Changes in fair value of derivative instruments</w:t>
            </w:r>
          </w:p>
        </w:tc>
        <w:tc>
          <w:tcPr>
            <w:tcW w:w="60" w:type="dxa"/>
            <w:tcBorders/>
            <w:vAlign w:val="bottom"/>
          </w:tcPr>
          <w:p>
            <w:pPr>
              <w:pStyle w:val="TableContents"/>
              <w:bidi w:val="0"/>
              <w:spacing w:before="0" w:after="283"/>
              <w:jc w:val="right"/>
              <w:rPr/>
            </w:pPr>
            <w:r>
              <w:rPr/>
              <w:t> </w:t>
            </w:r>
          </w:p>
        </w:tc>
        <w:tc>
          <w:tcPr>
            <w:tcW w:w="134" w:type="dxa"/>
            <w:tcBorders>
              <w:bottom w:val="single" w:sz="2" w:space="0" w:color="FFFFFF"/>
            </w:tcBorders>
            <w:tcMar>
              <w:bottom w:w="28" w:type="dxa"/>
            </w:tcMar>
            <w:vAlign w:val="bottom"/>
          </w:tcPr>
          <w:p>
            <w:pPr>
              <w:pStyle w:val="TableContents"/>
              <w:bidi w:val="0"/>
              <w:spacing w:before="0" w:after="283"/>
              <w:jc w:val="left"/>
              <w:rPr/>
            </w:pPr>
            <w:r>
              <w:rPr/>
              <w:t> </w:t>
            </w:r>
          </w:p>
        </w:tc>
        <w:tc>
          <w:tcPr>
            <w:tcW w:w="586" w:type="dxa"/>
            <w:tcBorders>
              <w:bottom w:val="single" w:sz="2" w:space="0" w:color="FFFFFF"/>
            </w:tcBorders>
            <w:tcMar>
              <w:bottom w:w="28" w:type="dxa"/>
            </w:tcMar>
            <w:vAlign w:val="bottom"/>
          </w:tcPr>
          <w:p>
            <w:pPr>
              <w:pStyle w:val="TableContents"/>
              <w:bidi w:val="0"/>
              <w:spacing w:before="0" w:after="283"/>
              <w:jc w:val="right"/>
              <w:rPr>
                <w:sz w:val="20"/>
              </w:rPr>
            </w:pPr>
            <w:r>
              <w:rPr>
                <w:sz w:val="20"/>
              </w:rPr>
              <w:t>(2,047</w:t>
            </w:r>
          </w:p>
        </w:tc>
        <w:tc>
          <w:tcPr>
            <w:tcW w:w="86" w:type="dxa"/>
            <w:tcBorders/>
            <w:vAlign w:val="bottom"/>
          </w:tcPr>
          <w:p>
            <w:pPr>
              <w:pStyle w:val="TableContents"/>
              <w:bidi w:val="0"/>
              <w:spacing w:before="0" w:after="283"/>
              <w:jc w:val="left"/>
              <w:rPr>
                <w:sz w:val="20"/>
              </w:rPr>
            </w:pPr>
            <w:r>
              <w:rPr>
                <w:sz w:val="20"/>
              </w:rPr>
              <w:t>)</w:t>
            </w:r>
          </w:p>
        </w:tc>
        <w:tc>
          <w:tcPr>
            <w:tcW w:w="64" w:type="dxa"/>
            <w:tcBorders/>
            <w:vAlign w:val="bottom"/>
          </w:tcPr>
          <w:p>
            <w:pPr>
              <w:pStyle w:val="TableContents"/>
              <w:bidi w:val="0"/>
              <w:spacing w:before="0" w:after="283"/>
              <w:jc w:val="right"/>
              <w:rPr/>
            </w:pPr>
            <w:r>
              <w:rPr/>
              <w:t> </w:t>
            </w:r>
          </w:p>
        </w:tc>
        <w:tc>
          <w:tcPr>
            <w:tcW w:w="134" w:type="dxa"/>
            <w:tcBorders>
              <w:bottom w:val="single" w:sz="2" w:space="0" w:color="FFFFFF"/>
            </w:tcBorders>
            <w:tcMar>
              <w:bottom w:w="28" w:type="dxa"/>
            </w:tcMar>
            <w:vAlign w:val="bottom"/>
          </w:tcPr>
          <w:p>
            <w:pPr>
              <w:pStyle w:val="TableContents"/>
              <w:bidi w:val="0"/>
              <w:spacing w:before="0" w:after="283"/>
              <w:jc w:val="left"/>
              <w:rPr/>
            </w:pPr>
            <w:r>
              <w:rPr/>
              <w:t> </w:t>
            </w:r>
          </w:p>
        </w:tc>
        <w:tc>
          <w:tcPr>
            <w:tcW w:w="586" w:type="dxa"/>
            <w:tcBorders>
              <w:bottom w:val="single" w:sz="2" w:space="0" w:color="FFFFFF"/>
            </w:tcBorders>
            <w:tcMar>
              <w:bottom w:w="28" w:type="dxa"/>
            </w:tcMar>
            <w:vAlign w:val="bottom"/>
          </w:tcPr>
          <w:p>
            <w:pPr>
              <w:pStyle w:val="TableContents"/>
              <w:bidi w:val="0"/>
              <w:spacing w:before="0" w:after="283"/>
              <w:jc w:val="right"/>
              <w:rPr>
                <w:sz w:val="20"/>
              </w:rPr>
            </w:pPr>
            <w:r>
              <w:rPr>
                <w:sz w:val="20"/>
              </w:rPr>
              <w:t>(4,986</w:t>
            </w:r>
          </w:p>
        </w:tc>
        <w:tc>
          <w:tcPr>
            <w:tcW w:w="83" w:type="dxa"/>
            <w:tcBorders/>
            <w:vAlign w:val="bottom"/>
          </w:tcPr>
          <w:p>
            <w:pPr>
              <w:pStyle w:val="TableContents"/>
              <w:bidi w:val="0"/>
              <w:spacing w:before="0" w:after="283"/>
              <w:jc w:val="left"/>
              <w:rPr>
                <w:sz w:val="20"/>
              </w:rPr>
            </w:pPr>
            <w:r>
              <w:rPr>
                <w:sz w:val="20"/>
              </w:rPr>
              <w:t>)</w:t>
            </w:r>
          </w:p>
        </w:tc>
      </w:tr>
      <w:tr>
        <w:trPr/>
        <w:tc>
          <w:tcPr>
            <w:tcW w:w="7302" w:type="dxa"/>
            <w:tcBorders/>
            <w:shd w:fill="CCEEFF" w:val="clear"/>
            <w:vAlign w:val="bottom"/>
          </w:tcPr>
          <w:p>
            <w:pPr>
              <w:pStyle w:val="TableContents"/>
              <w:bidi w:val="0"/>
              <w:spacing w:before="0" w:after="0"/>
              <w:ind w:left="180" w:right="0" w:hanging="180"/>
              <w:jc w:val="left"/>
              <w:rPr>
                <w:color w:val="000000"/>
                <w:sz w:val="20"/>
              </w:rPr>
            </w:pPr>
            <w:r>
              <w:rPr>
                <w:color w:val="000000"/>
                <w:sz w:val="20"/>
              </w:rPr>
              <w:t>Reclassification of losses recognized in the consolidated interim statements of loss from accumulated other comprehensive loss</w:t>
            </w:r>
          </w:p>
        </w:tc>
        <w:tc>
          <w:tcPr>
            <w:tcW w:w="60" w:type="dxa"/>
            <w:tcBorders/>
            <w:shd w:fill="CCEEFF" w:val="clear"/>
            <w:vAlign w:val="bottom"/>
          </w:tcPr>
          <w:p>
            <w:pPr>
              <w:pStyle w:val="TableContents"/>
              <w:bidi w:val="0"/>
              <w:spacing w:before="0" w:after="283"/>
              <w:jc w:val="right"/>
              <w:rPr/>
            </w:pPr>
            <w:r>
              <w:rPr/>
              <w:t> </w:t>
            </w:r>
          </w:p>
        </w:tc>
        <w:tc>
          <w:tcPr>
            <w:tcW w:w="134"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586" w:type="dxa"/>
            <w:tcBorders>
              <w:bottom w:val="single" w:sz="12" w:space="0" w:color="000000"/>
            </w:tcBorders>
            <w:shd w:fill="CCEEFF" w:val="clear"/>
            <w:tcMar>
              <w:bottom w:w="28" w:type="dxa"/>
            </w:tcMar>
            <w:vAlign w:val="bottom"/>
          </w:tcPr>
          <w:p>
            <w:pPr>
              <w:pStyle w:val="TableContents"/>
              <w:bidi w:val="0"/>
              <w:spacing w:before="0" w:after="283"/>
              <w:jc w:val="right"/>
              <w:rPr>
                <w:sz w:val="20"/>
              </w:rPr>
            </w:pPr>
            <w:r>
              <w:rPr>
                <w:sz w:val="20"/>
              </w:rPr>
              <w:t>2,160</w:t>
            </w:r>
          </w:p>
        </w:tc>
        <w:tc>
          <w:tcPr>
            <w:tcW w:w="86"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right"/>
              <w:rPr/>
            </w:pPr>
            <w:r>
              <w:rPr/>
              <w:t> </w:t>
            </w:r>
          </w:p>
        </w:tc>
        <w:tc>
          <w:tcPr>
            <w:tcW w:w="134"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586" w:type="dxa"/>
            <w:tcBorders>
              <w:bottom w:val="single" w:sz="12" w:space="0" w:color="000000"/>
            </w:tcBorders>
            <w:shd w:fill="CCEEFF" w:val="clear"/>
            <w:tcMar>
              <w:bottom w:w="28" w:type="dxa"/>
            </w:tcMar>
            <w:vAlign w:val="bottom"/>
          </w:tcPr>
          <w:p>
            <w:pPr>
              <w:pStyle w:val="TableContents"/>
              <w:bidi w:val="0"/>
              <w:spacing w:before="0" w:after="283"/>
              <w:jc w:val="right"/>
              <w:rPr>
                <w:sz w:val="20"/>
              </w:rPr>
            </w:pPr>
            <w:r>
              <w:rPr>
                <w:sz w:val="20"/>
              </w:rPr>
              <w:t>2,966</w:t>
            </w:r>
          </w:p>
        </w:tc>
        <w:tc>
          <w:tcPr>
            <w:tcW w:w="83" w:type="dxa"/>
            <w:tcBorders/>
            <w:shd w:fill="CCEEFF" w:val="clear"/>
            <w:vAlign w:val="bottom"/>
          </w:tcPr>
          <w:p>
            <w:pPr>
              <w:pStyle w:val="TableContents"/>
              <w:bidi w:val="0"/>
              <w:spacing w:before="0" w:after="283"/>
              <w:jc w:val="left"/>
              <w:rPr/>
            </w:pPr>
            <w:r>
              <w:rPr/>
              <w:t> </w:t>
            </w:r>
          </w:p>
        </w:tc>
      </w:tr>
      <w:tr>
        <w:trPr/>
        <w:tc>
          <w:tcPr>
            <w:tcW w:w="7302" w:type="dxa"/>
            <w:tcBorders/>
            <w:vAlign w:val="bottom"/>
          </w:tcPr>
          <w:p>
            <w:pPr>
              <w:pStyle w:val="TableContents"/>
              <w:bidi w:val="0"/>
              <w:spacing w:before="0" w:after="0"/>
              <w:ind w:left="180" w:right="0" w:hanging="180"/>
              <w:jc w:val="left"/>
              <w:rPr>
                <w:color w:val="000000"/>
                <w:sz w:val="20"/>
              </w:rPr>
            </w:pPr>
            <w:r>
              <w:rPr>
                <w:color w:val="000000"/>
                <w:sz w:val="20"/>
              </w:rPr>
              <w:t>Unrealized losses on derivative instruments at the end of the period</w:t>
            </w:r>
          </w:p>
        </w:tc>
        <w:tc>
          <w:tcPr>
            <w:tcW w:w="60" w:type="dxa"/>
            <w:tcBorders/>
            <w:vAlign w:val="bottom"/>
          </w:tcPr>
          <w:p>
            <w:pPr>
              <w:pStyle w:val="TableContents"/>
              <w:bidi w:val="0"/>
              <w:spacing w:before="0" w:after="283"/>
              <w:jc w:val="right"/>
              <w:rPr/>
            </w:pPr>
            <w:r>
              <w:rPr/>
              <w:t> </w:t>
            </w:r>
          </w:p>
        </w:tc>
        <w:tc>
          <w:tcPr>
            <w:tcW w:w="134" w:type="dxa"/>
            <w:tcBorders>
              <w:bottom w:val="single" w:sz="12" w:space="0" w:color="000000"/>
            </w:tcBorders>
            <w:tcMar>
              <w:bottom w:w="28" w:type="dxa"/>
            </w:tcMar>
            <w:vAlign w:val="bottom"/>
          </w:tcPr>
          <w:p>
            <w:pPr>
              <w:pStyle w:val="TableContents"/>
              <w:bidi w:val="0"/>
              <w:spacing w:before="0" w:after="283"/>
              <w:jc w:val="left"/>
              <w:rPr>
                <w:sz w:val="20"/>
              </w:rPr>
            </w:pPr>
            <w:r>
              <w:rPr>
                <w:sz w:val="20"/>
              </w:rPr>
              <w:t>$</w:t>
            </w:r>
          </w:p>
        </w:tc>
        <w:tc>
          <w:tcPr>
            <w:tcW w:w="586" w:type="dxa"/>
            <w:tcBorders>
              <w:bottom w:val="single" w:sz="12" w:space="0" w:color="000000"/>
            </w:tcBorders>
            <w:tcMar>
              <w:bottom w:w="28" w:type="dxa"/>
            </w:tcMar>
            <w:vAlign w:val="bottom"/>
          </w:tcPr>
          <w:p>
            <w:pPr>
              <w:pStyle w:val="TableContents"/>
              <w:bidi w:val="0"/>
              <w:spacing w:before="0" w:after="283"/>
              <w:jc w:val="right"/>
              <w:rPr>
                <w:sz w:val="20"/>
              </w:rPr>
            </w:pPr>
            <w:r>
              <w:rPr>
                <w:sz w:val="20"/>
              </w:rPr>
              <w:t>(200</w:t>
            </w:r>
          </w:p>
        </w:tc>
        <w:tc>
          <w:tcPr>
            <w:tcW w:w="86" w:type="dxa"/>
            <w:tcBorders/>
            <w:vAlign w:val="bottom"/>
          </w:tcPr>
          <w:p>
            <w:pPr>
              <w:pStyle w:val="TableContents"/>
              <w:bidi w:val="0"/>
              <w:spacing w:before="0" w:after="283"/>
              <w:jc w:val="left"/>
              <w:rPr>
                <w:sz w:val="20"/>
              </w:rPr>
            </w:pPr>
            <w:r>
              <w:rPr>
                <w:sz w:val="20"/>
              </w:rPr>
              <w:t>)</w:t>
            </w:r>
          </w:p>
        </w:tc>
        <w:tc>
          <w:tcPr>
            <w:tcW w:w="64" w:type="dxa"/>
            <w:tcBorders/>
            <w:vAlign w:val="bottom"/>
          </w:tcPr>
          <w:p>
            <w:pPr>
              <w:pStyle w:val="TableContents"/>
              <w:bidi w:val="0"/>
              <w:spacing w:before="0" w:after="283"/>
              <w:jc w:val="right"/>
              <w:rPr/>
            </w:pPr>
            <w:r>
              <w:rPr/>
              <w:t> </w:t>
            </w:r>
          </w:p>
        </w:tc>
        <w:tc>
          <w:tcPr>
            <w:tcW w:w="134" w:type="dxa"/>
            <w:tcBorders>
              <w:bottom w:val="single" w:sz="12" w:space="0" w:color="000000"/>
            </w:tcBorders>
            <w:tcMar>
              <w:bottom w:w="28" w:type="dxa"/>
            </w:tcMar>
            <w:vAlign w:val="bottom"/>
          </w:tcPr>
          <w:p>
            <w:pPr>
              <w:pStyle w:val="TableContents"/>
              <w:bidi w:val="0"/>
              <w:spacing w:before="0" w:after="283"/>
              <w:jc w:val="left"/>
              <w:rPr>
                <w:sz w:val="20"/>
              </w:rPr>
            </w:pPr>
            <w:r>
              <w:rPr>
                <w:sz w:val="20"/>
              </w:rPr>
              <w:t>$</w:t>
            </w:r>
          </w:p>
        </w:tc>
        <w:tc>
          <w:tcPr>
            <w:tcW w:w="586" w:type="dxa"/>
            <w:tcBorders>
              <w:bottom w:val="single" w:sz="12" w:space="0" w:color="000000"/>
            </w:tcBorders>
            <w:tcMar>
              <w:bottom w:w="28" w:type="dxa"/>
            </w:tcMar>
            <w:vAlign w:val="bottom"/>
          </w:tcPr>
          <w:p>
            <w:pPr>
              <w:pStyle w:val="TableContents"/>
              <w:bidi w:val="0"/>
              <w:spacing w:before="0" w:after="283"/>
              <w:jc w:val="right"/>
              <w:rPr>
                <w:sz w:val="20"/>
              </w:rPr>
            </w:pPr>
            <w:r>
              <w:rPr>
                <w:sz w:val="20"/>
              </w:rPr>
              <w:t>(2,020</w:t>
            </w:r>
          </w:p>
        </w:tc>
        <w:tc>
          <w:tcPr>
            <w:tcW w:w="83" w:type="dxa"/>
            <w:tcBorders/>
            <w:vAlign w:val="bottom"/>
          </w:tcPr>
          <w:p>
            <w:pPr>
              <w:pStyle w:val="TableContents"/>
              <w:bidi w:val="0"/>
              <w:spacing w:before="0" w:after="283"/>
              <w:jc w:val="left"/>
              <w:rPr>
                <w:sz w:val="20"/>
              </w:rPr>
            </w:pPr>
            <w:r>
              <w:rPr>
                <w:sz w:val="20"/>
              </w:rPr>
              <w:t>)</w:t>
            </w:r>
          </w:p>
        </w:tc>
      </w:tr>
    </w:tbl>
    <w:p>
      <w:pPr>
        <w:pStyle w:val="TextBody"/>
        <w:bidi w:val="0"/>
        <w:spacing w:before="220" w:after="0"/>
        <w:ind w:left="1170" w:right="0" w:hanging="0"/>
        <w:jc w:val="both"/>
        <w:rPr>
          <w:rFonts w:ascii="Times New Roman" w:hAnsi="Times New Roman"/>
          <w:color w:val="000000"/>
          <w:sz w:val="20"/>
          <w:shd w:fill="FFFFFF" w:val="clear"/>
        </w:rPr>
      </w:pPr>
      <w:r>
        <w:rPr>
          <w:rFonts w:ascii="Times New Roman" w:hAnsi="Times New Roman"/>
          <w:color w:val="000000"/>
          <w:sz w:val="20"/>
          <w:shd w:fill="FFFFFF" w:val="clear"/>
        </w:rPr>
        <w:t>All net deferred losses in accumulated other comprehensive losses as of September 30, 2023, are expected to be recognized over the next twelve months as operating expenses in the same financial statement line item in the consolidated interim statements of loss to which the derivative relates.</w:t>
      </w:r>
    </w:p>
    <w:p>
      <w:pPr>
        <w:pStyle w:val="TextBody"/>
        <w:bidi w:val="0"/>
        <w:spacing w:before="0" w:after="0"/>
        <w:ind w:left="1170" w:right="0" w:hanging="0"/>
        <w:jc w:val="both"/>
        <w:rPr>
          <w:rFonts w:ascii="Times New Roman" w:hAnsi="Times New Roman"/>
          <w:sz w:val="20"/>
        </w:rPr>
      </w:pPr>
      <w:r>
        <w:rPr>
          <w:rFonts w:ascii="Times New Roman" w:hAnsi="Times New Roman"/>
          <w:sz w:val="20"/>
        </w:rPr>
      </w:r>
    </w:p>
    <w:tbl>
      <w:tblPr>
        <w:tblW w:w="5020" w:type="dxa"/>
        <w:jc w:val="left"/>
        <w:tblInd w:w="0" w:type="dxa"/>
        <w:tblLayout w:type="fixed"/>
        <w:tblCellMar>
          <w:top w:w="0" w:type="dxa"/>
          <w:left w:w="0" w:type="dxa"/>
          <w:bottom w:w="0" w:type="dxa"/>
          <w:right w:w="0" w:type="dxa"/>
        </w:tblCellMar>
      </w:tblPr>
      <w:tblGrid>
        <w:gridCol w:w="860"/>
        <w:gridCol w:w="4160"/>
      </w:tblGrid>
      <w:tr>
        <w:trPr/>
        <w:tc>
          <w:tcPr>
            <w:tcW w:w="860" w:type="dxa"/>
            <w:tcBorders/>
            <w:vAlign w:val="center"/>
          </w:tcPr>
          <w:p>
            <w:pPr>
              <w:pStyle w:val="TableContents"/>
              <w:bidi w:val="0"/>
              <w:spacing w:before="0" w:after="283"/>
              <w:jc w:val="left"/>
              <w:rPr/>
            </w:pPr>
            <w:r>
              <w:rPr>
                <w:rFonts w:ascii="Times New Roman" w:hAnsi="Times New Roman"/>
                <w:b/>
                <w:color w:val="000000"/>
                <w:sz w:val="20"/>
              </w:rPr>
              <w:t xml:space="preserve">NOTE </w:t>
            </w:r>
            <w:r>
              <w:rPr>
                <w:rFonts w:ascii="Times New Roman" w:hAnsi="Times New Roman"/>
                <w:b/>
                <w:sz w:val="20"/>
              </w:rPr>
              <w:t>7</w:t>
            </w:r>
            <w:r>
              <w:rPr>
                <w:rFonts w:ascii="Times New Roman" w:hAnsi="Times New Roman"/>
                <w:b/>
                <w:color w:val="000000"/>
                <w:sz w:val="20"/>
              </w:rPr>
              <w:t>:-</w:t>
            </w:r>
          </w:p>
        </w:tc>
        <w:tc>
          <w:tcPr>
            <w:tcW w:w="4160" w:type="dxa"/>
            <w:tcBorders/>
            <w:vAlign w:val="center"/>
          </w:tcPr>
          <w:p>
            <w:pPr>
              <w:pStyle w:val="TableContents"/>
              <w:bidi w:val="0"/>
              <w:spacing w:before="0" w:after="0"/>
              <w:jc w:val="both"/>
              <w:rPr>
                <w:b/>
                <w:sz w:val="20"/>
              </w:rPr>
            </w:pPr>
            <w:r>
              <w:rPr>
                <w:rFonts w:ascii="Times New Roman" w:hAnsi="Times New Roman"/>
                <w:b/>
                <w:color w:val="000000"/>
                <w:sz w:val="20"/>
              </w:rPr>
              <w:t xml:space="preserve">GOODWILL AND </w:t>
            </w:r>
            <w:r>
              <w:rPr>
                <w:rFonts w:ascii="Times New Roman" w:hAnsi="Times New Roman"/>
                <w:b/>
                <w:sz w:val="20"/>
              </w:rPr>
              <w:t>INTANGIBLE</w:t>
            </w:r>
            <w:r>
              <w:rPr>
                <w:rFonts w:ascii="Times New Roman" w:hAnsi="Times New Roman"/>
                <w:b/>
                <w:color w:val="000000"/>
                <w:sz w:val="20"/>
              </w:rPr>
              <w:t xml:space="preserve"> ASSETS, NET</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240"/>
        <w:ind w:left="1170" w:right="0" w:hanging="0"/>
        <w:jc w:val="both"/>
        <w:rPr>
          <w:rFonts w:ascii="Times New Roman" w:hAnsi="Times New Roman"/>
          <w:b/>
          <w:i/>
          <w:color w:val="000000"/>
          <w:sz w:val="20"/>
          <w:shd w:fill="FFFFFF" w:val="clear"/>
        </w:rPr>
      </w:pPr>
      <w:r>
        <w:rPr>
          <w:rFonts w:ascii="Times New Roman" w:hAnsi="Times New Roman"/>
          <w:b/>
          <w:i/>
          <w:color w:val="000000"/>
          <w:sz w:val="20"/>
          <w:shd w:fill="FFFFFF" w:val="clear"/>
        </w:rPr>
        <w:t>Goodwill</w:t>
      </w:r>
    </w:p>
    <w:p>
      <w:pPr>
        <w:pStyle w:val="TextBody"/>
        <w:bidi w:val="0"/>
        <w:spacing w:before="0" w:after="240"/>
        <w:ind w:left="1170" w:right="0" w:hanging="0"/>
        <w:jc w:val="both"/>
        <w:rPr>
          <w:rFonts w:ascii="Times New Roman" w:hAnsi="Times New Roman"/>
          <w:color w:val="000000"/>
          <w:sz w:val="20"/>
          <w:shd w:fill="FFFFFF" w:val="clear"/>
        </w:rPr>
      </w:pPr>
      <w:r>
        <w:rPr>
          <w:rFonts w:ascii="Times New Roman" w:hAnsi="Times New Roman"/>
          <w:color w:val="000000"/>
          <w:sz w:val="20"/>
          <w:shd w:fill="FFFFFF" w:val="clear"/>
        </w:rPr>
        <w:t>The following table represents the changes in the carrying amounts of the Company’s total goodwill:</w:t>
      </w:r>
    </w:p>
    <w:tbl>
      <w:tblPr>
        <w:tblW w:w="4730" w:type="dxa"/>
        <w:jc w:val="left"/>
        <w:tblInd w:w="1170" w:type="dxa"/>
        <w:tblLayout w:type="fixed"/>
        <w:tblCellMar>
          <w:top w:w="0" w:type="dxa"/>
          <w:left w:w="0" w:type="dxa"/>
          <w:bottom w:w="0" w:type="dxa"/>
          <w:right w:w="0" w:type="dxa"/>
        </w:tblCellMar>
      </w:tblPr>
      <w:tblGrid>
        <w:gridCol w:w="3755"/>
        <w:gridCol w:w="60"/>
        <w:gridCol w:w="130"/>
        <w:gridCol w:w="725"/>
        <w:gridCol w:w="60"/>
      </w:tblGrid>
      <w:tr>
        <w:trPr/>
        <w:tc>
          <w:tcPr>
            <w:tcW w:w="37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55" w:type="dxa"/>
            <w:gridSpan w:val="2"/>
            <w:tcBorders>
              <w:bottom w:val="single" w:sz="12" w:space="0" w:color="000000"/>
            </w:tcBorders>
            <w:tcMar>
              <w:bottom w:w="28" w:type="dxa"/>
            </w:tcMar>
            <w:vAlign w:val="bottom"/>
          </w:tcPr>
          <w:p>
            <w:pPr>
              <w:pStyle w:val="TableContents"/>
              <w:bidi w:val="0"/>
              <w:spacing w:before="0" w:after="0"/>
              <w:ind w:left="0" w:right="0" w:firstLine="40"/>
              <w:jc w:val="center"/>
              <w:rPr>
                <w:rFonts w:ascii="Times New Roman" w:hAnsi="Times New Roman"/>
                <w:b/>
                <w:color w:val="000000"/>
                <w:sz w:val="20"/>
              </w:rPr>
            </w:pPr>
            <w:r>
              <w:rPr>
                <w:rFonts w:ascii="Times New Roman" w:hAnsi="Times New Roman"/>
                <w:b/>
                <w:color w:val="000000"/>
                <w:sz w:val="20"/>
              </w:rPr>
              <w:t>Carrying</w:t>
            </w:r>
          </w:p>
          <w:p>
            <w:pPr>
              <w:pStyle w:val="TableContents"/>
              <w:bidi w:val="0"/>
              <w:spacing w:before="0" w:after="0"/>
              <w:ind w:left="0" w:right="0" w:firstLine="40"/>
              <w:jc w:val="center"/>
              <w:rPr>
                <w:rFonts w:ascii="Times New Roman" w:hAnsi="Times New Roman"/>
                <w:b/>
                <w:color w:val="000000"/>
                <w:sz w:val="20"/>
              </w:rPr>
            </w:pPr>
            <w:r>
              <w:rPr>
                <w:rFonts w:ascii="Times New Roman" w:hAnsi="Times New Roman"/>
                <w:b/>
                <w:color w:val="000000"/>
                <w:sz w:val="20"/>
              </w:rPr>
              <w:t>Amount</w:t>
            </w:r>
          </w:p>
        </w:tc>
        <w:tc>
          <w:tcPr>
            <w:tcW w:w="60" w:type="dxa"/>
            <w:tcBorders/>
            <w:vAlign w:val="bottom"/>
          </w:tcPr>
          <w:p>
            <w:pPr>
              <w:pStyle w:val="TableContents"/>
              <w:bidi w:val="0"/>
              <w:spacing w:before="0" w:after="283"/>
              <w:jc w:val="left"/>
              <w:rPr/>
            </w:pPr>
            <w:r>
              <w:rPr/>
              <w:t> </w:t>
            </w:r>
          </w:p>
        </w:tc>
      </w:tr>
      <w:tr>
        <w:trPr/>
        <w:tc>
          <w:tcPr>
            <w:tcW w:w="37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55"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r>
      <w:tr>
        <w:trPr/>
        <w:tc>
          <w:tcPr>
            <w:tcW w:w="375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Balance as of December 31, 2022</w:t>
            </w:r>
          </w:p>
        </w:tc>
        <w:tc>
          <w:tcPr>
            <w:tcW w:w="60" w:type="dxa"/>
            <w:tcBorders/>
            <w:shd w:fill="CCEEFF" w:val="clear"/>
            <w:vAlign w:val="bottom"/>
          </w:tcPr>
          <w:p>
            <w:pPr>
              <w:pStyle w:val="TableContents"/>
              <w:bidi w:val="0"/>
              <w:spacing w:before="0" w:after="283"/>
              <w:jc w:val="right"/>
              <w:rPr/>
            </w:pPr>
            <w:r>
              <w:rPr/>
              <w:t> </w:t>
            </w:r>
          </w:p>
        </w:tc>
        <w:tc>
          <w:tcPr>
            <w:tcW w:w="13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72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555,869</w:t>
            </w:r>
          </w:p>
        </w:tc>
        <w:tc>
          <w:tcPr>
            <w:tcW w:w="60" w:type="dxa"/>
            <w:tcBorders/>
            <w:shd w:fill="CCEEFF" w:val="clear"/>
            <w:vAlign w:val="bottom"/>
          </w:tcPr>
          <w:p>
            <w:pPr>
              <w:pStyle w:val="TableContents"/>
              <w:bidi w:val="0"/>
              <w:spacing w:before="0" w:after="283"/>
              <w:jc w:val="left"/>
              <w:rPr/>
            </w:pPr>
            <w:r>
              <w:rPr/>
              <w:t> </w:t>
            </w:r>
          </w:p>
        </w:tc>
      </w:tr>
      <w:tr>
        <w:trPr/>
        <w:tc>
          <w:tcPr>
            <w:tcW w:w="375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Purchase accounting adjustment</w:t>
            </w:r>
          </w:p>
        </w:tc>
        <w:tc>
          <w:tcPr>
            <w:tcW w:w="60" w:type="dxa"/>
            <w:tcBorders/>
            <w:vAlign w:val="bottom"/>
          </w:tcPr>
          <w:p>
            <w:pPr>
              <w:pStyle w:val="TableContents"/>
              <w:bidi w:val="0"/>
              <w:spacing w:before="0" w:after="283"/>
              <w:jc w:val="right"/>
              <w:rPr/>
            </w:pPr>
            <w:r>
              <w:rPr/>
              <w:t> </w:t>
            </w:r>
          </w:p>
        </w:tc>
        <w:tc>
          <w:tcPr>
            <w:tcW w:w="130" w:type="dxa"/>
            <w:tcBorders>
              <w:bottom w:val="single" w:sz="12" w:space="0" w:color="000000"/>
            </w:tcBorders>
            <w:tcMar>
              <w:bottom w:w="28" w:type="dxa"/>
            </w:tcMar>
            <w:vAlign w:val="bottom"/>
          </w:tcPr>
          <w:p>
            <w:pPr>
              <w:pStyle w:val="TableContents"/>
              <w:bidi w:val="0"/>
              <w:spacing w:before="0" w:after="283"/>
              <w:jc w:val="left"/>
              <w:rPr/>
            </w:pPr>
            <w:r>
              <w:rPr/>
              <w:t> </w:t>
            </w:r>
          </w:p>
        </w:tc>
        <w:tc>
          <w:tcPr>
            <w:tcW w:w="72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62</w:t>
            </w:r>
          </w:p>
        </w:tc>
        <w:tc>
          <w:tcPr>
            <w:tcW w:w="60" w:type="dxa"/>
            <w:tcBorders/>
            <w:vAlign w:val="bottom"/>
          </w:tcPr>
          <w:p>
            <w:pPr>
              <w:pStyle w:val="TableContents"/>
              <w:bidi w:val="0"/>
              <w:spacing w:before="0" w:after="283"/>
              <w:jc w:val="left"/>
              <w:rPr/>
            </w:pPr>
            <w:r>
              <w:rPr/>
              <w:t> </w:t>
            </w:r>
          </w:p>
        </w:tc>
      </w:tr>
      <w:tr>
        <w:trPr/>
        <w:tc>
          <w:tcPr>
            <w:tcW w:w="375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Balance as of September 30, 2023 (unaudited)</w:t>
            </w:r>
          </w:p>
        </w:tc>
        <w:tc>
          <w:tcPr>
            <w:tcW w:w="60" w:type="dxa"/>
            <w:tcBorders/>
            <w:shd w:fill="CCEEFF" w:val="clear"/>
            <w:vAlign w:val="bottom"/>
          </w:tcPr>
          <w:p>
            <w:pPr>
              <w:pStyle w:val="TableContents"/>
              <w:bidi w:val="0"/>
              <w:spacing w:before="0" w:after="283"/>
              <w:jc w:val="right"/>
              <w:rPr/>
            </w:pPr>
            <w:r>
              <w:rPr/>
              <w:t> </w:t>
            </w:r>
          </w:p>
        </w:tc>
        <w:tc>
          <w:tcPr>
            <w:tcW w:w="130"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72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555,931</w:t>
            </w:r>
          </w:p>
        </w:tc>
        <w:tc>
          <w:tcPr>
            <w:tcW w:w="60" w:type="dxa"/>
            <w:tcBorders/>
            <w:shd w:fill="CCEEFF" w:val="clear"/>
            <w:vAlign w:val="bottom"/>
          </w:tcPr>
          <w:p>
            <w:pPr>
              <w:pStyle w:val="TableContents"/>
              <w:bidi w:val="0"/>
              <w:spacing w:before="0" w:after="283"/>
              <w:jc w:val="left"/>
              <w:rPr/>
            </w:pPr>
            <w:r>
              <w:rPr/>
              <w:t> </w:t>
            </w:r>
          </w:p>
        </w:tc>
      </w:tr>
    </w:tbl>
    <w:p>
      <w:pPr>
        <w:pStyle w:val="TextBody"/>
        <w:bidi w:val="0"/>
        <w:spacing w:before="0" w:after="0"/>
        <w:ind w:left="1170" w:right="0" w:hanging="0"/>
        <w:jc w:val="both"/>
        <w:rPr>
          <w:rFonts w:ascii="Times New Roman" w:hAnsi="Times New Roman"/>
          <w:sz w:val="20"/>
        </w:rPr>
      </w:pPr>
      <w:r>
        <w:rPr>
          <w:rFonts w:ascii="Times New Roman" w:hAnsi="Times New Roman"/>
          <w:sz w:val="20"/>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18</w:t>
      </w:r>
    </w:p>
    <w:p>
      <w:pPr>
        <w:pStyle w:val="HorizontalLine"/>
        <w:bidi w:val="0"/>
        <w:spacing w:before="200" w:after="200"/>
        <w:jc w:val="left"/>
        <w:rPr/>
      </w:pPr>
      <w:r>
        <w:rPr/>
      </w:r>
    </w:p>
    <w:p>
      <w:pPr>
        <w:pStyle w:val="TextBody"/>
        <w:bidi w:val="0"/>
        <w:spacing w:before="200" w:after="200"/>
        <w:jc w:val="left"/>
        <w:rPr/>
      </w:pPr>
      <w:hyperlink w:anchor="Contents">
        <w:r>
          <w:rPr>
            <w:rStyle w:val="InternetLink"/>
            <w:rFonts w:ascii="Times New Roman" w:hAnsi="Times New Roman"/>
            <w:i/>
            <w:color w:val="000000"/>
            <w:sz w:val="16"/>
            <w:shd w:fill="FFFFFF" w:val="clear"/>
          </w:rPr>
          <w:t>Table of Contents</w:t>
        </w:r>
      </w:hyperlink>
    </w:p>
    <w:p>
      <w:pPr>
        <w:pStyle w:val="TextBody"/>
        <w:bidi w:val="0"/>
        <w:spacing w:before="200" w:after="200"/>
        <w:jc w:val="right"/>
        <w:rPr>
          <w:rFonts w:ascii="Times New Roman" w:hAnsi="Times New Roman"/>
          <w:b/>
          <w:color w:val="000000"/>
          <w:sz w:val="18"/>
          <w:bdr w:val="single" w:sz="12" w:space="1" w:color="000000"/>
          <w:shd w:fill="FFFFFF" w:val="clear"/>
        </w:rPr>
      </w:pPr>
      <w:r>
        <w:rPr>
          <w:rFonts w:ascii="Times New Roman" w:hAnsi="Times New Roman"/>
          <w:b/>
          <w:color w:val="000000"/>
          <w:sz w:val="18"/>
          <w:bdr w:val="single" w:sz="12" w:space="1" w:color="000000"/>
          <w:shd w:fill="FFFFFF" w:val="clear"/>
        </w:rPr>
        <w:t>TABOOLA.COM LTD.</w:t>
      </w:r>
    </w:p>
    <w:p>
      <w:pPr>
        <w:pStyle w:val="TextBody"/>
        <w:bidi w:val="0"/>
        <w:spacing w:before="200" w:after="200"/>
        <w:jc w:val="right"/>
        <w:rPr>
          <w:b/>
        </w:rPr>
      </w:pPr>
      <w:r>
        <w:rPr>
          <w:b/>
        </w:rPr>
      </w:r>
    </w:p>
    <w:p>
      <w:pPr>
        <w:pStyle w:val="TextBody"/>
        <w:bidi w:val="0"/>
        <w:spacing w:before="200" w:after="200"/>
        <w:jc w:val="left"/>
        <w:rPr>
          <w:rFonts w:ascii="Times New Roman" w:hAnsi="Times New Roman"/>
          <w:b/>
          <w:color w:val="000000"/>
          <w:sz w:val="18"/>
          <w:bdr w:val="single" w:sz="12" w:space="1" w:color="000000"/>
          <w:shd w:fill="FFFFFF" w:val="clear"/>
        </w:rPr>
      </w:pPr>
      <w:r>
        <w:rPr>
          <w:rFonts w:ascii="Times New Roman" w:hAnsi="Times New Roman"/>
          <w:b/>
          <w:color w:val="000000"/>
          <w:sz w:val="18"/>
          <w:bdr w:val="single" w:sz="12" w:space="1" w:color="000000"/>
          <w:shd w:fill="FFFFFF" w:val="clear"/>
        </w:rPr>
        <w:t>NOTES TO THE CONSOLIDATED INTERIM FINANCIAL STATEMENTS</w:t>
      </w:r>
    </w:p>
    <w:p>
      <w:pPr>
        <w:pStyle w:val="TextBody"/>
        <w:bidi w:val="0"/>
        <w:spacing w:before="200" w:after="200"/>
        <w:jc w:val="left"/>
        <w:rPr>
          <w:rFonts w:ascii="Times New Roman" w:hAnsi="Times New Roman"/>
          <w:b/>
          <w:color w:val="000000"/>
          <w:sz w:val="18"/>
          <w:shd w:fill="FFFFFF" w:val="clear"/>
        </w:rPr>
      </w:pPr>
      <w:r>
        <w:rPr>
          <w:rFonts w:ascii="Times New Roman" w:hAnsi="Times New Roman"/>
          <w:b/>
          <w:color w:val="000000"/>
          <w:sz w:val="18"/>
          <w:shd w:fill="FFFFFF" w:val="clear"/>
        </w:rPr>
        <w:t>U.S. dollars in thousands, except share and per share data</w:t>
      </w:r>
    </w:p>
    <w:tbl>
      <w:tblPr>
        <w:tblW w:w="5635" w:type="dxa"/>
        <w:jc w:val="left"/>
        <w:tblInd w:w="0" w:type="dxa"/>
        <w:tblLayout w:type="fixed"/>
        <w:tblCellMar>
          <w:top w:w="0" w:type="dxa"/>
          <w:left w:w="0" w:type="dxa"/>
          <w:bottom w:w="0" w:type="dxa"/>
          <w:right w:w="0" w:type="dxa"/>
        </w:tblCellMar>
      </w:tblPr>
      <w:tblGrid>
        <w:gridCol w:w="860"/>
        <w:gridCol w:w="4775"/>
      </w:tblGrid>
      <w:tr>
        <w:trPr/>
        <w:tc>
          <w:tcPr>
            <w:tcW w:w="860" w:type="dxa"/>
            <w:tcBorders/>
            <w:vAlign w:val="center"/>
          </w:tcPr>
          <w:p>
            <w:pPr>
              <w:pStyle w:val="TableContents"/>
              <w:bidi w:val="0"/>
              <w:spacing w:before="0" w:after="283"/>
              <w:jc w:val="left"/>
              <w:rPr/>
            </w:pPr>
            <w:r>
              <w:rPr>
                <w:rFonts w:ascii="Times New Roman" w:hAnsi="Times New Roman"/>
                <w:b/>
                <w:color w:val="000000"/>
                <w:sz w:val="20"/>
              </w:rPr>
              <w:t xml:space="preserve">NOTE </w:t>
            </w:r>
            <w:r>
              <w:rPr>
                <w:rFonts w:ascii="Times New Roman" w:hAnsi="Times New Roman"/>
                <w:b/>
                <w:sz w:val="20"/>
              </w:rPr>
              <w:t>7</w:t>
            </w:r>
            <w:r>
              <w:rPr>
                <w:rFonts w:ascii="Times New Roman" w:hAnsi="Times New Roman"/>
                <w:b/>
                <w:color w:val="000000"/>
                <w:sz w:val="20"/>
              </w:rPr>
              <w:t>:-</w:t>
            </w:r>
          </w:p>
        </w:tc>
        <w:tc>
          <w:tcPr>
            <w:tcW w:w="4775" w:type="dxa"/>
            <w:tcBorders/>
            <w:vAlign w:val="center"/>
          </w:tcPr>
          <w:p>
            <w:pPr>
              <w:pStyle w:val="TableContents"/>
              <w:bidi w:val="0"/>
              <w:spacing w:before="0" w:after="0"/>
              <w:jc w:val="both"/>
              <w:rPr>
                <w:b/>
                <w:sz w:val="20"/>
              </w:rPr>
            </w:pPr>
            <w:r>
              <w:rPr>
                <w:rFonts w:ascii="Times New Roman" w:hAnsi="Times New Roman"/>
                <w:b/>
                <w:color w:val="000000"/>
                <w:sz w:val="20"/>
              </w:rPr>
              <w:t xml:space="preserve">GOODWILL AND </w:t>
            </w:r>
            <w:r>
              <w:rPr>
                <w:rFonts w:ascii="Times New Roman" w:hAnsi="Times New Roman"/>
                <w:b/>
                <w:sz w:val="20"/>
              </w:rPr>
              <w:t>INTANGIBLE</w:t>
            </w:r>
            <w:r>
              <w:rPr>
                <w:rFonts w:ascii="Times New Roman" w:hAnsi="Times New Roman"/>
                <w:b/>
                <w:color w:val="000000"/>
                <w:sz w:val="20"/>
              </w:rPr>
              <w:t xml:space="preserve"> ASSETS, NET (Cont.)</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1170" w:right="0" w:hanging="0"/>
        <w:jc w:val="both"/>
        <w:rPr>
          <w:rFonts w:ascii="Times New Roman" w:hAnsi="Times New Roman"/>
          <w:b/>
          <w:i/>
          <w:color w:val="000000"/>
          <w:sz w:val="20"/>
          <w:shd w:fill="FFFFFF" w:val="clear"/>
        </w:rPr>
      </w:pPr>
      <w:r>
        <w:rPr>
          <w:rFonts w:ascii="Times New Roman" w:hAnsi="Times New Roman"/>
          <w:b/>
          <w:i/>
          <w:color w:val="000000"/>
          <w:sz w:val="20"/>
          <w:shd w:fill="FFFFFF" w:val="clear"/>
        </w:rPr>
        <w:t>Intangible Assets, Net</w:t>
      </w:r>
    </w:p>
    <w:p>
      <w:pPr>
        <w:pStyle w:val="TextBody"/>
        <w:bidi w:val="0"/>
        <w:spacing w:before="0" w:after="0"/>
        <w:ind w:left="1170" w:right="0" w:hanging="0"/>
        <w:jc w:val="both"/>
        <w:rPr>
          <w:rFonts w:ascii="Times New Roman" w:hAnsi="Times New Roman"/>
          <w:b/>
          <w:i/>
          <w:sz w:val="20"/>
        </w:rPr>
      </w:pPr>
      <w:r>
        <w:rPr>
          <w:rFonts w:ascii="Times New Roman" w:hAnsi="Times New Roman"/>
          <w:b/>
          <w:i/>
          <w:sz w:val="20"/>
        </w:rPr>
      </w:r>
    </w:p>
    <w:p>
      <w:pPr>
        <w:pStyle w:val="TextBody"/>
        <w:bidi w:val="0"/>
        <w:spacing w:before="0" w:after="240"/>
        <w:ind w:left="1170" w:right="0" w:hanging="0"/>
        <w:jc w:val="both"/>
        <w:rPr>
          <w:rFonts w:ascii="Times New Roman" w:hAnsi="Times New Roman"/>
          <w:color w:val="000000"/>
          <w:sz w:val="20"/>
          <w:shd w:fill="FFFFFF" w:val="clear"/>
        </w:rPr>
      </w:pPr>
      <w:r>
        <w:rPr>
          <w:rFonts w:ascii="Times New Roman" w:hAnsi="Times New Roman"/>
          <w:color w:val="000000"/>
          <w:sz w:val="20"/>
          <w:shd w:fill="FFFFFF" w:val="clear"/>
        </w:rPr>
        <w:t>The following is a summary of definite-lived intangible assets, net as of September 30, 2023 (unaudited):</w:t>
      </w:r>
    </w:p>
    <w:tbl>
      <w:tblPr>
        <w:tblW w:w="7223" w:type="dxa"/>
        <w:jc w:val="left"/>
        <w:tblInd w:w="1170" w:type="dxa"/>
        <w:tblLayout w:type="fixed"/>
        <w:tblCellMar>
          <w:top w:w="0" w:type="dxa"/>
          <w:left w:w="0" w:type="dxa"/>
          <w:bottom w:w="0" w:type="dxa"/>
          <w:right w:w="0" w:type="dxa"/>
        </w:tblCellMar>
      </w:tblPr>
      <w:tblGrid>
        <w:gridCol w:w="3410"/>
        <w:gridCol w:w="60"/>
        <w:gridCol w:w="212"/>
        <w:gridCol w:w="1182"/>
        <w:gridCol w:w="60"/>
        <w:gridCol w:w="60"/>
        <w:gridCol w:w="170"/>
        <w:gridCol w:w="1030"/>
        <w:gridCol w:w="80"/>
        <w:gridCol w:w="60"/>
        <w:gridCol w:w="128"/>
        <w:gridCol w:w="711"/>
        <w:gridCol w:w="60"/>
      </w:tblGrid>
      <w:tr>
        <w:trPr/>
        <w:tc>
          <w:tcPr>
            <w:tcW w:w="3410" w:type="dxa"/>
            <w:tcBorders/>
            <w:vAlign w:val="bottom"/>
          </w:tcPr>
          <w:p>
            <w:pPr>
              <w:pStyle w:val="TableContents"/>
              <w:bidi w:val="0"/>
              <w:spacing w:before="0" w:after="0"/>
              <w:jc w:val="left"/>
              <w:rPr/>
            </w:pPr>
            <w:r>
              <w:rPr/>
              <w:t> </w:t>
            </w:r>
          </w:p>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r>
          </w:p>
        </w:tc>
        <w:tc>
          <w:tcPr>
            <w:tcW w:w="60" w:type="dxa"/>
            <w:tcBorders/>
            <w:vAlign w:val="bottom"/>
          </w:tcPr>
          <w:p>
            <w:pPr>
              <w:pStyle w:val="TableContents"/>
              <w:bidi w:val="0"/>
              <w:spacing w:before="0" w:after="283"/>
              <w:jc w:val="left"/>
              <w:rPr/>
            </w:pPr>
            <w:r>
              <w:rPr/>
              <w:t> </w:t>
            </w:r>
          </w:p>
        </w:tc>
        <w:tc>
          <w:tcPr>
            <w:tcW w:w="1394" w:type="dxa"/>
            <w:gridSpan w:val="2"/>
            <w:tcBorders>
              <w:bottom w:val="single" w:sz="12" w:space="0" w:color="000000"/>
            </w:tcBorders>
            <w:tcMar>
              <w:bottom w:w="28" w:type="dxa"/>
            </w:tcMar>
            <w:vAlign w:val="bottom"/>
          </w:tcPr>
          <w:p>
            <w:pPr>
              <w:pStyle w:val="TableContents"/>
              <w:bidi w:val="0"/>
              <w:spacing w:before="0" w:after="0"/>
              <w:ind w:left="0" w:right="0" w:firstLine="40"/>
              <w:jc w:val="center"/>
              <w:rPr>
                <w:rFonts w:ascii="Times New Roman" w:hAnsi="Times New Roman"/>
                <w:b/>
                <w:color w:val="000000"/>
                <w:sz w:val="20"/>
              </w:rPr>
            </w:pPr>
            <w:r>
              <w:rPr>
                <w:rFonts w:ascii="Times New Roman" w:hAnsi="Times New Roman"/>
                <w:b/>
                <w:color w:val="000000"/>
                <w:sz w:val="20"/>
              </w:rPr>
              <w:t>Gross Carrying</w:t>
            </w:r>
          </w:p>
          <w:p>
            <w:pPr>
              <w:pStyle w:val="TableContents"/>
              <w:bidi w:val="0"/>
              <w:spacing w:before="0" w:after="0"/>
              <w:ind w:left="0" w:right="0" w:firstLine="40"/>
              <w:jc w:val="center"/>
              <w:rPr>
                <w:rFonts w:ascii="Times New Roman" w:hAnsi="Times New Roman"/>
                <w:b/>
                <w:color w:val="000000"/>
                <w:sz w:val="20"/>
              </w:rPr>
            </w:pPr>
            <w:r>
              <w:rPr>
                <w:rFonts w:ascii="Times New Roman" w:hAnsi="Times New Roman"/>
                <w:b/>
                <w:color w:val="000000"/>
                <w:sz w:val="20"/>
              </w:rPr>
              <w:t>Amount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00" w:type="dxa"/>
            <w:gridSpan w:val="2"/>
            <w:tcBorders>
              <w:bottom w:val="single" w:sz="12" w:space="0" w:color="000000"/>
            </w:tcBorders>
            <w:tcMar>
              <w:bottom w:w="28" w:type="dxa"/>
            </w:tcMar>
            <w:vAlign w:val="bottom"/>
          </w:tcPr>
          <w:p>
            <w:pPr>
              <w:pStyle w:val="TableContents"/>
              <w:bidi w:val="0"/>
              <w:spacing w:before="0" w:after="0"/>
              <w:ind w:left="0" w:right="0" w:firstLine="40"/>
              <w:jc w:val="center"/>
              <w:rPr>
                <w:rFonts w:ascii="Times New Roman" w:hAnsi="Times New Roman"/>
                <w:b/>
                <w:color w:val="000000"/>
                <w:sz w:val="20"/>
              </w:rPr>
            </w:pPr>
            <w:r>
              <w:rPr>
                <w:rFonts w:ascii="Times New Roman" w:hAnsi="Times New Roman"/>
                <w:b/>
                <w:color w:val="000000"/>
                <w:sz w:val="20"/>
              </w:rPr>
              <w:t>Accumulated</w:t>
            </w:r>
          </w:p>
          <w:p>
            <w:pPr>
              <w:pStyle w:val="TableContents"/>
              <w:bidi w:val="0"/>
              <w:spacing w:before="0" w:after="0"/>
              <w:ind w:left="0" w:right="0" w:firstLine="40"/>
              <w:jc w:val="center"/>
              <w:rPr>
                <w:rFonts w:ascii="Times New Roman" w:hAnsi="Times New Roman"/>
                <w:b/>
                <w:color w:val="000000"/>
                <w:sz w:val="20"/>
              </w:rPr>
            </w:pPr>
            <w:r>
              <w:rPr>
                <w:rFonts w:ascii="Times New Roman" w:hAnsi="Times New Roman"/>
                <w:b/>
                <w:color w:val="000000"/>
                <w:sz w:val="20"/>
              </w:rPr>
              <w:t>Amortization</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39" w:type="dxa"/>
            <w:gridSpan w:val="2"/>
            <w:tcBorders>
              <w:bottom w:val="single" w:sz="12" w:space="0" w:color="000000"/>
            </w:tcBorders>
            <w:tcMar>
              <w:bottom w:w="28" w:type="dxa"/>
            </w:tcMar>
            <w:vAlign w:val="bottom"/>
          </w:tcPr>
          <w:p>
            <w:pPr>
              <w:pStyle w:val="TableContents"/>
              <w:bidi w:val="0"/>
              <w:spacing w:before="0" w:after="0"/>
              <w:ind w:left="0" w:right="0" w:firstLine="40"/>
              <w:jc w:val="center"/>
              <w:rPr>
                <w:rFonts w:ascii="Times New Roman" w:hAnsi="Times New Roman"/>
                <w:b/>
                <w:color w:val="000000"/>
                <w:sz w:val="20"/>
              </w:rPr>
            </w:pPr>
            <w:r>
              <w:rPr>
                <w:rFonts w:ascii="Times New Roman" w:hAnsi="Times New Roman"/>
                <w:b/>
                <w:color w:val="000000"/>
                <w:sz w:val="20"/>
              </w:rPr>
              <w:t>Net Book</w:t>
            </w:r>
          </w:p>
          <w:p>
            <w:pPr>
              <w:pStyle w:val="TableContents"/>
              <w:bidi w:val="0"/>
              <w:spacing w:before="0" w:after="0"/>
              <w:ind w:left="0" w:right="0" w:firstLine="40"/>
              <w:jc w:val="center"/>
              <w:rPr>
                <w:rFonts w:ascii="Times New Roman" w:hAnsi="Times New Roman"/>
                <w:b/>
                <w:color w:val="000000"/>
                <w:sz w:val="20"/>
              </w:rPr>
            </w:pPr>
            <w:r>
              <w:rPr>
                <w:rFonts w:ascii="Times New Roman" w:hAnsi="Times New Roman"/>
                <w:b/>
                <w:color w:val="000000"/>
                <w:sz w:val="20"/>
              </w:rPr>
              <w:t>Value</w:t>
            </w:r>
          </w:p>
        </w:tc>
        <w:tc>
          <w:tcPr>
            <w:tcW w:w="60" w:type="dxa"/>
            <w:tcBorders/>
            <w:vAlign w:val="bottom"/>
          </w:tcPr>
          <w:p>
            <w:pPr>
              <w:pStyle w:val="TableContents"/>
              <w:bidi w:val="0"/>
              <w:spacing w:before="0" w:after="283"/>
              <w:jc w:val="left"/>
              <w:rPr/>
            </w:pPr>
            <w:r>
              <w:rPr/>
              <w:t> </w:t>
            </w:r>
          </w:p>
        </w:tc>
      </w:tr>
      <w:tr>
        <w:trPr/>
        <w:tc>
          <w:tcPr>
            <w:tcW w:w="341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Merchant / Network affiliate relationships</w:t>
            </w:r>
          </w:p>
        </w:tc>
        <w:tc>
          <w:tcPr>
            <w:tcW w:w="60" w:type="dxa"/>
            <w:tcBorders/>
            <w:shd w:fill="CCEEFF" w:val="clear"/>
            <w:vAlign w:val="bottom"/>
          </w:tcPr>
          <w:p>
            <w:pPr>
              <w:pStyle w:val="TableContents"/>
              <w:bidi w:val="0"/>
              <w:spacing w:before="0" w:after="283"/>
              <w:jc w:val="right"/>
              <w:rPr/>
            </w:pPr>
            <w:r>
              <w:rPr/>
              <w:t> </w:t>
            </w:r>
          </w:p>
        </w:tc>
        <w:tc>
          <w:tcPr>
            <w:tcW w:w="212" w:type="dxa"/>
            <w:tcBorders/>
            <w:shd w:fill="CCEEFF" w:val="clear"/>
            <w:vAlign w:val="bottom"/>
          </w:tcPr>
          <w:p>
            <w:pPr>
              <w:pStyle w:val="TableContents"/>
              <w:bidi w:val="0"/>
              <w:spacing w:before="0" w:after="283"/>
              <w:jc w:val="left"/>
              <w:rPr>
                <w:sz w:val="20"/>
              </w:rPr>
            </w:pPr>
            <w:r>
              <w:rPr>
                <w:sz w:val="20"/>
              </w:rPr>
              <w:t>$</w:t>
            </w:r>
          </w:p>
        </w:tc>
        <w:tc>
          <w:tcPr>
            <w:tcW w:w="1182" w:type="dxa"/>
            <w:tcBorders/>
            <w:shd w:fill="CCEEFF" w:val="clear"/>
            <w:vAlign w:val="bottom"/>
          </w:tcPr>
          <w:p>
            <w:pPr>
              <w:pStyle w:val="TableContents"/>
              <w:bidi w:val="0"/>
              <w:spacing w:before="0" w:after="283"/>
              <w:jc w:val="right"/>
              <w:rPr>
                <w:sz w:val="20"/>
              </w:rPr>
            </w:pPr>
            <w:r>
              <w:rPr>
                <w:sz w:val="20"/>
              </w:rPr>
              <w:t>146,547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sz w:val="20"/>
              </w:rPr>
            </w:pPr>
            <w:r>
              <w:rPr>
                <w:sz w:val="20"/>
              </w:rPr>
              <w:t>$</w:t>
            </w:r>
          </w:p>
        </w:tc>
        <w:tc>
          <w:tcPr>
            <w:tcW w:w="1030" w:type="dxa"/>
            <w:tcBorders/>
            <w:shd w:fill="CCEEFF" w:val="clear"/>
            <w:vAlign w:val="bottom"/>
          </w:tcPr>
          <w:p>
            <w:pPr>
              <w:pStyle w:val="TableContents"/>
              <w:bidi w:val="0"/>
              <w:spacing w:before="0" w:after="283"/>
              <w:jc w:val="right"/>
              <w:rPr>
                <w:sz w:val="20"/>
              </w:rPr>
            </w:pPr>
            <w:r>
              <w:rPr>
                <w:sz w:val="20"/>
              </w:rPr>
              <w:t>(67,846</w:t>
            </w:r>
          </w:p>
        </w:tc>
        <w:tc>
          <w:tcPr>
            <w:tcW w:w="80" w:type="dxa"/>
            <w:tcBorders/>
            <w:shd w:fill="CCEEFF" w:val="clear"/>
            <w:vAlign w:val="bottom"/>
          </w:tcPr>
          <w:p>
            <w:pPr>
              <w:pStyle w:val="TableContents"/>
              <w:bidi w:val="0"/>
              <w:spacing w:before="0" w:after="283"/>
              <w:jc w:val="left"/>
              <w:rPr>
                <w:sz w:val="20"/>
              </w:rPr>
            </w:pPr>
            <w:r>
              <w:rPr>
                <w:sz w:val="20"/>
              </w:rPr>
              <w:t>)</w:t>
            </w:r>
          </w:p>
        </w:tc>
        <w:tc>
          <w:tcPr>
            <w:tcW w:w="60" w:type="dxa"/>
            <w:tcBorders/>
            <w:shd w:fill="CCEEFF" w:val="clear"/>
            <w:vAlign w:val="bottom"/>
          </w:tcPr>
          <w:p>
            <w:pPr>
              <w:pStyle w:val="TableContents"/>
              <w:bidi w:val="0"/>
              <w:spacing w:before="0" w:after="283"/>
              <w:jc w:val="right"/>
              <w:rPr/>
            </w:pPr>
            <w:r>
              <w:rPr/>
              <w:t> </w:t>
            </w:r>
          </w:p>
        </w:tc>
        <w:tc>
          <w:tcPr>
            <w:tcW w:w="128" w:type="dxa"/>
            <w:tcBorders/>
            <w:shd w:fill="CCEEFF" w:val="clear"/>
            <w:vAlign w:val="bottom"/>
          </w:tcPr>
          <w:p>
            <w:pPr>
              <w:pStyle w:val="TableContents"/>
              <w:bidi w:val="0"/>
              <w:spacing w:before="0" w:after="283"/>
              <w:jc w:val="left"/>
              <w:rPr>
                <w:sz w:val="20"/>
              </w:rPr>
            </w:pPr>
            <w:r>
              <w:rPr>
                <w:sz w:val="20"/>
              </w:rPr>
              <w:t>$</w:t>
            </w:r>
          </w:p>
        </w:tc>
        <w:tc>
          <w:tcPr>
            <w:tcW w:w="711" w:type="dxa"/>
            <w:tcBorders/>
            <w:shd w:fill="CCEEFF" w:val="clear"/>
            <w:vAlign w:val="bottom"/>
          </w:tcPr>
          <w:p>
            <w:pPr>
              <w:pStyle w:val="TableContents"/>
              <w:bidi w:val="0"/>
              <w:spacing w:before="0" w:after="283"/>
              <w:jc w:val="right"/>
              <w:rPr>
                <w:sz w:val="20"/>
              </w:rPr>
            </w:pPr>
            <w:r>
              <w:rPr>
                <w:sz w:val="20"/>
              </w:rPr>
              <w:t>78,701</w:t>
            </w:r>
          </w:p>
        </w:tc>
        <w:tc>
          <w:tcPr>
            <w:tcW w:w="60" w:type="dxa"/>
            <w:tcBorders/>
            <w:shd w:fill="CCEEFF" w:val="clear"/>
            <w:vAlign w:val="bottom"/>
          </w:tcPr>
          <w:p>
            <w:pPr>
              <w:pStyle w:val="TableContents"/>
              <w:bidi w:val="0"/>
              <w:spacing w:before="0" w:after="283"/>
              <w:jc w:val="left"/>
              <w:rPr/>
            </w:pPr>
            <w:r>
              <w:rPr/>
              <w:t> </w:t>
            </w:r>
          </w:p>
        </w:tc>
      </w:tr>
      <w:tr>
        <w:trPr/>
        <w:tc>
          <w:tcPr>
            <w:tcW w:w="341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Technology</w:t>
            </w:r>
          </w:p>
        </w:tc>
        <w:tc>
          <w:tcPr>
            <w:tcW w:w="60" w:type="dxa"/>
            <w:tcBorders/>
            <w:vAlign w:val="bottom"/>
          </w:tcPr>
          <w:p>
            <w:pPr>
              <w:pStyle w:val="TableContents"/>
              <w:bidi w:val="0"/>
              <w:spacing w:before="0" w:after="283"/>
              <w:jc w:val="right"/>
              <w:rPr/>
            </w:pPr>
            <w:r>
              <w:rPr/>
              <w:t> </w:t>
            </w:r>
          </w:p>
        </w:tc>
        <w:tc>
          <w:tcPr>
            <w:tcW w:w="212" w:type="dxa"/>
            <w:tcBorders/>
            <w:vAlign w:val="bottom"/>
          </w:tcPr>
          <w:p>
            <w:pPr>
              <w:pStyle w:val="TableContents"/>
              <w:bidi w:val="0"/>
              <w:spacing w:before="0" w:after="283"/>
              <w:jc w:val="left"/>
              <w:rPr/>
            </w:pPr>
            <w:r>
              <w:rPr/>
              <w:t> </w:t>
            </w:r>
          </w:p>
        </w:tc>
        <w:tc>
          <w:tcPr>
            <w:tcW w:w="1182" w:type="dxa"/>
            <w:tcBorders/>
            <w:vAlign w:val="bottom"/>
          </w:tcPr>
          <w:p>
            <w:pPr>
              <w:pStyle w:val="TableContents"/>
              <w:bidi w:val="0"/>
              <w:spacing w:before="0" w:after="283"/>
              <w:jc w:val="right"/>
              <w:rPr>
                <w:sz w:val="20"/>
              </w:rPr>
            </w:pPr>
            <w:r>
              <w:rPr>
                <w:sz w:val="20"/>
              </w:rPr>
              <w:t>74,193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c>
          <w:tcPr>
            <w:tcW w:w="1030" w:type="dxa"/>
            <w:tcBorders/>
            <w:vAlign w:val="bottom"/>
          </w:tcPr>
          <w:p>
            <w:pPr>
              <w:pStyle w:val="TableContents"/>
              <w:bidi w:val="0"/>
              <w:spacing w:before="0" w:after="283"/>
              <w:jc w:val="right"/>
              <w:rPr>
                <w:sz w:val="20"/>
              </w:rPr>
            </w:pPr>
            <w:r>
              <w:rPr>
                <w:sz w:val="20"/>
              </w:rPr>
              <w:t>(40,654</w:t>
            </w:r>
          </w:p>
        </w:tc>
        <w:tc>
          <w:tcPr>
            <w:tcW w:w="80" w:type="dxa"/>
            <w:tcBorders/>
            <w:vAlign w:val="bottom"/>
          </w:tcPr>
          <w:p>
            <w:pPr>
              <w:pStyle w:val="TableContents"/>
              <w:bidi w:val="0"/>
              <w:spacing w:before="0" w:after="283"/>
              <w:jc w:val="left"/>
              <w:rPr>
                <w:sz w:val="20"/>
              </w:rPr>
            </w:pPr>
            <w:r>
              <w:rPr>
                <w:sz w:val="20"/>
              </w:rPr>
              <w:t>)</w:t>
            </w:r>
          </w:p>
        </w:tc>
        <w:tc>
          <w:tcPr>
            <w:tcW w:w="60" w:type="dxa"/>
            <w:tcBorders/>
            <w:vAlign w:val="bottom"/>
          </w:tcPr>
          <w:p>
            <w:pPr>
              <w:pStyle w:val="TableContents"/>
              <w:bidi w:val="0"/>
              <w:spacing w:before="0" w:after="283"/>
              <w:jc w:val="right"/>
              <w:rPr/>
            </w:pPr>
            <w:r>
              <w:rPr/>
              <w:t> </w:t>
            </w:r>
          </w:p>
        </w:tc>
        <w:tc>
          <w:tcPr>
            <w:tcW w:w="128" w:type="dxa"/>
            <w:tcBorders/>
            <w:vAlign w:val="bottom"/>
          </w:tcPr>
          <w:p>
            <w:pPr>
              <w:pStyle w:val="TableContents"/>
              <w:bidi w:val="0"/>
              <w:spacing w:before="0" w:after="283"/>
              <w:jc w:val="left"/>
              <w:rPr/>
            </w:pPr>
            <w:r>
              <w:rPr/>
              <w:t> </w:t>
            </w:r>
          </w:p>
        </w:tc>
        <w:tc>
          <w:tcPr>
            <w:tcW w:w="711" w:type="dxa"/>
            <w:tcBorders/>
            <w:vAlign w:val="bottom"/>
          </w:tcPr>
          <w:p>
            <w:pPr>
              <w:pStyle w:val="TableContents"/>
              <w:bidi w:val="0"/>
              <w:spacing w:before="0" w:after="283"/>
              <w:jc w:val="right"/>
              <w:rPr>
                <w:sz w:val="20"/>
              </w:rPr>
            </w:pPr>
            <w:r>
              <w:rPr>
                <w:sz w:val="20"/>
              </w:rPr>
              <w:t>33,539</w:t>
            </w:r>
          </w:p>
        </w:tc>
        <w:tc>
          <w:tcPr>
            <w:tcW w:w="60" w:type="dxa"/>
            <w:tcBorders/>
            <w:vAlign w:val="bottom"/>
          </w:tcPr>
          <w:p>
            <w:pPr>
              <w:pStyle w:val="TableContents"/>
              <w:bidi w:val="0"/>
              <w:spacing w:before="0" w:after="283"/>
              <w:jc w:val="left"/>
              <w:rPr/>
            </w:pPr>
            <w:r>
              <w:rPr/>
              <w:t> </w:t>
            </w:r>
          </w:p>
        </w:tc>
      </w:tr>
      <w:tr>
        <w:trPr/>
        <w:tc>
          <w:tcPr>
            <w:tcW w:w="341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Publisher relationships</w:t>
            </w:r>
          </w:p>
        </w:tc>
        <w:tc>
          <w:tcPr>
            <w:tcW w:w="60" w:type="dxa"/>
            <w:tcBorders/>
            <w:shd w:fill="CCEEFF" w:val="clear"/>
            <w:vAlign w:val="bottom"/>
          </w:tcPr>
          <w:p>
            <w:pPr>
              <w:pStyle w:val="TableContents"/>
              <w:bidi w:val="0"/>
              <w:spacing w:before="0" w:after="283"/>
              <w:jc w:val="right"/>
              <w:rPr/>
            </w:pPr>
            <w:r>
              <w:rPr/>
              <w:t> </w:t>
            </w:r>
          </w:p>
        </w:tc>
        <w:tc>
          <w:tcPr>
            <w:tcW w:w="212" w:type="dxa"/>
            <w:tcBorders/>
            <w:shd w:fill="CCEEFF" w:val="clear"/>
            <w:vAlign w:val="bottom"/>
          </w:tcPr>
          <w:p>
            <w:pPr>
              <w:pStyle w:val="TableContents"/>
              <w:bidi w:val="0"/>
              <w:spacing w:before="0" w:after="283"/>
              <w:jc w:val="left"/>
              <w:rPr/>
            </w:pPr>
            <w:r>
              <w:rPr/>
              <w:t> </w:t>
            </w:r>
          </w:p>
        </w:tc>
        <w:tc>
          <w:tcPr>
            <w:tcW w:w="1182" w:type="dxa"/>
            <w:tcBorders/>
            <w:shd w:fill="CCEEFF" w:val="clear"/>
            <w:vAlign w:val="bottom"/>
          </w:tcPr>
          <w:p>
            <w:pPr>
              <w:pStyle w:val="TableContents"/>
              <w:bidi w:val="0"/>
              <w:spacing w:before="0" w:after="283"/>
              <w:jc w:val="right"/>
              <w:rPr>
                <w:sz w:val="20"/>
              </w:rPr>
            </w:pPr>
            <w:r>
              <w:rPr>
                <w:sz w:val="20"/>
              </w:rPr>
              <w:t>42,933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pPr>
            <w:r>
              <w:rPr/>
              <w:t> </w:t>
            </w:r>
          </w:p>
        </w:tc>
        <w:tc>
          <w:tcPr>
            <w:tcW w:w="1030" w:type="dxa"/>
            <w:tcBorders/>
            <w:shd w:fill="CCEEFF" w:val="clear"/>
            <w:vAlign w:val="bottom"/>
          </w:tcPr>
          <w:p>
            <w:pPr>
              <w:pStyle w:val="TableContents"/>
              <w:bidi w:val="0"/>
              <w:spacing w:before="0" w:after="283"/>
              <w:jc w:val="right"/>
              <w:rPr>
                <w:sz w:val="20"/>
              </w:rPr>
            </w:pPr>
            <w:r>
              <w:rPr>
                <w:sz w:val="20"/>
              </w:rPr>
              <w:t>(22,361</w:t>
            </w:r>
          </w:p>
        </w:tc>
        <w:tc>
          <w:tcPr>
            <w:tcW w:w="80" w:type="dxa"/>
            <w:tcBorders/>
            <w:shd w:fill="CCEEFF" w:val="clear"/>
            <w:vAlign w:val="bottom"/>
          </w:tcPr>
          <w:p>
            <w:pPr>
              <w:pStyle w:val="TableContents"/>
              <w:bidi w:val="0"/>
              <w:spacing w:before="0" w:after="283"/>
              <w:jc w:val="left"/>
              <w:rPr>
                <w:sz w:val="20"/>
              </w:rPr>
            </w:pPr>
            <w:r>
              <w:rPr>
                <w:sz w:val="20"/>
              </w:rPr>
              <w:t>)</w:t>
            </w:r>
          </w:p>
        </w:tc>
        <w:tc>
          <w:tcPr>
            <w:tcW w:w="60" w:type="dxa"/>
            <w:tcBorders/>
            <w:shd w:fill="CCEEFF" w:val="clear"/>
            <w:vAlign w:val="bottom"/>
          </w:tcPr>
          <w:p>
            <w:pPr>
              <w:pStyle w:val="TableContents"/>
              <w:bidi w:val="0"/>
              <w:spacing w:before="0" w:after="283"/>
              <w:jc w:val="right"/>
              <w:rPr/>
            </w:pPr>
            <w:r>
              <w:rPr/>
              <w:t> </w:t>
            </w:r>
          </w:p>
        </w:tc>
        <w:tc>
          <w:tcPr>
            <w:tcW w:w="128" w:type="dxa"/>
            <w:tcBorders/>
            <w:shd w:fill="CCEEFF" w:val="clear"/>
            <w:vAlign w:val="bottom"/>
          </w:tcPr>
          <w:p>
            <w:pPr>
              <w:pStyle w:val="TableContents"/>
              <w:bidi w:val="0"/>
              <w:spacing w:before="0" w:after="283"/>
              <w:jc w:val="left"/>
              <w:rPr/>
            </w:pPr>
            <w:r>
              <w:rPr/>
              <w:t> </w:t>
            </w:r>
          </w:p>
        </w:tc>
        <w:tc>
          <w:tcPr>
            <w:tcW w:w="711" w:type="dxa"/>
            <w:tcBorders/>
            <w:shd w:fill="CCEEFF" w:val="clear"/>
            <w:vAlign w:val="bottom"/>
          </w:tcPr>
          <w:p>
            <w:pPr>
              <w:pStyle w:val="TableContents"/>
              <w:bidi w:val="0"/>
              <w:spacing w:before="0" w:after="283"/>
              <w:jc w:val="right"/>
              <w:rPr>
                <w:sz w:val="20"/>
              </w:rPr>
            </w:pPr>
            <w:r>
              <w:rPr>
                <w:sz w:val="20"/>
              </w:rPr>
              <w:t>20,572</w:t>
            </w:r>
          </w:p>
        </w:tc>
        <w:tc>
          <w:tcPr>
            <w:tcW w:w="60" w:type="dxa"/>
            <w:tcBorders/>
            <w:shd w:fill="CCEEFF" w:val="clear"/>
            <w:vAlign w:val="bottom"/>
          </w:tcPr>
          <w:p>
            <w:pPr>
              <w:pStyle w:val="TableContents"/>
              <w:bidi w:val="0"/>
              <w:spacing w:before="0" w:after="283"/>
              <w:jc w:val="left"/>
              <w:rPr/>
            </w:pPr>
            <w:r>
              <w:rPr/>
              <w:t> </w:t>
            </w:r>
          </w:p>
        </w:tc>
      </w:tr>
      <w:tr>
        <w:trPr/>
        <w:tc>
          <w:tcPr>
            <w:tcW w:w="341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Tradenames</w:t>
            </w:r>
          </w:p>
        </w:tc>
        <w:tc>
          <w:tcPr>
            <w:tcW w:w="60" w:type="dxa"/>
            <w:tcBorders/>
            <w:vAlign w:val="bottom"/>
          </w:tcPr>
          <w:p>
            <w:pPr>
              <w:pStyle w:val="TableContents"/>
              <w:bidi w:val="0"/>
              <w:spacing w:before="0" w:after="283"/>
              <w:jc w:val="right"/>
              <w:rPr/>
            </w:pPr>
            <w:r>
              <w:rPr/>
              <w:t> </w:t>
            </w:r>
          </w:p>
        </w:tc>
        <w:tc>
          <w:tcPr>
            <w:tcW w:w="212" w:type="dxa"/>
            <w:tcBorders/>
            <w:vAlign w:val="bottom"/>
          </w:tcPr>
          <w:p>
            <w:pPr>
              <w:pStyle w:val="TableContents"/>
              <w:bidi w:val="0"/>
              <w:spacing w:before="0" w:after="283"/>
              <w:jc w:val="left"/>
              <w:rPr/>
            </w:pPr>
            <w:r>
              <w:rPr/>
              <w:t> </w:t>
            </w:r>
          </w:p>
        </w:tc>
        <w:tc>
          <w:tcPr>
            <w:tcW w:w="1182" w:type="dxa"/>
            <w:tcBorders/>
            <w:vAlign w:val="bottom"/>
          </w:tcPr>
          <w:p>
            <w:pPr>
              <w:pStyle w:val="TableContents"/>
              <w:bidi w:val="0"/>
              <w:spacing w:before="0" w:after="283"/>
              <w:jc w:val="right"/>
              <w:rPr>
                <w:sz w:val="20"/>
              </w:rPr>
            </w:pPr>
            <w:r>
              <w:rPr>
                <w:sz w:val="20"/>
              </w:rPr>
              <w:t>24,097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c>
          <w:tcPr>
            <w:tcW w:w="1030" w:type="dxa"/>
            <w:tcBorders/>
            <w:vAlign w:val="bottom"/>
          </w:tcPr>
          <w:p>
            <w:pPr>
              <w:pStyle w:val="TableContents"/>
              <w:bidi w:val="0"/>
              <w:spacing w:before="0" w:after="283"/>
              <w:jc w:val="right"/>
              <w:rPr>
                <w:sz w:val="20"/>
              </w:rPr>
            </w:pPr>
            <w:r>
              <w:rPr>
                <w:sz w:val="20"/>
              </w:rPr>
              <w:t>(16,727</w:t>
            </w:r>
          </w:p>
        </w:tc>
        <w:tc>
          <w:tcPr>
            <w:tcW w:w="80" w:type="dxa"/>
            <w:tcBorders/>
            <w:vAlign w:val="bottom"/>
          </w:tcPr>
          <w:p>
            <w:pPr>
              <w:pStyle w:val="TableContents"/>
              <w:bidi w:val="0"/>
              <w:spacing w:before="0" w:after="283"/>
              <w:jc w:val="left"/>
              <w:rPr>
                <w:sz w:val="20"/>
              </w:rPr>
            </w:pPr>
            <w:r>
              <w:rPr>
                <w:sz w:val="20"/>
              </w:rPr>
              <w:t>)</w:t>
            </w:r>
          </w:p>
        </w:tc>
        <w:tc>
          <w:tcPr>
            <w:tcW w:w="60" w:type="dxa"/>
            <w:tcBorders/>
            <w:vAlign w:val="bottom"/>
          </w:tcPr>
          <w:p>
            <w:pPr>
              <w:pStyle w:val="TableContents"/>
              <w:bidi w:val="0"/>
              <w:spacing w:before="0" w:after="283"/>
              <w:jc w:val="right"/>
              <w:rPr/>
            </w:pPr>
            <w:r>
              <w:rPr/>
              <w:t> </w:t>
            </w:r>
          </w:p>
        </w:tc>
        <w:tc>
          <w:tcPr>
            <w:tcW w:w="128" w:type="dxa"/>
            <w:tcBorders/>
            <w:vAlign w:val="bottom"/>
          </w:tcPr>
          <w:p>
            <w:pPr>
              <w:pStyle w:val="TableContents"/>
              <w:bidi w:val="0"/>
              <w:spacing w:before="0" w:after="283"/>
              <w:jc w:val="left"/>
              <w:rPr/>
            </w:pPr>
            <w:r>
              <w:rPr/>
              <w:t> </w:t>
            </w:r>
          </w:p>
        </w:tc>
        <w:tc>
          <w:tcPr>
            <w:tcW w:w="711" w:type="dxa"/>
            <w:tcBorders/>
            <w:vAlign w:val="bottom"/>
          </w:tcPr>
          <w:p>
            <w:pPr>
              <w:pStyle w:val="TableContents"/>
              <w:bidi w:val="0"/>
              <w:spacing w:before="0" w:after="283"/>
              <w:jc w:val="right"/>
              <w:rPr>
                <w:sz w:val="20"/>
              </w:rPr>
            </w:pPr>
            <w:r>
              <w:rPr>
                <w:sz w:val="20"/>
              </w:rPr>
              <w:t>7,370</w:t>
            </w:r>
          </w:p>
        </w:tc>
        <w:tc>
          <w:tcPr>
            <w:tcW w:w="60" w:type="dxa"/>
            <w:tcBorders/>
            <w:vAlign w:val="bottom"/>
          </w:tcPr>
          <w:p>
            <w:pPr>
              <w:pStyle w:val="TableContents"/>
              <w:bidi w:val="0"/>
              <w:spacing w:before="0" w:after="283"/>
              <w:jc w:val="left"/>
              <w:rPr/>
            </w:pPr>
            <w:r>
              <w:rPr/>
              <w:t> </w:t>
            </w:r>
          </w:p>
        </w:tc>
      </w:tr>
      <w:tr>
        <w:trPr/>
        <w:tc>
          <w:tcPr>
            <w:tcW w:w="341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Customer relationships</w:t>
            </w:r>
          </w:p>
        </w:tc>
        <w:tc>
          <w:tcPr>
            <w:tcW w:w="60" w:type="dxa"/>
            <w:tcBorders/>
            <w:shd w:fill="CCEEFF" w:val="clear"/>
            <w:vAlign w:val="bottom"/>
          </w:tcPr>
          <w:p>
            <w:pPr>
              <w:pStyle w:val="TableContents"/>
              <w:bidi w:val="0"/>
              <w:spacing w:before="0" w:after="283"/>
              <w:jc w:val="right"/>
              <w:rPr/>
            </w:pPr>
            <w:r>
              <w:rPr/>
              <w:t> </w:t>
            </w:r>
          </w:p>
        </w:tc>
        <w:tc>
          <w:tcPr>
            <w:tcW w:w="21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182" w:type="dxa"/>
            <w:tcBorders>
              <w:bottom w:val="single" w:sz="12" w:space="0" w:color="000000"/>
            </w:tcBorders>
            <w:shd w:fill="CCEEFF" w:val="clear"/>
            <w:tcMar>
              <w:bottom w:w="28" w:type="dxa"/>
            </w:tcMar>
            <w:vAlign w:val="bottom"/>
          </w:tcPr>
          <w:p>
            <w:pPr>
              <w:pStyle w:val="TableContents"/>
              <w:bidi w:val="0"/>
              <w:spacing w:before="0" w:after="283"/>
              <w:jc w:val="right"/>
              <w:rPr>
                <w:sz w:val="20"/>
              </w:rPr>
            </w:pPr>
            <w:r>
              <w:rPr>
                <w:sz w:val="20"/>
              </w:rPr>
              <w:t>13,146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30" w:type="dxa"/>
            <w:tcBorders>
              <w:bottom w:val="single" w:sz="12" w:space="0" w:color="000000"/>
            </w:tcBorders>
            <w:shd w:fill="CCEEFF" w:val="clear"/>
            <w:tcMar>
              <w:bottom w:w="28" w:type="dxa"/>
            </w:tcMar>
            <w:vAlign w:val="bottom"/>
          </w:tcPr>
          <w:p>
            <w:pPr>
              <w:pStyle w:val="TableContents"/>
              <w:bidi w:val="0"/>
              <w:spacing w:before="0" w:after="283"/>
              <w:jc w:val="right"/>
              <w:rPr>
                <w:sz w:val="20"/>
              </w:rPr>
            </w:pPr>
            <w:r>
              <w:rPr>
                <w:sz w:val="20"/>
              </w:rPr>
              <w:t>(12,093</w:t>
            </w:r>
          </w:p>
        </w:tc>
        <w:tc>
          <w:tcPr>
            <w:tcW w:w="80" w:type="dxa"/>
            <w:tcBorders/>
            <w:shd w:fill="CCEEFF" w:val="clear"/>
            <w:vAlign w:val="bottom"/>
          </w:tcPr>
          <w:p>
            <w:pPr>
              <w:pStyle w:val="TableContents"/>
              <w:bidi w:val="0"/>
              <w:spacing w:before="0" w:after="283"/>
              <w:jc w:val="left"/>
              <w:rPr>
                <w:sz w:val="20"/>
              </w:rPr>
            </w:pPr>
            <w:r>
              <w:rPr>
                <w:sz w:val="20"/>
              </w:rPr>
              <w:t>)</w:t>
            </w:r>
          </w:p>
        </w:tc>
        <w:tc>
          <w:tcPr>
            <w:tcW w:w="60" w:type="dxa"/>
            <w:tcBorders/>
            <w:shd w:fill="CCEEFF" w:val="clear"/>
            <w:vAlign w:val="bottom"/>
          </w:tcPr>
          <w:p>
            <w:pPr>
              <w:pStyle w:val="TableContents"/>
              <w:bidi w:val="0"/>
              <w:spacing w:before="0" w:after="283"/>
              <w:jc w:val="right"/>
              <w:rPr/>
            </w:pPr>
            <w:r>
              <w:rPr/>
              <w:t> </w:t>
            </w:r>
          </w:p>
        </w:tc>
        <w:tc>
          <w:tcPr>
            <w:tcW w:w="128"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11" w:type="dxa"/>
            <w:tcBorders>
              <w:bottom w:val="single" w:sz="12" w:space="0" w:color="000000"/>
            </w:tcBorders>
            <w:shd w:fill="CCEEFF" w:val="clear"/>
            <w:tcMar>
              <w:bottom w:w="28" w:type="dxa"/>
            </w:tcMar>
            <w:vAlign w:val="bottom"/>
          </w:tcPr>
          <w:p>
            <w:pPr>
              <w:pStyle w:val="TableContents"/>
              <w:bidi w:val="0"/>
              <w:spacing w:before="0" w:after="283"/>
              <w:jc w:val="right"/>
              <w:rPr>
                <w:sz w:val="20"/>
              </w:rPr>
            </w:pPr>
            <w:r>
              <w:rPr>
                <w:sz w:val="20"/>
              </w:rPr>
              <w:t>1,053</w:t>
            </w:r>
          </w:p>
        </w:tc>
        <w:tc>
          <w:tcPr>
            <w:tcW w:w="60" w:type="dxa"/>
            <w:tcBorders/>
            <w:shd w:fill="CCEEFF" w:val="clear"/>
            <w:vAlign w:val="bottom"/>
          </w:tcPr>
          <w:p>
            <w:pPr>
              <w:pStyle w:val="TableContents"/>
              <w:bidi w:val="0"/>
              <w:spacing w:before="0" w:after="283"/>
              <w:jc w:val="left"/>
              <w:rPr/>
            </w:pPr>
            <w:r>
              <w:rPr/>
              <w:t> </w:t>
            </w:r>
          </w:p>
        </w:tc>
      </w:tr>
      <w:tr>
        <w:trPr/>
        <w:tc>
          <w:tcPr>
            <w:tcW w:w="341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Total</w:t>
            </w:r>
          </w:p>
        </w:tc>
        <w:tc>
          <w:tcPr>
            <w:tcW w:w="60" w:type="dxa"/>
            <w:tcBorders/>
            <w:vAlign w:val="bottom"/>
          </w:tcPr>
          <w:p>
            <w:pPr>
              <w:pStyle w:val="TableContents"/>
              <w:bidi w:val="0"/>
              <w:spacing w:before="0" w:after="283"/>
              <w:jc w:val="right"/>
              <w:rPr/>
            </w:pPr>
            <w:r>
              <w:rPr/>
              <w:t> </w:t>
            </w:r>
          </w:p>
        </w:tc>
        <w:tc>
          <w:tcPr>
            <w:tcW w:w="212" w:type="dxa"/>
            <w:tcBorders>
              <w:bottom w:val="single" w:sz="12" w:space="0" w:color="000000"/>
            </w:tcBorders>
            <w:tcMar>
              <w:bottom w:w="28" w:type="dxa"/>
            </w:tcMar>
            <w:vAlign w:val="bottom"/>
          </w:tcPr>
          <w:p>
            <w:pPr>
              <w:pStyle w:val="TableContents"/>
              <w:bidi w:val="0"/>
              <w:spacing w:before="0" w:after="283"/>
              <w:jc w:val="left"/>
              <w:rPr>
                <w:sz w:val="20"/>
              </w:rPr>
            </w:pPr>
            <w:r>
              <w:rPr>
                <w:sz w:val="20"/>
              </w:rPr>
              <w:t>$</w:t>
            </w:r>
          </w:p>
        </w:tc>
        <w:tc>
          <w:tcPr>
            <w:tcW w:w="1182" w:type="dxa"/>
            <w:tcBorders>
              <w:bottom w:val="single" w:sz="12" w:space="0" w:color="000000"/>
            </w:tcBorders>
            <w:tcMar>
              <w:bottom w:w="28" w:type="dxa"/>
            </w:tcMar>
            <w:vAlign w:val="bottom"/>
          </w:tcPr>
          <w:p>
            <w:pPr>
              <w:pStyle w:val="TableContents"/>
              <w:bidi w:val="0"/>
              <w:spacing w:before="0" w:after="283"/>
              <w:jc w:val="right"/>
              <w:rPr>
                <w:sz w:val="20"/>
              </w:rPr>
            </w:pPr>
            <w:r>
              <w:rPr>
                <w:sz w:val="20"/>
              </w:rPr>
              <w:t>300,916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sz w:val="20"/>
              </w:rPr>
            </w:pPr>
            <w:r>
              <w:rPr>
                <w:sz w:val="20"/>
              </w:rPr>
              <w:t>$</w:t>
            </w:r>
          </w:p>
        </w:tc>
        <w:tc>
          <w:tcPr>
            <w:tcW w:w="1030" w:type="dxa"/>
            <w:tcBorders>
              <w:bottom w:val="single" w:sz="12" w:space="0" w:color="000000"/>
            </w:tcBorders>
            <w:tcMar>
              <w:bottom w:w="28" w:type="dxa"/>
            </w:tcMar>
            <w:vAlign w:val="bottom"/>
          </w:tcPr>
          <w:p>
            <w:pPr>
              <w:pStyle w:val="TableContents"/>
              <w:bidi w:val="0"/>
              <w:spacing w:before="0" w:after="283"/>
              <w:jc w:val="right"/>
              <w:rPr>
                <w:sz w:val="20"/>
              </w:rPr>
            </w:pPr>
            <w:r>
              <w:rPr>
                <w:sz w:val="20"/>
              </w:rPr>
              <w:t>(159,681</w:t>
            </w:r>
          </w:p>
        </w:tc>
        <w:tc>
          <w:tcPr>
            <w:tcW w:w="80" w:type="dxa"/>
            <w:tcBorders/>
            <w:vAlign w:val="bottom"/>
          </w:tcPr>
          <w:p>
            <w:pPr>
              <w:pStyle w:val="TableContents"/>
              <w:bidi w:val="0"/>
              <w:spacing w:before="0" w:after="283"/>
              <w:jc w:val="left"/>
              <w:rPr>
                <w:sz w:val="20"/>
              </w:rPr>
            </w:pPr>
            <w:r>
              <w:rPr>
                <w:sz w:val="20"/>
              </w:rPr>
              <w:t>)</w:t>
            </w:r>
          </w:p>
        </w:tc>
        <w:tc>
          <w:tcPr>
            <w:tcW w:w="60" w:type="dxa"/>
            <w:tcBorders/>
            <w:vAlign w:val="bottom"/>
          </w:tcPr>
          <w:p>
            <w:pPr>
              <w:pStyle w:val="TableContents"/>
              <w:bidi w:val="0"/>
              <w:spacing w:before="0" w:after="283"/>
              <w:jc w:val="right"/>
              <w:rPr/>
            </w:pPr>
            <w:r>
              <w:rPr/>
              <w:t> </w:t>
            </w:r>
          </w:p>
        </w:tc>
        <w:tc>
          <w:tcPr>
            <w:tcW w:w="128" w:type="dxa"/>
            <w:tcBorders>
              <w:bottom w:val="single" w:sz="12" w:space="0" w:color="000000"/>
            </w:tcBorders>
            <w:tcMar>
              <w:bottom w:w="28" w:type="dxa"/>
            </w:tcMar>
            <w:vAlign w:val="bottom"/>
          </w:tcPr>
          <w:p>
            <w:pPr>
              <w:pStyle w:val="TableContents"/>
              <w:bidi w:val="0"/>
              <w:spacing w:before="0" w:after="283"/>
              <w:jc w:val="left"/>
              <w:rPr>
                <w:sz w:val="20"/>
              </w:rPr>
            </w:pPr>
            <w:r>
              <w:rPr>
                <w:sz w:val="20"/>
              </w:rPr>
              <w:t>$</w:t>
            </w:r>
          </w:p>
        </w:tc>
        <w:tc>
          <w:tcPr>
            <w:tcW w:w="711" w:type="dxa"/>
            <w:tcBorders>
              <w:bottom w:val="single" w:sz="12" w:space="0" w:color="000000"/>
            </w:tcBorders>
            <w:tcMar>
              <w:bottom w:w="28" w:type="dxa"/>
            </w:tcMar>
            <w:vAlign w:val="bottom"/>
          </w:tcPr>
          <w:p>
            <w:pPr>
              <w:pStyle w:val="TableContents"/>
              <w:bidi w:val="0"/>
              <w:spacing w:before="0" w:after="283"/>
              <w:jc w:val="right"/>
              <w:rPr>
                <w:sz w:val="20"/>
              </w:rPr>
            </w:pPr>
            <w:r>
              <w:rPr>
                <w:sz w:val="20"/>
              </w:rPr>
              <w:t>141,235</w:t>
            </w:r>
          </w:p>
        </w:tc>
        <w:tc>
          <w:tcPr>
            <w:tcW w:w="60" w:type="dxa"/>
            <w:tcBorders/>
            <w:vAlign w:val="bottom"/>
          </w:tcPr>
          <w:p>
            <w:pPr>
              <w:pStyle w:val="TableContents"/>
              <w:bidi w:val="0"/>
              <w:spacing w:before="0" w:after="283"/>
              <w:jc w:val="left"/>
              <w:rPr/>
            </w:pPr>
            <w:r>
              <w:rPr/>
              <w:t> </w:t>
            </w:r>
          </w:p>
        </w:tc>
      </w:tr>
    </w:tbl>
    <w:p>
      <w:pPr>
        <w:pStyle w:val="TextBody"/>
        <w:bidi w:val="0"/>
        <w:spacing w:before="0" w:after="0"/>
        <w:ind w:left="1170" w:right="0" w:hanging="0"/>
        <w:jc w:val="left"/>
        <w:rPr>
          <w:rFonts w:ascii="Times New Roman" w:hAnsi="Times New Roman"/>
          <w:color w:val="000000"/>
          <w:sz w:val="18"/>
          <w:shd w:fill="FFFFFF" w:val="clear"/>
        </w:rPr>
      </w:pPr>
      <w:r>
        <w:rPr>
          <w:rFonts w:ascii="Times New Roman" w:hAnsi="Times New Roman"/>
          <w:b w:val="false"/>
          <w:i w:val="false"/>
          <w:caps w:val="false"/>
          <w:smallCaps w:val="false"/>
          <w:color w:val="000000"/>
          <w:sz w:val="20"/>
          <w:shd w:fill="FFFFFF" w:val="clear"/>
        </w:rPr>
        <w:t>The following is a summary of definite-lived intangible assets, net as of December 31, 2022:</w:t>
      </w:r>
      <w:r>
        <w:rPr>
          <w:rFonts w:ascii="Times New Roman" w:hAnsi="Times New Roman"/>
          <w:color w:val="000000"/>
          <w:sz w:val="18"/>
          <w:shd w:fill="FFFFFF" w:val="clear"/>
        </w:rPr>
        <w:t xml:space="preserve"> </w:t>
      </w:r>
    </w:p>
    <w:p>
      <w:pPr>
        <w:pStyle w:val="TextBody"/>
        <w:bidi w:val="0"/>
        <w:spacing w:before="0" w:after="0"/>
        <w:ind w:left="1170" w:right="0" w:hanging="0"/>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r>
    </w:p>
    <w:tbl>
      <w:tblPr>
        <w:tblW w:w="7223" w:type="dxa"/>
        <w:jc w:val="left"/>
        <w:tblInd w:w="1170" w:type="dxa"/>
        <w:tblLayout w:type="fixed"/>
        <w:tblCellMar>
          <w:top w:w="0" w:type="dxa"/>
          <w:left w:w="0" w:type="dxa"/>
          <w:bottom w:w="0" w:type="dxa"/>
          <w:right w:w="0" w:type="dxa"/>
        </w:tblCellMar>
      </w:tblPr>
      <w:tblGrid>
        <w:gridCol w:w="3410"/>
        <w:gridCol w:w="60"/>
        <w:gridCol w:w="212"/>
        <w:gridCol w:w="1182"/>
        <w:gridCol w:w="60"/>
        <w:gridCol w:w="60"/>
        <w:gridCol w:w="170"/>
        <w:gridCol w:w="1030"/>
        <w:gridCol w:w="80"/>
        <w:gridCol w:w="60"/>
        <w:gridCol w:w="128"/>
        <w:gridCol w:w="711"/>
        <w:gridCol w:w="60"/>
      </w:tblGrid>
      <w:tr>
        <w:trPr/>
        <w:tc>
          <w:tcPr>
            <w:tcW w:w="3410" w:type="dxa"/>
            <w:tcBorders/>
            <w:vAlign w:val="center"/>
          </w:tcPr>
          <w:p>
            <w:pPr>
              <w:pStyle w:val="TableContents"/>
              <w:bidi w:val="0"/>
              <w:spacing w:before="0" w:after="0"/>
              <w:jc w:val="left"/>
              <w:rPr/>
            </w:pPr>
            <w:r>
              <w:rPr/>
              <w:t> </w:t>
            </w:r>
          </w:p>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r>
          </w:p>
        </w:tc>
        <w:tc>
          <w:tcPr>
            <w:tcW w:w="60" w:type="dxa"/>
            <w:tcBorders/>
            <w:vAlign w:val="bottom"/>
          </w:tcPr>
          <w:p>
            <w:pPr>
              <w:pStyle w:val="TableContents"/>
              <w:bidi w:val="0"/>
              <w:spacing w:before="0" w:after="283"/>
              <w:jc w:val="left"/>
              <w:rPr/>
            </w:pPr>
            <w:r>
              <w:rPr/>
              <w:t> </w:t>
            </w:r>
          </w:p>
        </w:tc>
        <w:tc>
          <w:tcPr>
            <w:tcW w:w="1394" w:type="dxa"/>
            <w:gridSpan w:val="2"/>
            <w:tcBorders>
              <w:bottom w:val="single" w:sz="12" w:space="0" w:color="000000"/>
            </w:tcBorders>
            <w:tcMar>
              <w:bottom w:w="28" w:type="dxa"/>
            </w:tcMar>
            <w:vAlign w:val="bottom"/>
          </w:tcPr>
          <w:p>
            <w:pPr>
              <w:pStyle w:val="TableContents"/>
              <w:bidi w:val="0"/>
              <w:spacing w:before="0" w:after="0"/>
              <w:ind w:left="0" w:right="0" w:firstLine="40"/>
              <w:jc w:val="center"/>
              <w:rPr>
                <w:rFonts w:ascii="Times New Roman" w:hAnsi="Times New Roman"/>
                <w:b/>
                <w:color w:val="000000"/>
                <w:sz w:val="20"/>
              </w:rPr>
            </w:pPr>
            <w:r>
              <w:rPr>
                <w:rFonts w:ascii="Times New Roman" w:hAnsi="Times New Roman"/>
                <w:b/>
                <w:color w:val="000000"/>
                <w:sz w:val="20"/>
              </w:rPr>
              <w:t>Gross Carrying</w:t>
            </w:r>
          </w:p>
          <w:p>
            <w:pPr>
              <w:pStyle w:val="TableContents"/>
              <w:bidi w:val="0"/>
              <w:spacing w:before="0" w:after="0"/>
              <w:ind w:left="0" w:right="0" w:firstLine="40"/>
              <w:jc w:val="center"/>
              <w:rPr>
                <w:rFonts w:ascii="Times New Roman" w:hAnsi="Times New Roman"/>
                <w:b/>
                <w:color w:val="000000"/>
                <w:sz w:val="20"/>
              </w:rPr>
            </w:pPr>
            <w:r>
              <w:rPr>
                <w:rFonts w:ascii="Times New Roman" w:hAnsi="Times New Roman"/>
                <w:b/>
                <w:color w:val="000000"/>
                <w:sz w:val="20"/>
              </w:rPr>
              <w:t>Amount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00" w:type="dxa"/>
            <w:gridSpan w:val="2"/>
            <w:tcBorders>
              <w:bottom w:val="single" w:sz="12" w:space="0" w:color="000000"/>
            </w:tcBorders>
            <w:tcMar>
              <w:bottom w:w="28" w:type="dxa"/>
            </w:tcMar>
            <w:vAlign w:val="bottom"/>
          </w:tcPr>
          <w:p>
            <w:pPr>
              <w:pStyle w:val="TableContents"/>
              <w:bidi w:val="0"/>
              <w:spacing w:before="0" w:after="0"/>
              <w:ind w:left="0" w:right="0" w:firstLine="40"/>
              <w:jc w:val="center"/>
              <w:rPr>
                <w:rFonts w:ascii="Times New Roman" w:hAnsi="Times New Roman"/>
                <w:b/>
                <w:color w:val="000000"/>
                <w:sz w:val="20"/>
              </w:rPr>
            </w:pPr>
            <w:r>
              <w:rPr>
                <w:rFonts w:ascii="Times New Roman" w:hAnsi="Times New Roman"/>
                <w:b/>
                <w:color w:val="000000"/>
                <w:sz w:val="20"/>
              </w:rPr>
              <w:t>Accumulated</w:t>
            </w:r>
          </w:p>
          <w:p>
            <w:pPr>
              <w:pStyle w:val="TableContents"/>
              <w:bidi w:val="0"/>
              <w:spacing w:before="0" w:after="0"/>
              <w:ind w:left="0" w:right="0" w:firstLine="40"/>
              <w:jc w:val="center"/>
              <w:rPr>
                <w:rFonts w:ascii="Times New Roman" w:hAnsi="Times New Roman"/>
                <w:b/>
                <w:color w:val="000000"/>
                <w:sz w:val="20"/>
              </w:rPr>
            </w:pPr>
            <w:r>
              <w:rPr>
                <w:rFonts w:ascii="Times New Roman" w:hAnsi="Times New Roman"/>
                <w:b/>
                <w:color w:val="000000"/>
                <w:sz w:val="20"/>
              </w:rPr>
              <w:t>Amortization</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39" w:type="dxa"/>
            <w:gridSpan w:val="2"/>
            <w:tcBorders>
              <w:bottom w:val="single" w:sz="12" w:space="0" w:color="000000"/>
            </w:tcBorders>
            <w:tcMar>
              <w:bottom w:w="28" w:type="dxa"/>
            </w:tcMar>
            <w:vAlign w:val="bottom"/>
          </w:tcPr>
          <w:p>
            <w:pPr>
              <w:pStyle w:val="TableContents"/>
              <w:bidi w:val="0"/>
              <w:spacing w:before="0" w:after="0"/>
              <w:ind w:left="0" w:right="0" w:firstLine="40"/>
              <w:jc w:val="center"/>
              <w:rPr>
                <w:rFonts w:ascii="Times New Roman" w:hAnsi="Times New Roman"/>
                <w:b/>
                <w:color w:val="000000"/>
                <w:sz w:val="20"/>
              </w:rPr>
            </w:pPr>
            <w:r>
              <w:rPr>
                <w:rFonts w:ascii="Times New Roman" w:hAnsi="Times New Roman"/>
                <w:b/>
                <w:color w:val="000000"/>
                <w:sz w:val="20"/>
              </w:rPr>
              <w:t>Net Book</w:t>
            </w:r>
          </w:p>
          <w:p>
            <w:pPr>
              <w:pStyle w:val="TableContents"/>
              <w:bidi w:val="0"/>
              <w:spacing w:before="0" w:after="0"/>
              <w:ind w:left="0" w:right="0" w:firstLine="40"/>
              <w:jc w:val="center"/>
              <w:rPr>
                <w:rFonts w:ascii="Times New Roman" w:hAnsi="Times New Roman"/>
                <w:b/>
                <w:color w:val="000000"/>
                <w:sz w:val="20"/>
              </w:rPr>
            </w:pPr>
            <w:r>
              <w:rPr>
                <w:rFonts w:ascii="Times New Roman" w:hAnsi="Times New Roman"/>
                <w:b/>
                <w:color w:val="000000"/>
                <w:sz w:val="20"/>
              </w:rPr>
              <w:t>Value</w:t>
            </w:r>
          </w:p>
        </w:tc>
        <w:tc>
          <w:tcPr>
            <w:tcW w:w="60" w:type="dxa"/>
            <w:tcBorders/>
            <w:vAlign w:val="bottom"/>
          </w:tcPr>
          <w:p>
            <w:pPr>
              <w:pStyle w:val="TableContents"/>
              <w:bidi w:val="0"/>
              <w:spacing w:before="0" w:after="283"/>
              <w:jc w:val="left"/>
              <w:rPr/>
            </w:pPr>
            <w:r>
              <w:rPr/>
              <w:t> </w:t>
            </w:r>
          </w:p>
        </w:tc>
      </w:tr>
      <w:tr>
        <w:trPr/>
        <w:tc>
          <w:tcPr>
            <w:tcW w:w="341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Merchant / Network affiliate relationships</w:t>
            </w:r>
          </w:p>
        </w:tc>
        <w:tc>
          <w:tcPr>
            <w:tcW w:w="60" w:type="dxa"/>
            <w:tcBorders/>
            <w:shd w:fill="CCEEFF" w:val="clear"/>
            <w:vAlign w:val="bottom"/>
          </w:tcPr>
          <w:p>
            <w:pPr>
              <w:pStyle w:val="TableContents"/>
              <w:bidi w:val="0"/>
              <w:spacing w:before="0" w:after="283"/>
              <w:jc w:val="right"/>
              <w:rPr/>
            </w:pPr>
            <w:r>
              <w:rPr/>
              <w:t> </w:t>
            </w:r>
          </w:p>
        </w:tc>
        <w:tc>
          <w:tcPr>
            <w:tcW w:w="212"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182"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146,547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03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(43,421</w:t>
            </w:r>
          </w:p>
        </w:tc>
        <w:tc>
          <w:tcPr>
            <w:tcW w:w="8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right"/>
              <w:rPr/>
            </w:pPr>
            <w:r>
              <w:rPr/>
              <w:t> </w:t>
            </w:r>
          </w:p>
        </w:tc>
        <w:tc>
          <w:tcPr>
            <w:tcW w:w="128"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711"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103,126</w:t>
            </w:r>
          </w:p>
        </w:tc>
        <w:tc>
          <w:tcPr>
            <w:tcW w:w="60" w:type="dxa"/>
            <w:tcBorders/>
            <w:shd w:fill="CCEEFF" w:val="clear"/>
            <w:vAlign w:val="bottom"/>
          </w:tcPr>
          <w:p>
            <w:pPr>
              <w:pStyle w:val="TableContents"/>
              <w:bidi w:val="0"/>
              <w:spacing w:before="0" w:after="283"/>
              <w:jc w:val="left"/>
              <w:rPr/>
            </w:pPr>
            <w:r>
              <w:rPr/>
              <w:t> </w:t>
            </w:r>
          </w:p>
        </w:tc>
      </w:tr>
      <w:tr>
        <w:trPr/>
        <w:tc>
          <w:tcPr>
            <w:tcW w:w="341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Technology</w:t>
            </w:r>
          </w:p>
        </w:tc>
        <w:tc>
          <w:tcPr>
            <w:tcW w:w="60" w:type="dxa"/>
            <w:tcBorders/>
            <w:vAlign w:val="bottom"/>
          </w:tcPr>
          <w:p>
            <w:pPr>
              <w:pStyle w:val="TableContents"/>
              <w:bidi w:val="0"/>
              <w:spacing w:before="0" w:after="283"/>
              <w:jc w:val="right"/>
              <w:rPr/>
            </w:pPr>
            <w:r>
              <w:rPr/>
              <w:t> </w:t>
            </w:r>
          </w:p>
        </w:tc>
        <w:tc>
          <w:tcPr>
            <w:tcW w:w="212" w:type="dxa"/>
            <w:tcBorders/>
            <w:vAlign w:val="bottom"/>
          </w:tcPr>
          <w:p>
            <w:pPr>
              <w:pStyle w:val="TableContents"/>
              <w:bidi w:val="0"/>
              <w:spacing w:before="0" w:after="283"/>
              <w:jc w:val="left"/>
              <w:rPr/>
            </w:pPr>
            <w:r>
              <w:rPr/>
              <w:t> </w:t>
            </w:r>
          </w:p>
        </w:tc>
        <w:tc>
          <w:tcPr>
            <w:tcW w:w="1182"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74,193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c>
          <w:tcPr>
            <w:tcW w:w="103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(32,042</w:t>
            </w:r>
          </w:p>
        </w:tc>
        <w:tc>
          <w:tcPr>
            <w:tcW w:w="8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right"/>
              <w:rPr/>
            </w:pPr>
            <w:r>
              <w:rPr/>
              <w:t> </w:t>
            </w:r>
          </w:p>
        </w:tc>
        <w:tc>
          <w:tcPr>
            <w:tcW w:w="128" w:type="dxa"/>
            <w:tcBorders/>
            <w:vAlign w:val="bottom"/>
          </w:tcPr>
          <w:p>
            <w:pPr>
              <w:pStyle w:val="TableContents"/>
              <w:bidi w:val="0"/>
              <w:spacing w:before="0" w:after="283"/>
              <w:jc w:val="left"/>
              <w:rPr/>
            </w:pPr>
            <w:r>
              <w:rPr/>
              <w:t> </w:t>
            </w:r>
          </w:p>
        </w:tc>
        <w:tc>
          <w:tcPr>
            <w:tcW w:w="711"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42,151</w:t>
            </w:r>
          </w:p>
        </w:tc>
        <w:tc>
          <w:tcPr>
            <w:tcW w:w="60" w:type="dxa"/>
            <w:tcBorders/>
            <w:vAlign w:val="bottom"/>
          </w:tcPr>
          <w:p>
            <w:pPr>
              <w:pStyle w:val="TableContents"/>
              <w:bidi w:val="0"/>
              <w:spacing w:before="0" w:after="283"/>
              <w:jc w:val="left"/>
              <w:rPr/>
            </w:pPr>
            <w:r>
              <w:rPr/>
              <w:t> </w:t>
            </w:r>
          </w:p>
        </w:tc>
      </w:tr>
      <w:tr>
        <w:trPr/>
        <w:tc>
          <w:tcPr>
            <w:tcW w:w="341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Publisher relationships</w:t>
            </w:r>
          </w:p>
        </w:tc>
        <w:tc>
          <w:tcPr>
            <w:tcW w:w="60" w:type="dxa"/>
            <w:tcBorders/>
            <w:shd w:fill="CCEEFF" w:val="clear"/>
            <w:vAlign w:val="bottom"/>
          </w:tcPr>
          <w:p>
            <w:pPr>
              <w:pStyle w:val="TableContents"/>
              <w:bidi w:val="0"/>
              <w:spacing w:before="0" w:after="283"/>
              <w:jc w:val="right"/>
              <w:rPr/>
            </w:pPr>
            <w:r>
              <w:rPr/>
              <w:t> </w:t>
            </w:r>
          </w:p>
        </w:tc>
        <w:tc>
          <w:tcPr>
            <w:tcW w:w="212" w:type="dxa"/>
            <w:tcBorders/>
            <w:shd w:fill="CCEEFF" w:val="clear"/>
            <w:vAlign w:val="bottom"/>
          </w:tcPr>
          <w:p>
            <w:pPr>
              <w:pStyle w:val="TableContents"/>
              <w:bidi w:val="0"/>
              <w:spacing w:before="0" w:after="283"/>
              <w:jc w:val="left"/>
              <w:rPr/>
            </w:pPr>
            <w:r>
              <w:rPr/>
              <w:t> </w:t>
            </w:r>
          </w:p>
        </w:tc>
        <w:tc>
          <w:tcPr>
            <w:tcW w:w="1182"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42,933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pPr>
            <w:r>
              <w:rPr/>
              <w:t> </w:t>
            </w:r>
          </w:p>
        </w:tc>
        <w:tc>
          <w:tcPr>
            <w:tcW w:w="103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(14,311</w:t>
            </w:r>
          </w:p>
        </w:tc>
        <w:tc>
          <w:tcPr>
            <w:tcW w:w="8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right"/>
              <w:rPr/>
            </w:pPr>
            <w:r>
              <w:rPr/>
              <w:t> </w:t>
            </w:r>
          </w:p>
        </w:tc>
        <w:tc>
          <w:tcPr>
            <w:tcW w:w="128" w:type="dxa"/>
            <w:tcBorders/>
            <w:shd w:fill="CCEEFF" w:val="clear"/>
            <w:vAlign w:val="bottom"/>
          </w:tcPr>
          <w:p>
            <w:pPr>
              <w:pStyle w:val="TableContents"/>
              <w:bidi w:val="0"/>
              <w:spacing w:before="0" w:after="283"/>
              <w:jc w:val="left"/>
              <w:rPr/>
            </w:pPr>
            <w:r>
              <w:rPr/>
              <w:t> </w:t>
            </w:r>
          </w:p>
        </w:tc>
        <w:tc>
          <w:tcPr>
            <w:tcW w:w="711"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28,622</w:t>
            </w:r>
          </w:p>
        </w:tc>
        <w:tc>
          <w:tcPr>
            <w:tcW w:w="60" w:type="dxa"/>
            <w:tcBorders/>
            <w:shd w:fill="CCEEFF" w:val="clear"/>
            <w:vAlign w:val="bottom"/>
          </w:tcPr>
          <w:p>
            <w:pPr>
              <w:pStyle w:val="TableContents"/>
              <w:bidi w:val="0"/>
              <w:spacing w:before="0" w:after="283"/>
              <w:jc w:val="left"/>
              <w:rPr/>
            </w:pPr>
            <w:r>
              <w:rPr/>
              <w:t> </w:t>
            </w:r>
          </w:p>
        </w:tc>
      </w:tr>
      <w:tr>
        <w:trPr/>
        <w:tc>
          <w:tcPr>
            <w:tcW w:w="341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Tradenames</w:t>
            </w:r>
          </w:p>
        </w:tc>
        <w:tc>
          <w:tcPr>
            <w:tcW w:w="60" w:type="dxa"/>
            <w:tcBorders/>
            <w:vAlign w:val="bottom"/>
          </w:tcPr>
          <w:p>
            <w:pPr>
              <w:pStyle w:val="TableContents"/>
              <w:bidi w:val="0"/>
              <w:spacing w:before="0" w:after="283"/>
              <w:jc w:val="right"/>
              <w:rPr/>
            </w:pPr>
            <w:r>
              <w:rPr/>
              <w:t> </w:t>
            </w:r>
          </w:p>
        </w:tc>
        <w:tc>
          <w:tcPr>
            <w:tcW w:w="212" w:type="dxa"/>
            <w:tcBorders/>
            <w:vAlign w:val="bottom"/>
          </w:tcPr>
          <w:p>
            <w:pPr>
              <w:pStyle w:val="TableContents"/>
              <w:bidi w:val="0"/>
              <w:spacing w:before="0" w:after="283"/>
              <w:jc w:val="left"/>
              <w:rPr/>
            </w:pPr>
            <w:r>
              <w:rPr/>
              <w:t> </w:t>
            </w:r>
          </w:p>
        </w:tc>
        <w:tc>
          <w:tcPr>
            <w:tcW w:w="1182"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24,097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c>
          <w:tcPr>
            <w:tcW w:w="103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(10,689</w:t>
            </w:r>
          </w:p>
        </w:tc>
        <w:tc>
          <w:tcPr>
            <w:tcW w:w="8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right"/>
              <w:rPr/>
            </w:pPr>
            <w:r>
              <w:rPr/>
              <w:t> </w:t>
            </w:r>
          </w:p>
        </w:tc>
        <w:tc>
          <w:tcPr>
            <w:tcW w:w="128" w:type="dxa"/>
            <w:tcBorders/>
            <w:vAlign w:val="bottom"/>
          </w:tcPr>
          <w:p>
            <w:pPr>
              <w:pStyle w:val="TableContents"/>
              <w:bidi w:val="0"/>
              <w:spacing w:before="0" w:after="283"/>
              <w:jc w:val="left"/>
              <w:rPr/>
            </w:pPr>
            <w:r>
              <w:rPr/>
              <w:t> </w:t>
            </w:r>
          </w:p>
        </w:tc>
        <w:tc>
          <w:tcPr>
            <w:tcW w:w="711"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13,408</w:t>
            </w:r>
          </w:p>
        </w:tc>
        <w:tc>
          <w:tcPr>
            <w:tcW w:w="60" w:type="dxa"/>
            <w:tcBorders/>
            <w:vAlign w:val="bottom"/>
          </w:tcPr>
          <w:p>
            <w:pPr>
              <w:pStyle w:val="TableContents"/>
              <w:bidi w:val="0"/>
              <w:spacing w:before="0" w:after="283"/>
              <w:jc w:val="left"/>
              <w:rPr/>
            </w:pPr>
            <w:r>
              <w:rPr/>
              <w:t> </w:t>
            </w:r>
          </w:p>
        </w:tc>
      </w:tr>
      <w:tr>
        <w:trPr/>
        <w:tc>
          <w:tcPr>
            <w:tcW w:w="341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Customer relationships</w:t>
            </w:r>
          </w:p>
        </w:tc>
        <w:tc>
          <w:tcPr>
            <w:tcW w:w="60" w:type="dxa"/>
            <w:tcBorders/>
            <w:shd w:fill="CCEEFF" w:val="clear"/>
            <w:vAlign w:val="bottom"/>
          </w:tcPr>
          <w:p>
            <w:pPr>
              <w:pStyle w:val="TableContents"/>
              <w:bidi w:val="0"/>
              <w:spacing w:before="0" w:after="283"/>
              <w:jc w:val="right"/>
              <w:rPr/>
            </w:pPr>
            <w:r>
              <w:rPr/>
              <w:t> </w:t>
            </w:r>
          </w:p>
        </w:tc>
        <w:tc>
          <w:tcPr>
            <w:tcW w:w="21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182"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13,156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3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(11,307</w:t>
            </w:r>
          </w:p>
        </w:tc>
        <w:tc>
          <w:tcPr>
            <w:tcW w:w="8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right"/>
              <w:rPr/>
            </w:pPr>
            <w:r>
              <w:rPr/>
              <w:t> </w:t>
            </w:r>
          </w:p>
        </w:tc>
        <w:tc>
          <w:tcPr>
            <w:tcW w:w="128"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11"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1,849</w:t>
            </w:r>
          </w:p>
        </w:tc>
        <w:tc>
          <w:tcPr>
            <w:tcW w:w="60" w:type="dxa"/>
            <w:tcBorders/>
            <w:shd w:fill="CCEEFF" w:val="clear"/>
            <w:vAlign w:val="bottom"/>
          </w:tcPr>
          <w:p>
            <w:pPr>
              <w:pStyle w:val="TableContents"/>
              <w:bidi w:val="0"/>
              <w:spacing w:before="0" w:after="283"/>
              <w:jc w:val="left"/>
              <w:rPr/>
            </w:pPr>
            <w:r>
              <w:rPr/>
              <w:t> </w:t>
            </w:r>
          </w:p>
        </w:tc>
      </w:tr>
      <w:tr>
        <w:trPr/>
        <w:tc>
          <w:tcPr>
            <w:tcW w:w="341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Total</w:t>
            </w:r>
          </w:p>
        </w:tc>
        <w:tc>
          <w:tcPr>
            <w:tcW w:w="60" w:type="dxa"/>
            <w:tcBorders/>
            <w:vAlign w:val="bottom"/>
          </w:tcPr>
          <w:p>
            <w:pPr>
              <w:pStyle w:val="TableContents"/>
              <w:bidi w:val="0"/>
              <w:spacing w:before="0" w:after="283"/>
              <w:jc w:val="right"/>
              <w:rPr/>
            </w:pPr>
            <w:r>
              <w:rPr/>
              <w:t> </w:t>
            </w:r>
          </w:p>
        </w:tc>
        <w:tc>
          <w:tcPr>
            <w:tcW w:w="212"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182"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300,926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70"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03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(111,770</w:t>
            </w:r>
          </w:p>
        </w:tc>
        <w:tc>
          <w:tcPr>
            <w:tcW w:w="8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right"/>
              <w:rPr/>
            </w:pPr>
            <w:r>
              <w:rPr/>
              <w:t> </w:t>
            </w:r>
          </w:p>
        </w:tc>
        <w:tc>
          <w:tcPr>
            <w:tcW w:w="128"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711"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189,156</w:t>
            </w:r>
          </w:p>
        </w:tc>
        <w:tc>
          <w:tcPr>
            <w:tcW w:w="60" w:type="dxa"/>
            <w:tcBorders/>
            <w:vAlign w:val="bottom"/>
          </w:tcPr>
          <w:p>
            <w:pPr>
              <w:pStyle w:val="TableContents"/>
              <w:bidi w:val="0"/>
              <w:spacing w:before="0" w:after="283"/>
              <w:jc w:val="left"/>
              <w:rPr/>
            </w:pPr>
            <w:r>
              <w:rPr/>
              <w:t> </w:t>
            </w:r>
          </w:p>
        </w:tc>
      </w:tr>
    </w:tbl>
    <w:p>
      <w:pPr>
        <w:pStyle w:val="TextBody"/>
        <w:bidi w:val="0"/>
        <w:spacing w:before="0" w:after="0"/>
        <w:ind w:left="1170" w:right="0" w:hanging="0"/>
        <w:jc w:val="left"/>
        <w:rPr>
          <w:rFonts w:ascii="Times New Roman" w:hAnsi="Times New Roman"/>
          <w:sz w:val="20"/>
        </w:rPr>
      </w:pPr>
      <w:r>
        <w:rPr>
          <w:rFonts w:ascii="Times New Roman" w:hAnsi="Times New Roman"/>
          <w:sz w:val="20"/>
        </w:rPr>
      </w:r>
    </w:p>
    <w:p>
      <w:pPr>
        <w:pStyle w:val="TextBody"/>
        <w:bidi w:val="0"/>
        <w:spacing w:before="0" w:after="240"/>
        <w:ind w:left="1170" w:right="0" w:hanging="0"/>
        <w:jc w:val="both"/>
        <w:rPr>
          <w:rFonts w:ascii="Times New Roman" w:hAnsi="Times New Roman"/>
          <w:color w:val="000000"/>
          <w:sz w:val="20"/>
          <w:shd w:fill="FFFFFF" w:val="clear"/>
        </w:rPr>
      </w:pPr>
      <w:r>
        <w:rPr>
          <w:rFonts w:ascii="Times New Roman" w:hAnsi="Times New Roman"/>
          <w:color w:val="000000"/>
          <w:sz w:val="20"/>
          <w:shd w:fill="FFFFFF" w:val="clear"/>
        </w:rPr>
        <w:t>Amortization expenses for intangible assets were $15,980 and $15,983, for the three months ended September 30, 2023 and 2022, respectively, and $47,911 and $47,591, for the nine months ended September 30, 2023 and 2022, respectively.</w:t>
      </w:r>
    </w:p>
    <w:p>
      <w:pPr>
        <w:pStyle w:val="TextBody"/>
        <w:bidi w:val="0"/>
        <w:spacing w:before="0" w:after="240"/>
        <w:ind w:left="1170" w:right="0" w:hanging="0"/>
        <w:jc w:val="both"/>
        <w:rPr>
          <w:rFonts w:ascii="Times New Roman" w:hAnsi="Times New Roman"/>
          <w:color w:val="000000"/>
          <w:sz w:val="20"/>
          <w:shd w:fill="FFFFFF" w:val="clear"/>
        </w:rPr>
      </w:pPr>
      <w:r>
        <w:rPr>
          <w:rFonts w:ascii="Times New Roman" w:hAnsi="Times New Roman"/>
          <w:color w:val="000000"/>
          <w:sz w:val="20"/>
          <w:shd w:fill="FFFFFF" w:val="clear"/>
        </w:rPr>
        <w:t>The estimated future amortization expense of definite-lived intangible assets as of September 30, 2023, is as follows (unaudited):</w:t>
      </w:r>
    </w:p>
    <w:tbl>
      <w:tblPr>
        <w:tblW w:w="3240" w:type="dxa"/>
        <w:jc w:val="left"/>
        <w:tblInd w:w="1170" w:type="dxa"/>
        <w:tblLayout w:type="fixed"/>
        <w:tblCellMar>
          <w:top w:w="0" w:type="dxa"/>
          <w:left w:w="0" w:type="dxa"/>
          <w:bottom w:w="0" w:type="dxa"/>
          <w:right w:w="0" w:type="dxa"/>
        </w:tblCellMar>
      </w:tblPr>
      <w:tblGrid>
        <w:gridCol w:w="2300"/>
        <w:gridCol w:w="60"/>
        <w:gridCol w:w="125"/>
        <w:gridCol w:w="695"/>
        <w:gridCol w:w="60"/>
      </w:tblGrid>
      <w:tr>
        <w:trPr/>
        <w:tc>
          <w:tcPr>
            <w:tcW w:w="2300" w:type="dxa"/>
            <w:tcBorders/>
            <w:vAlign w:val="bottom"/>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Year Ending December 31,</w:t>
            </w:r>
          </w:p>
        </w:tc>
        <w:tc>
          <w:tcPr>
            <w:tcW w:w="60" w:type="dxa"/>
            <w:tcBorders/>
            <w:vAlign w:val="bottom"/>
          </w:tcPr>
          <w:p>
            <w:pPr>
              <w:pStyle w:val="TableContents"/>
              <w:bidi w:val="0"/>
              <w:spacing w:before="0" w:after="283"/>
              <w:jc w:val="left"/>
              <w:rPr/>
            </w:pPr>
            <w:r>
              <w:rPr/>
              <w:t> </w:t>
            </w:r>
          </w:p>
        </w:tc>
        <w:tc>
          <w:tcPr>
            <w:tcW w:w="82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r>
      <w:tr>
        <w:trPr/>
        <w:tc>
          <w:tcPr>
            <w:tcW w:w="230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2023 (Remainder)</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9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15,974</w:t>
            </w:r>
          </w:p>
        </w:tc>
        <w:tc>
          <w:tcPr>
            <w:tcW w:w="60" w:type="dxa"/>
            <w:tcBorders/>
            <w:shd w:fill="CCEEFF" w:val="clear"/>
            <w:vAlign w:val="bottom"/>
          </w:tcPr>
          <w:p>
            <w:pPr>
              <w:pStyle w:val="TableContents"/>
              <w:bidi w:val="0"/>
              <w:spacing w:before="0" w:after="283"/>
              <w:jc w:val="left"/>
              <w:rPr/>
            </w:pPr>
            <w:r>
              <w:rPr/>
              <w:t> </w:t>
            </w:r>
          </w:p>
        </w:tc>
      </w:tr>
      <w:tr>
        <w:trPr/>
        <w:tc>
          <w:tcPr>
            <w:tcW w:w="230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2024</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60,519</w:t>
            </w:r>
          </w:p>
        </w:tc>
        <w:tc>
          <w:tcPr>
            <w:tcW w:w="60" w:type="dxa"/>
            <w:tcBorders/>
            <w:vAlign w:val="bottom"/>
          </w:tcPr>
          <w:p>
            <w:pPr>
              <w:pStyle w:val="TableContents"/>
              <w:bidi w:val="0"/>
              <w:spacing w:before="0" w:after="283"/>
              <w:jc w:val="left"/>
              <w:rPr/>
            </w:pPr>
            <w:r>
              <w:rPr/>
              <w:t> </w:t>
            </w:r>
          </w:p>
        </w:tc>
      </w:tr>
      <w:tr>
        <w:trPr/>
        <w:tc>
          <w:tcPr>
            <w:tcW w:w="230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2025</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51,407</w:t>
            </w:r>
          </w:p>
        </w:tc>
        <w:tc>
          <w:tcPr>
            <w:tcW w:w="60" w:type="dxa"/>
            <w:tcBorders/>
            <w:shd w:fill="CCEEFF" w:val="clear"/>
            <w:vAlign w:val="bottom"/>
          </w:tcPr>
          <w:p>
            <w:pPr>
              <w:pStyle w:val="TableContents"/>
              <w:bidi w:val="0"/>
              <w:spacing w:before="0" w:after="283"/>
              <w:jc w:val="left"/>
              <w:rPr/>
            </w:pPr>
            <w:r>
              <w:rPr/>
              <w:t> </w:t>
            </w:r>
          </w:p>
        </w:tc>
      </w:tr>
      <w:tr>
        <w:trPr/>
        <w:tc>
          <w:tcPr>
            <w:tcW w:w="230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2026</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13,244</w:t>
            </w:r>
          </w:p>
        </w:tc>
        <w:tc>
          <w:tcPr>
            <w:tcW w:w="60" w:type="dxa"/>
            <w:tcBorders/>
            <w:vAlign w:val="bottom"/>
          </w:tcPr>
          <w:p>
            <w:pPr>
              <w:pStyle w:val="TableContents"/>
              <w:bidi w:val="0"/>
              <w:spacing w:before="0" w:after="283"/>
              <w:jc w:val="left"/>
              <w:rPr/>
            </w:pPr>
            <w:r>
              <w:rPr/>
              <w:t> </w:t>
            </w:r>
          </w:p>
        </w:tc>
      </w:tr>
      <w:tr>
        <w:trPr/>
        <w:tc>
          <w:tcPr>
            <w:tcW w:w="230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2027</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91</w:t>
            </w:r>
          </w:p>
        </w:tc>
        <w:tc>
          <w:tcPr>
            <w:tcW w:w="60" w:type="dxa"/>
            <w:tcBorders/>
            <w:shd w:fill="CCEEFF" w:val="clear"/>
            <w:vAlign w:val="bottom"/>
          </w:tcPr>
          <w:p>
            <w:pPr>
              <w:pStyle w:val="TableContents"/>
              <w:bidi w:val="0"/>
              <w:spacing w:before="0" w:after="283"/>
              <w:jc w:val="left"/>
              <w:rPr/>
            </w:pPr>
            <w:r>
              <w:rPr/>
              <w:t> </w:t>
            </w:r>
          </w:p>
        </w:tc>
      </w:tr>
      <w:tr>
        <w:trPr/>
        <w:tc>
          <w:tcPr>
            <w:tcW w:w="230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Total</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9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141,235</w:t>
            </w:r>
          </w:p>
        </w:tc>
        <w:tc>
          <w:tcPr>
            <w:tcW w:w="60" w:type="dxa"/>
            <w:tcBorders/>
            <w:vAlign w:val="bottom"/>
          </w:tcPr>
          <w:p>
            <w:pPr>
              <w:pStyle w:val="TableContents"/>
              <w:bidi w:val="0"/>
              <w:spacing w:before="0" w:after="283"/>
              <w:jc w:val="left"/>
              <w:rPr/>
            </w:pPr>
            <w:r>
              <w:rPr/>
              <w:t> </w:t>
            </w:r>
          </w:p>
        </w:tc>
      </w:tr>
    </w:tbl>
    <w:p>
      <w:pPr>
        <w:pStyle w:val="TextBody"/>
        <w:bidi w:val="0"/>
        <w:spacing w:before="0" w:after="0"/>
        <w:ind w:left="1170" w:right="0" w:hanging="0"/>
        <w:jc w:val="left"/>
        <w:rPr>
          <w:rFonts w:ascii="Times New Roman" w:hAnsi="Times New Roman"/>
          <w:sz w:val="20"/>
        </w:rPr>
      </w:pPr>
      <w:r>
        <w:rPr>
          <w:rFonts w:ascii="Times New Roman" w:hAnsi="Times New Roman"/>
          <w:sz w:val="20"/>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19</w:t>
      </w:r>
    </w:p>
    <w:p>
      <w:pPr>
        <w:pStyle w:val="HorizontalLine"/>
        <w:bidi w:val="0"/>
        <w:spacing w:before="200" w:after="200"/>
        <w:jc w:val="left"/>
        <w:rPr/>
      </w:pPr>
      <w:r>
        <w:rPr/>
      </w:r>
    </w:p>
    <w:p>
      <w:pPr>
        <w:pStyle w:val="TextBody"/>
        <w:bidi w:val="0"/>
        <w:spacing w:before="200" w:after="200"/>
        <w:jc w:val="left"/>
        <w:rPr/>
      </w:pPr>
      <w:hyperlink w:anchor="Contents">
        <w:r>
          <w:rPr>
            <w:rStyle w:val="InternetLink"/>
            <w:rFonts w:ascii="Times New Roman" w:hAnsi="Times New Roman"/>
            <w:i/>
            <w:color w:val="000000"/>
            <w:sz w:val="16"/>
            <w:shd w:fill="FFFFFF" w:val="clear"/>
          </w:rPr>
          <w:t>Table of Contents</w:t>
        </w:r>
      </w:hyperlink>
    </w:p>
    <w:p>
      <w:pPr>
        <w:pStyle w:val="TextBody"/>
        <w:bidi w:val="0"/>
        <w:spacing w:before="200" w:after="200"/>
        <w:jc w:val="right"/>
        <w:rPr>
          <w:rFonts w:ascii="Times New Roman" w:hAnsi="Times New Roman"/>
          <w:b/>
          <w:color w:val="000000"/>
          <w:sz w:val="18"/>
          <w:bdr w:val="single" w:sz="12" w:space="1" w:color="000000"/>
          <w:shd w:fill="FFFFFF" w:val="clear"/>
        </w:rPr>
      </w:pPr>
      <w:r>
        <w:rPr>
          <w:rFonts w:ascii="Times New Roman" w:hAnsi="Times New Roman"/>
          <w:b/>
          <w:color w:val="000000"/>
          <w:sz w:val="18"/>
          <w:bdr w:val="single" w:sz="12" w:space="1" w:color="000000"/>
          <w:shd w:fill="FFFFFF" w:val="clear"/>
        </w:rPr>
        <w:t>TABOOLA.COM LTD.</w:t>
      </w:r>
    </w:p>
    <w:p>
      <w:pPr>
        <w:pStyle w:val="TextBody"/>
        <w:bidi w:val="0"/>
        <w:spacing w:before="200" w:after="200"/>
        <w:jc w:val="right"/>
        <w:rPr>
          <w:b/>
        </w:rPr>
      </w:pPr>
      <w:r>
        <w:rPr>
          <w:b/>
        </w:rPr>
      </w:r>
    </w:p>
    <w:p>
      <w:pPr>
        <w:pStyle w:val="TextBody"/>
        <w:bidi w:val="0"/>
        <w:spacing w:before="200" w:after="200"/>
        <w:jc w:val="left"/>
        <w:rPr>
          <w:rFonts w:ascii="Times New Roman" w:hAnsi="Times New Roman"/>
          <w:b/>
          <w:color w:val="000000"/>
          <w:sz w:val="18"/>
          <w:bdr w:val="single" w:sz="12" w:space="1" w:color="000000"/>
          <w:shd w:fill="FFFFFF" w:val="clear"/>
        </w:rPr>
      </w:pPr>
      <w:r>
        <w:rPr>
          <w:rFonts w:ascii="Times New Roman" w:hAnsi="Times New Roman"/>
          <w:b/>
          <w:color w:val="000000"/>
          <w:sz w:val="18"/>
          <w:bdr w:val="single" w:sz="12" w:space="1" w:color="000000"/>
          <w:shd w:fill="FFFFFF" w:val="clear"/>
        </w:rPr>
        <w:t>NOTES TO THE CONSOLIDATED INTERIM FINANCIAL STATEMENTS</w:t>
      </w:r>
    </w:p>
    <w:p>
      <w:pPr>
        <w:pStyle w:val="TextBody"/>
        <w:bidi w:val="0"/>
        <w:spacing w:before="200" w:after="200"/>
        <w:jc w:val="left"/>
        <w:rPr>
          <w:rFonts w:ascii="Times New Roman" w:hAnsi="Times New Roman"/>
          <w:b/>
          <w:color w:val="000000"/>
          <w:sz w:val="18"/>
          <w:shd w:fill="FFFFFF" w:val="clear"/>
        </w:rPr>
      </w:pPr>
      <w:r>
        <w:rPr>
          <w:rFonts w:ascii="Times New Roman" w:hAnsi="Times New Roman"/>
          <w:b/>
          <w:color w:val="000000"/>
          <w:sz w:val="18"/>
          <w:shd w:fill="FFFFFF" w:val="clear"/>
        </w:rPr>
        <w:t>U.S. dollars in thousands, except share and per share data</w:t>
      </w:r>
    </w:p>
    <w:tbl>
      <w:tblPr>
        <w:tblW w:w="3685" w:type="dxa"/>
        <w:jc w:val="left"/>
        <w:tblInd w:w="0" w:type="dxa"/>
        <w:tblLayout w:type="fixed"/>
        <w:tblCellMar>
          <w:top w:w="0" w:type="dxa"/>
          <w:left w:w="0" w:type="dxa"/>
          <w:bottom w:w="0" w:type="dxa"/>
          <w:right w:w="0" w:type="dxa"/>
        </w:tblCellMar>
      </w:tblPr>
      <w:tblGrid>
        <w:gridCol w:w="860"/>
        <w:gridCol w:w="2825"/>
      </w:tblGrid>
      <w:tr>
        <w:trPr/>
        <w:tc>
          <w:tcPr>
            <w:tcW w:w="860" w:type="dxa"/>
            <w:tcBorders/>
            <w:vAlign w:val="center"/>
          </w:tcPr>
          <w:p>
            <w:pPr>
              <w:pStyle w:val="TableContents"/>
              <w:bidi w:val="0"/>
              <w:spacing w:before="0" w:after="283"/>
              <w:jc w:val="left"/>
              <w:rPr>
                <w:b/>
                <w:sz w:val="20"/>
              </w:rPr>
            </w:pPr>
            <w:r>
              <w:rPr>
                <w:b/>
                <w:sz w:val="20"/>
              </w:rPr>
              <w:t>NOTE 8:-</w:t>
            </w:r>
          </w:p>
        </w:tc>
        <w:tc>
          <w:tcPr>
            <w:tcW w:w="2825" w:type="dxa"/>
            <w:tcBorders/>
            <w:vAlign w:val="center"/>
          </w:tcPr>
          <w:p>
            <w:pPr>
              <w:pStyle w:val="TableContents"/>
              <w:bidi w:val="0"/>
              <w:spacing w:before="0" w:after="0"/>
              <w:jc w:val="both"/>
              <w:rPr>
                <w:b/>
                <w:sz w:val="20"/>
              </w:rPr>
            </w:pPr>
            <w:r>
              <w:rPr>
                <w:b/>
                <w:sz w:val="20"/>
              </w:rPr>
              <w:t>FINANCING ARRANGEMENTS</w:t>
            </w:r>
          </w:p>
        </w:tc>
      </w:tr>
    </w:tbl>
    <w:p>
      <w:pPr>
        <w:pStyle w:val="TextBody"/>
        <w:bidi w:val="0"/>
        <w:spacing w:before="200" w:after="200"/>
        <w:ind w:left="1140" w:right="0" w:hanging="0"/>
        <w:jc w:val="both"/>
        <w:rPr>
          <w:rFonts w:ascii="Times New Roman" w:hAnsi="Times New Roman"/>
          <w:b/>
          <w:i/>
          <w:caps w:val="false"/>
          <w:smallCaps w:val="false"/>
          <w:color w:val="000000"/>
          <w:sz w:val="20"/>
          <w:shd w:fill="FFFFFF" w:val="clear"/>
        </w:rPr>
      </w:pPr>
      <w:r>
        <w:rPr>
          <w:rFonts w:ascii="Times New Roman" w:hAnsi="Times New Roman"/>
          <w:b/>
          <w:i/>
          <w:caps w:val="false"/>
          <w:smallCaps w:val="false"/>
          <w:color w:val="000000"/>
          <w:sz w:val="20"/>
          <w:shd w:fill="FFFFFF" w:val="clear"/>
        </w:rPr>
        <w:t>Long-term loan</w:t>
      </w:r>
    </w:p>
    <w:p>
      <w:pPr>
        <w:pStyle w:val="TextBody"/>
        <w:bidi w:val="0"/>
        <w:spacing w:before="200" w:after="200"/>
        <w:ind w:left="1134" w:right="0" w:hanging="0"/>
        <w:jc w:val="both"/>
        <w:rPr>
          <w:rFonts w:ascii="Times New Roman" w:hAnsi="Times New Roman"/>
          <w:color w:val="000000"/>
          <w:sz w:val="20"/>
          <w:shd w:fill="FFFFFF" w:val="clear"/>
        </w:rPr>
      </w:pPr>
      <w:r>
        <w:rPr>
          <w:rFonts w:ascii="Times New Roman" w:hAnsi="Times New Roman"/>
          <w:color w:val="000000"/>
          <w:sz w:val="20"/>
          <w:shd w:fill="FFFFFF" w:val="clear"/>
        </w:rPr>
        <w:t>Concurrently with the closing of the Connexity Acquisition, on September 1, 2021, the Company entered into a $300,000 senior secured term loan credit agreement (the “Credit Agreement”), among the Company, Taboola Inc., a wholly-owned Company’s subsidiary (the “Borrower”), the lenders party thereto and JPMorgan Chase Bank, N.A., as administrative agent. The Credit Agreement provides for borrowings in an aggregate principal amount of up to $300,000 (the “Facility”).</w:t>
      </w:r>
    </w:p>
    <w:p>
      <w:pPr>
        <w:pStyle w:val="TextBody"/>
        <w:bidi w:val="0"/>
        <w:spacing w:before="200" w:after="200"/>
        <w:ind w:left="1134" w:right="0" w:hanging="0"/>
        <w:jc w:val="both"/>
        <w:rPr>
          <w:rFonts w:ascii="Times New Roman" w:hAnsi="Times New Roman"/>
          <w:color w:val="000000"/>
          <w:sz w:val="20"/>
          <w:shd w:fill="FFFFFF" w:val="clear"/>
        </w:rPr>
      </w:pPr>
      <w:r>
        <w:rPr>
          <w:rFonts w:ascii="Times New Roman" w:hAnsi="Times New Roman"/>
          <w:color w:val="000000"/>
          <w:sz w:val="20"/>
          <w:shd w:fill="FFFFFF" w:val="clear"/>
        </w:rPr>
        <w:t>The Facility was fully drawn at closing, net of issuance expenses of $11,250, and the proceeds were used by the Company to finance a portion of the Connexity Acquisition.</w:t>
      </w:r>
    </w:p>
    <w:p>
      <w:pPr>
        <w:pStyle w:val="TextBody"/>
        <w:bidi w:val="0"/>
        <w:spacing w:before="200" w:after="200"/>
        <w:ind w:left="1134" w:right="0" w:hanging="0"/>
        <w:jc w:val="both"/>
        <w:rPr>
          <w:rFonts w:ascii="Times New Roman" w:hAnsi="Times New Roman"/>
          <w:color w:val="000000"/>
          <w:sz w:val="20"/>
          <w:shd w:fill="FFFFFF" w:val="clear"/>
        </w:rPr>
      </w:pPr>
      <w:r>
        <w:rPr>
          <w:rFonts w:ascii="Times New Roman" w:hAnsi="Times New Roman"/>
          <w:color w:val="000000"/>
          <w:sz w:val="20"/>
          <w:shd w:fill="FFFFFF" w:val="clear"/>
        </w:rPr>
        <w:t>The Facility is subject to customary borrowing conditions. In accordance with the terms of the Credit Agreement, the Credit Agreement was amended on June 12, 2023, to replace LIBOR with SOFR and accordingly the Facility bears interest at a variable annual rate based on Term SOFR or Base Rate plus a fixed margin. The Facility will mature on the seventh anniversary of the closing date and amortizes at a rate of 1.00% per annum payable in equal quarterly installments, with the remaining principal amount due at maturity.</w:t>
      </w:r>
    </w:p>
    <w:p>
      <w:pPr>
        <w:pStyle w:val="TextBody"/>
        <w:bidi w:val="0"/>
        <w:spacing w:before="200" w:after="200"/>
        <w:ind w:left="1134" w:right="0" w:hanging="0"/>
        <w:jc w:val="both"/>
        <w:rPr>
          <w:rFonts w:ascii="Times New Roman" w:hAnsi="Times New Roman"/>
          <w:color w:val="000000"/>
          <w:sz w:val="20"/>
          <w:shd w:fill="FFFFFF" w:val="clear"/>
        </w:rPr>
      </w:pPr>
      <w:r>
        <w:rPr>
          <w:rFonts w:ascii="Times New Roman" w:hAnsi="Times New Roman"/>
          <w:color w:val="000000"/>
          <w:sz w:val="20"/>
          <w:shd w:fill="FFFFFF" w:val="clear"/>
        </w:rPr>
        <w:t>The Facility is mandatorily prepayable with a portion of the net cash proceeds of certain dispositions of assets, a portion of Taboola’s excess cash flow and the proceeds of incurrences of indebtedness not permitted under the Credit Agreement.</w:t>
      </w:r>
    </w:p>
    <w:p>
      <w:pPr>
        <w:pStyle w:val="TextBody"/>
        <w:bidi w:val="0"/>
        <w:spacing w:before="200" w:after="200"/>
        <w:ind w:left="1134" w:right="0" w:hanging="0"/>
        <w:jc w:val="both"/>
        <w:rPr>
          <w:rFonts w:ascii="Times New Roman" w:hAnsi="Times New Roman"/>
          <w:color w:val="000000"/>
          <w:sz w:val="20"/>
          <w:shd w:fill="FFFFFF" w:val="clear"/>
        </w:rPr>
      </w:pPr>
      <w:r>
        <w:rPr>
          <w:rFonts w:ascii="Times New Roman" w:hAnsi="Times New Roman"/>
          <w:color w:val="000000"/>
          <w:sz w:val="20"/>
          <w:shd w:fill="FFFFFF" w:val="clear"/>
        </w:rPr>
        <w:t>The Credit Agreement also contains customary representations, covenants and events of default. Failure to meet the covenants beyond applicable grace periods could result in acceleration of outstanding borrowings and/or termination of the Facility. As of September 30, 2023, the Company was in compliance with the Facility covenants.</w:t>
      </w:r>
    </w:p>
    <w:p>
      <w:pPr>
        <w:pStyle w:val="TextBody"/>
        <w:bidi w:val="0"/>
        <w:spacing w:before="200" w:after="200"/>
        <w:ind w:left="1134" w:right="0" w:hanging="0"/>
        <w:jc w:val="both"/>
        <w:rPr>
          <w:rFonts w:ascii="Times New Roman" w:hAnsi="Times New Roman"/>
          <w:color w:val="000000"/>
          <w:sz w:val="20"/>
          <w:shd w:fill="FFFFFF" w:val="clear"/>
        </w:rPr>
      </w:pPr>
      <w:r>
        <w:rPr>
          <w:rFonts w:ascii="Times New Roman" w:hAnsi="Times New Roman"/>
          <w:color w:val="000000"/>
          <w:sz w:val="20"/>
          <w:shd w:fill="FFFFFF" w:val="clear"/>
        </w:rPr>
        <w:t>In April 2023, the Company voluntarily prepaid $30,000 and in October 2023, subsequent to the balance sheet date, the Company voluntarily prepaid an additional $50,000 of the principal amount of the outstanding debt under the Credit Agreement.</w:t>
      </w:r>
    </w:p>
    <w:p>
      <w:pPr>
        <w:pStyle w:val="TextBody"/>
        <w:bidi w:val="0"/>
        <w:spacing w:before="0" w:after="200"/>
        <w:ind w:left="1134" w:right="0" w:hanging="0"/>
        <w:jc w:val="both"/>
        <w:rPr>
          <w:rFonts w:ascii="Times New Roman" w:hAnsi="Times New Roman"/>
          <w:color w:val="000000"/>
          <w:sz w:val="20"/>
          <w:shd w:fill="FFFFFF" w:val="clear"/>
        </w:rPr>
      </w:pPr>
      <w:r>
        <w:rPr>
          <w:rFonts w:ascii="Times New Roman" w:hAnsi="Times New Roman"/>
          <w:color w:val="000000"/>
          <w:sz w:val="20"/>
          <w:shd w:fill="FFFFFF" w:val="clear"/>
        </w:rPr>
        <w:t>As of September 30, 2023, the total future principal payments related to Facility loan are as follows:</w:t>
      </w:r>
    </w:p>
    <w:tbl>
      <w:tblPr>
        <w:tblW w:w="3240" w:type="dxa"/>
        <w:jc w:val="left"/>
        <w:tblInd w:w="1134" w:type="dxa"/>
        <w:tblLayout w:type="fixed"/>
        <w:tblCellMar>
          <w:top w:w="0" w:type="dxa"/>
          <w:left w:w="0" w:type="dxa"/>
          <w:bottom w:w="0" w:type="dxa"/>
          <w:right w:w="0" w:type="dxa"/>
        </w:tblCellMar>
      </w:tblPr>
      <w:tblGrid>
        <w:gridCol w:w="2300"/>
        <w:gridCol w:w="60"/>
        <w:gridCol w:w="125"/>
        <w:gridCol w:w="695"/>
        <w:gridCol w:w="60"/>
      </w:tblGrid>
      <w:tr>
        <w:trPr/>
        <w:tc>
          <w:tcPr>
            <w:tcW w:w="230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bottom"/>
          </w:tcPr>
          <w:p>
            <w:pPr>
              <w:pStyle w:val="TableContents"/>
              <w:bidi w:val="0"/>
              <w:spacing w:before="0" w:after="0"/>
              <w:ind w:left="0" w:right="0" w:firstLine="40"/>
              <w:jc w:val="center"/>
              <w:rPr>
                <w:b/>
                <w:color w:val="000000"/>
                <w:sz w:val="20"/>
              </w:rPr>
            </w:pPr>
            <w:r>
              <w:rPr>
                <w:b/>
                <w:color w:val="000000"/>
                <w:sz w:val="20"/>
              </w:rPr>
              <w:t>Amount</w:t>
            </w:r>
          </w:p>
        </w:tc>
        <w:tc>
          <w:tcPr>
            <w:tcW w:w="60" w:type="dxa"/>
            <w:tcBorders/>
            <w:vAlign w:val="bottom"/>
          </w:tcPr>
          <w:p>
            <w:pPr>
              <w:pStyle w:val="TableContents"/>
              <w:bidi w:val="0"/>
              <w:spacing w:before="0" w:after="283"/>
              <w:jc w:val="left"/>
              <w:rPr/>
            </w:pPr>
            <w:r>
              <w:rPr/>
              <w:t> </w:t>
            </w:r>
          </w:p>
        </w:tc>
      </w:tr>
      <w:tr>
        <w:trPr/>
        <w:tc>
          <w:tcPr>
            <w:tcW w:w="2300" w:type="dxa"/>
            <w:tcBorders/>
            <w:vAlign w:val="bottom"/>
          </w:tcPr>
          <w:p>
            <w:pPr>
              <w:pStyle w:val="TableContents"/>
              <w:bidi w:val="0"/>
              <w:spacing w:before="0" w:after="0"/>
              <w:ind w:left="22" w:right="0" w:hanging="0"/>
              <w:jc w:val="left"/>
              <w:rPr>
                <w:b/>
                <w:color w:val="000000"/>
                <w:sz w:val="20"/>
              </w:rPr>
            </w:pPr>
            <w:r>
              <w:rPr>
                <w:b/>
                <w:color w:val="000000"/>
                <w:sz w:val="20"/>
              </w:rPr>
              <w:t>Year Ending December 31,</w:t>
            </w:r>
          </w:p>
        </w:tc>
        <w:tc>
          <w:tcPr>
            <w:tcW w:w="60" w:type="dxa"/>
            <w:tcBorders/>
            <w:vAlign w:val="bottom"/>
          </w:tcPr>
          <w:p>
            <w:pPr>
              <w:pStyle w:val="TableContents"/>
              <w:bidi w:val="0"/>
              <w:spacing w:before="0" w:after="283"/>
              <w:jc w:val="left"/>
              <w:rPr/>
            </w:pPr>
            <w:r>
              <w:rPr/>
              <w:t> </w:t>
            </w:r>
          </w:p>
        </w:tc>
        <w:tc>
          <w:tcPr>
            <w:tcW w:w="82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r>
      <w:tr>
        <w:trPr/>
        <w:tc>
          <w:tcPr>
            <w:tcW w:w="2300" w:type="dxa"/>
            <w:tcBorders/>
            <w:shd w:fill="CCEEFF" w:val="clear"/>
            <w:vAlign w:val="bottom"/>
          </w:tcPr>
          <w:p>
            <w:pPr>
              <w:pStyle w:val="TableContents"/>
              <w:bidi w:val="0"/>
              <w:spacing w:before="0" w:after="0"/>
              <w:ind w:left="22" w:right="0" w:hanging="0"/>
              <w:jc w:val="left"/>
              <w:rPr>
                <w:color w:val="000000"/>
                <w:sz w:val="20"/>
              </w:rPr>
            </w:pPr>
            <w:r>
              <w:rPr>
                <w:color w:val="000000"/>
                <w:sz w:val="20"/>
              </w:rPr>
              <w:t>2023 (current maturities)</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color w:val="000000"/>
                <w:sz w:val="20"/>
              </w:rPr>
            </w:pPr>
            <w:r>
              <w:rPr>
                <w:color w:val="000000"/>
                <w:sz w:val="20"/>
              </w:rPr>
              <w:t>$</w:t>
            </w:r>
          </w:p>
        </w:tc>
        <w:tc>
          <w:tcPr>
            <w:tcW w:w="695" w:type="dxa"/>
            <w:tcBorders/>
            <w:shd w:fill="CCEEFF" w:val="clear"/>
            <w:vAlign w:val="bottom"/>
          </w:tcPr>
          <w:p>
            <w:pPr>
              <w:pStyle w:val="TableContents"/>
              <w:bidi w:val="0"/>
              <w:spacing w:before="0" w:after="0"/>
              <w:jc w:val="right"/>
              <w:rPr>
                <w:color w:val="000000"/>
                <w:sz w:val="20"/>
              </w:rPr>
            </w:pPr>
            <w:r>
              <w:rPr>
                <w:color w:val="000000"/>
                <w:sz w:val="20"/>
              </w:rPr>
              <w:t>50,750</w:t>
            </w:r>
          </w:p>
        </w:tc>
        <w:tc>
          <w:tcPr>
            <w:tcW w:w="60" w:type="dxa"/>
            <w:tcBorders/>
            <w:shd w:fill="CCEEFF" w:val="clear"/>
            <w:vAlign w:val="bottom"/>
          </w:tcPr>
          <w:p>
            <w:pPr>
              <w:pStyle w:val="TableContents"/>
              <w:bidi w:val="0"/>
              <w:spacing w:before="0" w:after="283"/>
              <w:jc w:val="left"/>
              <w:rPr/>
            </w:pPr>
            <w:r>
              <w:rPr/>
              <w:t> </w:t>
            </w:r>
          </w:p>
        </w:tc>
      </w:tr>
      <w:tr>
        <w:trPr/>
        <w:tc>
          <w:tcPr>
            <w:tcW w:w="2300" w:type="dxa"/>
            <w:tcBorders/>
            <w:vAlign w:val="bottom"/>
          </w:tcPr>
          <w:p>
            <w:pPr>
              <w:pStyle w:val="TableContents"/>
              <w:bidi w:val="0"/>
              <w:spacing w:before="0" w:after="0"/>
              <w:ind w:left="22" w:right="0" w:hanging="0"/>
              <w:jc w:val="left"/>
              <w:rPr>
                <w:color w:val="000000"/>
                <w:sz w:val="20"/>
              </w:rPr>
            </w:pPr>
            <w:r>
              <w:rPr>
                <w:color w:val="000000"/>
                <w:sz w:val="20"/>
              </w:rPr>
              <w:t>2024</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color w:val="000000"/>
                <w:sz w:val="20"/>
              </w:rPr>
            </w:pPr>
            <w:r>
              <w:rPr>
                <w:color w:val="000000"/>
                <w:sz w:val="20"/>
              </w:rPr>
              <w:t>3,000</w:t>
            </w:r>
          </w:p>
        </w:tc>
        <w:tc>
          <w:tcPr>
            <w:tcW w:w="60" w:type="dxa"/>
            <w:tcBorders/>
            <w:vAlign w:val="bottom"/>
          </w:tcPr>
          <w:p>
            <w:pPr>
              <w:pStyle w:val="TableContents"/>
              <w:bidi w:val="0"/>
              <w:spacing w:before="0" w:after="283"/>
              <w:jc w:val="left"/>
              <w:rPr/>
            </w:pPr>
            <w:r>
              <w:rPr/>
              <w:t> </w:t>
            </w:r>
          </w:p>
        </w:tc>
      </w:tr>
      <w:tr>
        <w:trPr/>
        <w:tc>
          <w:tcPr>
            <w:tcW w:w="2300" w:type="dxa"/>
            <w:tcBorders/>
            <w:shd w:fill="CCEEFF" w:val="clear"/>
            <w:vAlign w:val="bottom"/>
          </w:tcPr>
          <w:p>
            <w:pPr>
              <w:pStyle w:val="TableContents"/>
              <w:bidi w:val="0"/>
              <w:spacing w:before="0" w:after="0"/>
              <w:ind w:left="22" w:right="0" w:hanging="0"/>
              <w:jc w:val="left"/>
              <w:rPr>
                <w:color w:val="000000"/>
                <w:sz w:val="20"/>
              </w:rPr>
            </w:pPr>
            <w:r>
              <w:rPr>
                <w:color w:val="000000"/>
                <w:sz w:val="20"/>
              </w:rPr>
              <w:t>2025</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color w:val="000000"/>
                <w:sz w:val="20"/>
              </w:rPr>
            </w:pPr>
            <w:r>
              <w:rPr>
                <w:color w:val="000000"/>
                <w:sz w:val="20"/>
              </w:rPr>
              <w:t>3,000</w:t>
            </w:r>
          </w:p>
        </w:tc>
        <w:tc>
          <w:tcPr>
            <w:tcW w:w="60" w:type="dxa"/>
            <w:tcBorders/>
            <w:shd w:fill="CCEEFF" w:val="clear"/>
            <w:vAlign w:val="bottom"/>
          </w:tcPr>
          <w:p>
            <w:pPr>
              <w:pStyle w:val="TableContents"/>
              <w:bidi w:val="0"/>
              <w:spacing w:before="0" w:after="283"/>
              <w:jc w:val="left"/>
              <w:rPr/>
            </w:pPr>
            <w:r>
              <w:rPr/>
              <w:t> </w:t>
            </w:r>
          </w:p>
        </w:tc>
      </w:tr>
      <w:tr>
        <w:trPr/>
        <w:tc>
          <w:tcPr>
            <w:tcW w:w="2300" w:type="dxa"/>
            <w:tcBorders/>
            <w:vAlign w:val="bottom"/>
          </w:tcPr>
          <w:p>
            <w:pPr>
              <w:pStyle w:val="TableContents"/>
              <w:bidi w:val="0"/>
              <w:spacing w:before="0" w:after="0"/>
              <w:ind w:left="22" w:right="0" w:hanging="0"/>
              <w:jc w:val="left"/>
              <w:rPr>
                <w:color w:val="000000"/>
                <w:sz w:val="20"/>
              </w:rPr>
            </w:pPr>
            <w:r>
              <w:rPr>
                <w:color w:val="000000"/>
                <w:sz w:val="20"/>
              </w:rPr>
              <w:t>2026</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color w:val="000000"/>
                <w:sz w:val="20"/>
              </w:rPr>
            </w:pPr>
            <w:r>
              <w:rPr>
                <w:color w:val="000000"/>
                <w:sz w:val="20"/>
              </w:rPr>
              <w:t>3,000</w:t>
            </w:r>
          </w:p>
        </w:tc>
        <w:tc>
          <w:tcPr>
            <w:tcW w:w="60" w:type="dxa"/>
            <w:tcBorders/>
            <w:vAlign w:val="bottom"/>
          </w:tcPr>
          <w:p>
            <w:pPr>
              <w:pStyle w:val="TableContents"/>
              <w:bidi w:val="0"/>
              <w:spacing w:before="0" w:after="283"/>
              <w:jc w:val="left"/>
              <w:rPr/>
            </w:pPr>
            <w:r>
              <w:rPr/>
              <w:t> </w:t>
            </w:r>
          </w:p>
        </w:tc>
      </w:tr>
      <w:tr>
        <w:trPr/>
        <w:tc>
          <w:tcPr>
            <w:tcW w:w="2300" w:type="dxa"/>
            <w:tcBorders/>
            <w:shd w:fill="CCEEFF" w:val="clear"/>
            <w:vAlign w:val="bottom"/>
          </w:tcPr>
          <w:p>
            <w:pPr>
              <w:pStyle w:val="TableContents"/>
              <w:bidi w:val="0"/>
              <w:spacing w:before="0" w:after="0"/>
              <w:ind w:left="22" w:right="0" w:hanging="0"/>
              <w:jc w:val="left"/>
              <w:rPr>
                <w:color w:val="000000"/>
                <w:sz w:val="20"/>
              </w:rPr>
            </w:pPr>
            <w:r>
              <w:rPr>
                <w:color w:val="000000"/>
                <w:sz w:val="20"/>
              </w:rPr>
              <w:t>2027</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color w:val="000000"/>
                <w:sz w:val="20"/>
              </w:rPr>
            </w:pPr>
            <w:r>
              <w:rPr>
                <w:color w:val="000000"/>
                <w:sz w:val="20"/>
              </w:rPr>
              <w:t>3,000</w:t>
            </w:r>
          </w:p>
        </w:tc>
        <w:tc>
          <w:tcPr>
            <w:tcW w:w="60" w:type="dxa"/>
            <w:tcBorders/>
            <w:shd w:fill="CCEEFF" w:val="clear"/>
            <w:vAlign w:val="bottom"/>
          </w:tcPr>
          <w:p>
            <w:pPr>
              <w:pStyle w:val="TableContents"/>
              <w:bidi w:val="0"/>
              <w:spacing w:before="0" w:after="283"/>
              <w:jc w:val="left"/>
              <w:rPr/>
            </w:pPr>
            <w:r>
              <w:rPr/>
              <w:t> </w:t>
            </w:r>
          </w:p>
        </w:tc>
      </w:tr>
      <w:tr>
        <w:trPr/>
        <w:tc>
          <w:tcPr>
            <w:tcW w:w="2300" w:type="dxa"/>
            <w:tcBorders/>
            <w:vAlign w:val="bottom"/>
          </w:tcPr>
          <w:p>
            <w:pPr>
              <w:pStyle w:val="TableContents"/>
              <w:bidi w:val="0"/>
              <w:spacing w:before="0" w:after="0"/>
              <w:jc w:val="left"/>
              <w:rPr>
                <w:color w:val="000000"/>
                <w:sz w:val="20"/>
              </w:rPr>
            </w:pPr>
            <w:r>
              <w:rPr>
                <w:color w:val="000000"/>
                <w:sz w:val="20"/>
              </w:rPr>
              <w:t>2028</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tcMar>
              <w:bottom w:w="28" w:type="dxa"/>
            </w:tcMar>
            <w:vAlign w:val="bottom"/>
          </w:tcPr>
          <w:p>
            <w:pPr>
              <w:pStyle w:val="TableContents"/>
              <w:bidi w:val="0"/>
              <w:spacing w:before="0" w:after="0"/>
              <w:jc w:val="right"/>
              <w:rPr>
                <w:color w:val="000000"/>
                <w:sz w:val="20"/>
              </w:rPr>
            </w:pPr>
            <w:r>
              <w:rPr>
                <w:color w:val="000000"/>
                <w:sz w:val="20"/>
              </w:rPr>
              <w:t>139,985</w:t>
            </w:r>
          </w:p>
        </w:tc>
        <w:tc>
          <w:tcPr>
            <w:tcW w:w="60" w:type="dxa"/>
            <w:tcBorders/>
            <w:vAlign w:val="bottom"/>
          </w:tcPr>
          <w:p>
            <w:pPr>
              <w:pStyle w:val="TableContents"/>
              <w:bidi w:val="0"/>
              <w:spacing w:before="0" w:after="283"/>
              <w:jc w:val="left"/>
              <w:rPr/>
            </w:pPr>
            <w:r>
              <w:rPr/>
              <w:t> </w:t>
            </w:r>
          </w:p>
        </w:tc>
      </w:tr>
      <w:tr>
        <w:trPr/>
        <w:tc>
          <w:tcPr>
            <w:tcW w:w="2300" w:type="dxa"/>
            <w:tcBorders/>
            <w:shd w:fill="CCEEFF" w:val="clear"/>
            <w:vAlign w:val="bottom"/>
          </w:tcPr>
          <w:p>
            <w:pPr>
              <w:pStyle w:val="TableContents"/>
              <w:bidi w:val="0"/>
              <w:spacing w:before="0" w:after="0"/>
              <w:jc w:val="left"/>
              <w:rPr>
                <w:color w:val="000000"/>
                <w:sz w:val="20"/>
              </w:rPr>
            </w:pPr>
            <w:r>
              <w:rPr>
                <w:color w:val="000000"/>
                <w:sz w:val="20"/>
              </w:rPr>
              <w:t>Total</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0"/>
              <w:jc w:val="left"/>
              <w:rPr>
                <w:color w:val="000000"/>
                <w:sz w:val="20"/>
              </w:rPr>
            </w:pPr>
            <w:r>
              <w:rPr>
                <w:color w:val="000000"/>
                <w:sz w:val="20"/>
              </w:rPr>
              <w:t>$</w:t>
            </w:r>
          </w:p>
        </w:tc>
        <w:tc>
          <w:tcPr>
            <w:tcW w:w="695" w:type="dxa"/>
            <w:tcBorders>
              <w:bottom w:val="single" w:sz="12" w:space="0" w:color="000000"/>
            </w:tcBorders>
            <w:shd w:fill="CCEEFF" w:val="clear"/>
            <w:tcMar>
              <w:bottom w:w="28" w:type="dxa"/>
            </w:tcMar>
            <w:vAlign w:val="bottom"/>
          </w:tcPr>
          <w:p>
            <w:pPr>
              <w:pStyle w:val="TableContents"/>
              <w:bidi w:val="0"/>
              <w:spacing w:before="0" w:after="0"/>
              <w:jc w:val="right"/>
              <w:rPr>
                <w:color w:val="000000"/>
                <w:sz w:val="20"/>
              </w:rPr>
            </w:pPr>
            <w:r>
              <w:rPr>
                <w:color w:val="000000"/>
                <w:sz w:val="20"/>
              </w:rPr>
              <w:t>202,735</w:t>
            </w:r>
          </w:p>
        </w:tc>
        <w:tc>
          <w:tcPr>
            <w:tcW w:w="60" w:type="dxa"/>
            <w:tcBorders/>
            <w:shd w:fill="CCEEFF" w:val="clear"/>
            <w:vAlign w:val="bottom"/>
          </w:tcPr>
          <w:p>
            <w:pPr>
              <w:pStyle w:val="TableContents"/>
              <w:bidi w:val="0"/>
              <w:spacing w:before="0" w:after="283"/>
              <w:jc w:val="left"/>
              <w:rPr/>
            </w:pPr>
            <w:r>
              <w:rPr/>
              <w:t> </w:t>
            </w:r>
          </w:p>
        </w:tc>
      </w:tr>
    </w:tbl>
    <w:p>
      <w:pPr>
        <w:pStyle w:val="TextBody"/>
        <w:bidi w:val="0"/>
        <w:spacing w:before="0" w:after="0"/>
        <w:ind w:left="1134" w:right="0" w:hanging="0"/>
        <w:jc w:val="left"/>
        <w:rPr>
          <w:sz w:val="20"/>
        </w:rPr>
      </w:pPr>
      <w:r>
        <w:rPr>
          <w:sz w:val="20"/>
        </w:rPr>
      </w:r>
    </w:p>
    <w:p>
      <w:pPr>
        <w:pStyle w:val="TextBody"/>
        <w:bidi w:val="0"/>
        <w:spacing w:before="0" w:after="200"/>
        <w:ind w:left="1134" w:right="0" w:hanging="0"/>
        <w:jc w:val="both"/>
        <w:rPr>
          <w:rFonts w:ascii="Times New Roman" w:hAnsi="Times New Roman"/>
          <w:color w:val="000000"/>
          <w:sz w:val="20"/>
          <w:shd w:fill="FFFFFF" w:val="clear"/>
        </w:rPr>
      </w:pPr>
      <w:r>
        <w:rPr>
          <w:rFonts w:ascii="Times New Roman" w:hAnsi="Times New Roman"/>
          <w:color w:val="000000"/>
          <w:sz w:val="20"/>
          <w:shd w:fill="FFFFFF" w:val="clear"/>
        </w:rPr>
        <w:t>The Facility is guaranteed by the Company and all of its wholly-owned material subsidiaries, subject to certain exceptions set forth in the Credit Agreement (collectively, the “Guarantors”). The obligations of the Borrower and the Guarantors are secured by substantially all the assets of the Borrower and the Guarantors including shares of subsidiaries, subject to certain exceptions set forth in the Credit Agreement.</w:t>
      </w:r>
    </w:p>
    <w:p>
      <w:pPr>
        <w:pStyle w:val="TextBody"/>
        <w:bidi w:val="0"/>
        <w:spacing w:before="200" w:after="0"/>
        <w:ind w:left="1134" w:right="0" w:hanging="0"/>
        <w:jc w:val="both"/>
        <w:rPr>
          <w:rFonts w:ascii="Times New Roman" w:hAnsi="Times New Roman"/>
          <w:color w:val="000000"/>
          <w:sz w:val="20"/>
          <w:shd w:fill="FFFFFF" w:val="clear"/>
        </w:rPr>
      </w:pPr>
      <w:r>
        <w:rPr>
          <w:rFonts w:ascii="Times New Roman" w:hAnsi="Times New Roman"/>
          <w:color w:val="000000"/>
          <w:sz w:val="20"/>
          <w:shd w:fill="FFFFFF" w:val="clear"/>
        </w:rPr>
        <w:t>The total interest expenses, including issuance costs amortization, recognized in connection with the long-term loan were $5,141 and $5,028 for the three months ended September 30, 2023 and 2022, respectively, and $15,641 and $12,700 for the nine months ended September 30, 2023 and 2022, respectively. The long-term loan interest and issuance costs amortization, included as interest expenses, are recognized through the remaining term of the Credit agreement using the effective interest rate.</w:t>
      </w:r>
    </w:p>
    <w:p>
      <w:pPr>
        <w:pStyle w:val="TextBody"/>
        <w:bidi w:val="0"/>
        <w:spacing w:before="0" w:after="0"/>
        <w:ind w:left="1134" w:right="0" w:hanging="0"/>
        <w:jc w:val="both"/>
        <w:rPr>
          <w:rFonts w:ascii="Times New Roman" w:hAnsi="Times New Roman"/>
          <w:sz w:val="20"/>
        </w:rPr>
      </w:pPr>
      <w:r>
        <w:rPr>
          <w:rFonts w:ascii="Times New Roman" w:hAnsi="Times New Roman"/>
          <w:sz w:val="20"/>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20</w:t>
      </w:r>
    </w:p>
    <w:p>
      <w:pPr>
        <w:pStyle w:val="HorizontalLine"/>
        <w:bidi w:val="0"/>
        <w:spacing w:before="200" w:after="200"/>
        <w:jc w:val="left"/>
        <w:rPr/>
      </w:pPr>
      <w:r>
        <w:rPr/>
      </w:r>
    </w:p>
    <w:p>
      <w:pPr>
        <w:pStyle w:val="TextBody"/>
        <w:bidi w:val="0"/>
        <w:spacing w:before="200" w:after="200"/>
        <w:jc w:val="left"/>
        <w:rPr/>
      </w:pPr>
      <w:hyperlink w:anchor="Contents">
        <w:r>
          <w:rPr>
            <w:rStyle w:val="InternetLink"/>
            <w:rFonts w:ascii="Times New Roman" w:hAnsi="Times New Roman"/>
            <w:i/>
            <w:color w:val="000000"/>
            <w:sz w:val="16"/>
            <w:shd w:fill="FFFFFF" w:val="clear"/>
          </w:rPr>
          <w:t>Table of Contents</w:t>
        </w:r>
      </w:hyperlink>
    </w:p>
    <w:p>
      <w:pPr>
        <w:pStyle w:val="TextBody"/>
        <w:bidi w:val="0"/>
        <w:spacing w:before="200" w:after="200"/>
        <w:jc w:val="right"/>
        <w:rPr>
          <w:rFonts w:ascii="Times New Roman" w:hAnsi="Times New Roman"/>
          <w:b/>
          <w:color w:val="000000"/>
          <w:sz w:val="18"/>
          <w:bdr w:val="single" w:sz="12" w:space="1" w:color="000000"/>
          <w:shd w:fill="FFFFFF" w:val="clear"/>
        </w:rPr>
      </w:pPr>
      <w:r>
        <w:rPr>
          <w:rFonts w:ascii="Times New Roman" w:hAnsi="Times New Roman"/>
          <w:b/>
          <w:color w:val="000000"/>
          <w:sz w:val="18"/>
          <w:bdr w:val="single" w:sz="12" w:space="1" w:color="000000"/>
          <w:shd w:fill="FFFFFF" w:val="clear"/>
        </w:rPr>
        <w:t>TABOOLA.COM LTD.</w:t>
      </w:r>
    </w:p>
    <w:p>
      <w:pPr>
        <w:pStyle w:val="TextBody"/>
        <w:bidi w:val="0"/>
        <w:spacing w:before="200" w:after="200"/>
        <w:jc w:val="right"/>
        <w:rPr>
          <w:b/>
        </w:rPr>
      </w:pPr>
      <w:r>
        <w:rPr>
          <w:b/>
        </w:rPr>
      </w:r>
    </w:p>
    <w:p>
      <w:pPr>
        <w:pStyle w:val="TextBody"/>
        <w:bidi w:val="0"/>
        <w:spacing w:before="200" w:after="200"/>
        <w:jc w:val="left"/>
        <w:rPr>
          <w:rFonts w:ascii="Times New Roman" w:hAnsi="Times New Roman"/>
          <w:b/>
          <w:color w:val="000000"/>
          <w:sz w:val="18"/>
          <w:bdr w:val="single" w:sz="12" w:space="1" w:color="000000"/>
          <w:shd w:fill="FFFFFF" w:val="clear"/>
        </w:rPr>
      </w:pPr>
      <w:r>
        <w:rPr>
          <w:rFonts w:ascii="Times New Roman" w:hAnsi="Times New Roman"/>
          <w:b/>
          <w:color w:val="000000"/>
          <w:sz w:val="18"/>
          <w:bdr w:val="single" w:sz="12" w:space="1" w:color="000000"/>
          <w:shd w:fill="FFFFFF" w:val="clear"/>
        </w:rPr>
        <w:t>NOTES TO THE CONSOLIDATED INTERIM FINANCIAL STATEMENTS</w:t>
      </w:r>
    </w:p>
    <w:p>
      <w:pPr>
        <w:pStyle w:val="TextBody"/>
        <w:bidi w:val="0"/>
        <w:spacing w:before="200" w:after="200"/>
        <w:jc w:val="left"/>
        <w:rPr>
          <w:rFonts w:ascii="Times New Roman" w:hAnsi="Times New Roman"/>
          <w:b/>
          <w:color w:val="000000"/>
          <w:sz w:val="18"/>
          <w:shd w:fill="FFFFFF" w:val="clear"/>
        </w:rPr>
      </w:pPr>
      <w:r>
        <w:rPr>
          <w:rFonts w:ascii="Times New Roman" w:hAnsi="Times New Roman"/>
          <w:b/>
          <w:color w:val="000000"/>
          <w:sz w:val="18"/>
          <w:shd w:fill="FFFFFF" w:val="clear"/>
        </w:rPr>
        <w:t>U.S. dollars in thousands, except share and per share data</w:t>
      </w:r>
    </w:p>
    <w:tbl>
      <w:tblPr>
        <w:tblW w:w="4300" w:type="dxa"/>
        <w:jc w:val="left"/>
        <w:tblInd w:w="0" w:type="dxa"/>
        <w:tblLayout w:type="fixed"/>
        <w:tblCellMar>
          <w:top w:w="0" w:type="dxa"/>
          <w:left w:w="0" w:type="dxa"/>
          <w:bottom w:w="0" w:type="dxa"/>
          <w:right w:w="0" w:type="dxa"/>
        </w:tblCellMar>
      </w:tblPr>
      <w:tblGrid>
        <w:gridCol w:w="860"/>
        <w:gridCol w:w="3440"/>
      </w:tblGrid>
      <w:tr>
        <w:trPr/>
        <w:tc>
          <w:tcPr>
            <w:tcW w:w="860" w:type="dxa"/>
            <w:tcBorders/>
            <w:vAlign w:val="center"/>
          </w:tcPr>
          <w:p>
            <w:pPr>
              <w:pStyle w:val="TableContents"/>
              <w:bidi w:val="0"/>
              <w:spacing w:before="0" w:after="283"/>
              <w:jc w:val="left"/>
              <w:rPr>
                <w:b/>
                <w:sz w:val="20"/>
              </w:rPr>
            </w:pPr>
            <w:r>
              <w:rPr>
                <w:b/>
                <w:sz w:val="20"/>
              </w:rPr>
              <w:t>NOTE 8:-</w:t>
            </w:r>
          </w:p>
        </w:tc>
        <w:tc>
          <w:tcPr>
            <w:tcW w:w="3440" w:type="dxa"/>
            <w:tcBorders/>
            <w:vAlign w:val="center"/>
          </w:tcPr>
          <w:p>
            <w:pPr>
              <w:pStyle w:val="TableContents"/>
              <w:bidi w:val="0"/>
              <w:spacing w:before="0" w:after="0"/>
              <w:jc w:val="both"/>
              <w:rPr>
                <w:b/>
                <w:sz w:val="20"/>
              </w:rPr>
            </w:pPr>
            <w:r>
              <w:rPr>
                <w:b/>
                <w:sz w:val="20"/>
              </w:rPr>
              <w:t>FINANCING ARRANGEMENTS (Cont.)</w:t>
            </w:r>
          </w:p>
        </w:tc>
      </w:tr>
    </w:tbl>
    <w:p>
      <w:pPr>
        <w:pStyle w:val="TextBody"/>
        <w:bidi w:val="0"/>
        <w:spacing w:before="0" w:after="0"/>
        <w:jc w:val="left"/>
        <w:rPr>
          <w:caps w:val="false"/>
          <w:smallCaps w:val="false"/>
          <w:color w:val="000000"/>
          <w:shd w:fill="FFFFFF" w:val="clear"/>
        </w:rPr>
      </w:pPr>
      <w:r>
        <w:rPr>
          <w:caps w:val="false"/>
          <w:smallCaps w:val="false"/>
          <w:color w:val="000000"/>
          <w:shd w:fill="FFFFFF" w:val="clear"/>
        </w:rPr>
        <w:t> </w:t>
      </w:r>
    </w:p>
    <w:p>
      <w:pPr>
        <w:pStyle w:val="TextBody"/>
        <w:bidi w:val="0"/>
        <w:spacing w:before="0" w:after="0"/>
        <w:jc w:val="left"/>
        <w:rPr/>
      </w:pPr>
      <w:r>
        <w:rPr/>
      </w:r>
    </w:p>
    <w:p>
      <w:pPr>
        <w:pStyle w:val="TextBody"/>
        <w:bidi w:val="0"/>
        <w:spacing w:before="0" w:after="200"/>
        <w:ind w:left="1134" w:right="0" w:hanging="0"/>
        <w:jc w:val="both"/>
        <w:rPr>
          <w:rFonts w:ascii="Times New Roman" w:hAnsi="Times New Roman"/>
          <w:b/>
          <w:i/>
          <w:color w:val="000000"/>
          <w:sz w:val="20"/>
          <w:shd w:fill="FFFFFF" w:val="clear"/>
        </w:rPr>
      </w:pPr>
      <w:r>
        <w:rPr>
          <w:rFonts w:ascii="Times New Roman" w:hAnsi="Times New Roman"/>
          <w:b/>
          <w:i/>
          <w:color w:val="000000"/>
          <w:sz w:val="20"/>
          <w:shd w:fill="FFFFFF" w:val="clear"/>
        </w:rPr>
        <w:t>Revolving Credit Agreement</w:t>
      </w:r>
    </w:p>
    <w:p>
      <w:pPr>
        <w:pStyle w:val="TextBody"/>
        <w:bidi w:val="0"/>
        <w:spacing w:before="200" w:after="200"/>
        <w:ind w:left="1134" w:right="0" w:hanging="0"/>
        <w:jc w:val="both"/>
        <w:rPr>
          <w:rFonts w:ascii="Times New Roman" w:hAnsi="Times New Roman"/>
          <w:color w:val="000000"/>
          <w:sz w:val="20"/>
          <w:shd w:fill="FFFFFF" w:val="clear"/>
        </w:rPr>
      </w:pPr>
      <w:r>
        <w:rPr>
          <w:rFonts w:ascii="Times New Roman" w:hAnsi="Times New Roman"/>
          <w:color w:val="000000"/>
          <w:sz w:val="20"/>
          <w:shd w:fill="FFFFFF" w:val="clear"/>
        </w:rPr>
        <w:t>On August 9, 2022, the Company amended its Credit Agreement to provide for a five-year senior secured revolving credit facility (the “Revolving Credit Agreement”), among the Company, Taboola Inc., a wholly-owned Company’s subsidiary (the “Borrower”), and the lenders party thereto, with Citibank N.A., as lead arranger and JPMorgan Chase Bank, N.A., as administrative agent. The Revolving Credit Agreement provides for revolving loans in an aggregate committed principal amount of up to $90,000 (the “Revolving Loans”).</w:t>
      </w:r>
    </w:p>
    <w:p>
      <w:pPr>
        <w:pStyle w:val="TextBody"/>
        <w:bidi w:val="0"/>
        <w:spacing w:before="200" w:after="200"/>
        <w:ind w:left="1134" w:right="0" w:hanging="0"/>
        <w:jc w:val="both"/>
        <w:rPr>
          <w:rFonts w:ascii="Times New Roman" w:hAnsi="Times New Roman"/>
          <w:color w:val="000000"/>
          <w:sz w:val="20"/>
          <w:shd w:fill="FFFFFF" w:val="clear"/>
        </w:rPr>
      </w:pPr>
      <w:r>
        <w:rPr>
          <w:rFonts w:ascii="Times New Roman" w:hAnsi="Times New Roman"/>
          <w:color w:val="000000"/>
          <w:sz w:val="20"/>
          <w:shd w:fill="FFFFFF" w:val="clear"/>
        </w:rPr>
        <w:t>Certain representations, events of default and covenants of the Revolving Credit Agreement are substantially the same as those in the Credit Agreement. However, the Revolving Credit Agreement contains a financial covenant requiring the Company to maintain a Total Net Leverage Ratio (as defined in the Credit Agreement) as at the last day of each fiscal quarter. Borrowings under the Revolving Credit Agreement are subject to customary conditions and will bear interest at a variable annual rate based on Term SOFR or Base Rate plus a fixed margin. The lenders under the Credit Agreement and the lenders under the Revolving Credit Agreement are secured by the same collateral, including substantially all the assets of the Borrower and the Guarantors (as defined in the Credit Agreement) including shares of subsidiaries, subject to certain exceptions in the governing documents.</w:t>
      </w:r>
    </w:p>
    <w:p>
      <w:pPr>
        <w:pStyle w:val="TextBody"/>
        <w:bidi w:val="0"/>
        <w:spacing w:before="200" w:after="200"/>
        <w:ind w:left="1134" w:right="0" w:hanging="0"/>
        <w:jc w:val="both"/>
        <w:rPr>
          <w:rFonts w:ascii="Times New Roman" w:hAnsi="Times New Roman"/>
          <w:color w:val="000000"/>
          <w:sz w:val="20"/>
          <w:shd w:fill="FFFFFF" w:val="clear"/>
        </w:rPr>
      </w:pPr>
      <w:r>
        <w:rPr>
          <w:rFonts w:ascii="Times New Roman" w:hAnsi="Times New Roman"/>
          <w:color w:val="000000"/>
          <w:sz w:val="20"/>
          <w:shd w:fill="FFFFFF" w:val="clear"/>
        </w:rPr>
        <w:t>The proceeds of any Revolving Loans may be used for the working capital, capital expenditures and other general corporate purposes of Taboola and its subsidiaries and may also be used for Restricted Payments, Investments (including permitted acquisitions) and Restricted Debt Payments (each, as defined in the Credit Agreement) to the extent permitted under the Credit Agreement.</w:t>
      </w:r>
    </w:p>
    <w:p>
      <w:pPr>
        <w:pStyle w:val="TextBody"/>
        <w:bidi w:val="0"/>
        <w:spacing w:before="200" w:after="200"/>
        <w:ind w:left="1134" w:right="0" w:hanging="0"/>
        <w:jc w:val="both"/>
        <w:rPr>
          <w:rFonts w:ascii="Times New Roman" w:hAnsi="Times New Roman"/>
          <w:color w:val="000000"/>
          <w:sz w:val="20"/>
          <w:shd w:fill="FFFFFF" w:val="clear"/>
        </w:rPr>
      </w:pPr>
      <w:r>
        <w:rPr>
          <w:rFonts w:ascii="Times New Roman" w:hAnsi="Times New Roman"/>
          <w:color w:val="000000"/>
          <w:sz w:val="20"/>
          <w:shd w:fill="FFFFFF" w:val="clear"/>
        </w:rPr>
        <w:t>As of September 30, 2023, the Company was in compliance with the financial covenants and had no outstanding borrowings under the Revolving Credit Agreement.</w:t>
      </w:r>
    </w:p>
    <w:p>
      <w:pPr>
        <w:pStyle w:val="TextBody"/>
        <w:bidi w:val="0"/>
        <w:spacing w:before="220" w:after="0"/>
        <w:ind w:left="1134" w:right="0" w:hanging="0"/>
        <w:jc w:val="both"/>
        <w:rPr>
          <w:rFonts w:ascii="Times New Roman" w:hAnsi="Times New Roman"/>
          <w:color w:val="000000"/>
          <w:sz w:val="20"/>
          <w:shd w:fill="FFFFFF" w:val="clear"/>
        </w:rPr>
      </w:pPr>
      <w:r>
        <w:rPr>
          <w:rFonts w:ascii="Times New Roman" w:hAnsi="Times New Roman"/>
          <w:color w:val="000000"/>
          <w:sz w:val="20"/>
          <w:shd w:fill="FFFFFF" w:val="clear"/>
        </w:rPr>
        <w:t>As of September 30, 2023, deferred financing costs associated with entering into the Revolving Credit Agreement in the total amount of $957, were included in short-term and long-term prepaid expenses in the Company’s consolidated balance sheet.</w:t>
      </w:r>
    </w:p>
    <w:p>
      <w:pPr>
        <w:pStyle w:val="TextBody"/>
        <w:bidi w:val="0"/>
        <w:spacing w:before="200" w:after="0"/>
        <w:ind w:left="1134" w:right="0" w:hanging="0"/>
        <w:jc w:val="both"/>
        <w:rPr>
          <w:rFonts w:ascii="Times New Roman" w:hAnsi="Times New Roman"/>
          <w:color w:val="000000"/>
          <w:sz w:val="20"/>
          <w:shd w:fill="FFFFFF" w:val="clear"/>
        </w:rPr>
      </w:pPr>
      <w:r>
        <w:rPr>
          <w:rFonts w:ascii="Times New Roman" w:hAnsi="Times New Roman"/>
          <w:color w:val="000000"/>
          <w:sz w:val="20"/>
          <w:shd w:fill="FFFFFF" w:val="clear"/>
        </w:rPr>
        <w:t>The deferred financing costs are amortized on a straight-line basis over the term of the Revolving Credit Agreement. Deferred financing costs amortization amounted to $63 and $34, for the three months ended September 30, 2023 and 2022, respectively, and $190 and $34, for the nine months ended September 30, 2023 and 2022, respectively.</w:t>
      </w:r>
    </w:p>
    <w:p>
      <w:pPr>
        <w:pStyle w:val="TextBody"/>
        <w:bidi w:val="0"/>
        <w:spacing w:before="0" w:after="0"/>
        <w:ind w:left="1134" w:right="0" w:hanging="0"/>
        <w:jc w:val="both"/>
        <w:rPr>
          <w:rFonts w:ascii="Times New Roman" w:hAnsi="Times New Roman"/>
          <w:sz w:val="20"/>
        </w:rPr>
      </w:pPr>
      <w:r>
        <w:rPr>
          <w:rFonts w:ascii="Times New Roman" w:hAnsi="Times New Roman"/>
          <w:sz w:val="20"/>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21</w:t>
      </w:r>
    </w:p>
    <w:p>
      <w:pPr>
        <w:pStyle w:val="HorizontalLine"/>
        <w:bidi w:val="0"/>
        <w:spacing w:before="200" w:after="200"/>
        <w:jc w:val="left"/>
        <w:rPr/>
      </w:pPr>
      <w:r>
        <w:rPr/>
      </w:r>
    </w:p>
    <w:p>
      <w:pPr>
        <w:pStyle w:val="TextBody"/>
        <w:bidi w:val="0"/>
        <w:spacing w:before="200" w:after="200"/>
        <w:jc w:val="left"/>
        <w:rPr/>
      </w:pPr>
      <w:hyperlink w:anchor="Contents">
        <w:r>
          <w:rPr>
            <w:rStyle w:val="InternetLink"/>
            <w:rFonts w:ascii="Times New Roman" w:hAnsi="Times New Roman"/>
            <w:i/>
            <w:color w:val="000000"/>
            <w:sz w:val="16"/>
            <w:shd w:fill="FFFFFF" w:val="clear"/>
          </w:rPr>
          <w:t>Table of Contents</w:t>
        </w:r>
      </w:hyperlink>
    </w:p>
    <w:p>
      <w:pPr>
        <w:pStyle w:val="TextBody"/>
        <w:bidi w:val="0"/>
        <w:spacing w:before="200" w:after="200"/>
        <w:jc w:val="right"/>
        <w:rPr>
          <w:rFonts w:ascii="Times New Roman" w:hAnsi="Times New Roman"/>
          <w:b/>
          <w:color w:val="000000"/>
          <w:sz w:val="18"/>
          <w:bdr w:val="single" w:sz="12" w:space="1" w:color="000000"/>
          <w:shd w:fill="FFFFFF" w:val="clear"/>
        </w:rPr>
      </w:pPr>
      <w:r>
        <w:rPr>
          <w:rFonts w:ascii="Times New Roman" w:hAnsi="Times New Roman"/>
          <w:b/>
          <w:color w:val="000000"/>
          <w:sz w:val="18"/>
          <w:bdr w:val="single" w:sz="12" w:space="1" w:color="000000"/>
          <w:shd w:fill="FFFFFF" w:val="clear"/>
        </w:rPr>
        <w:t>TABOOLA.COM LTD.</w:t>
      </w:r>
    </w:p>
    <w:p>
      <w:pPr>
        <w:pStyle w:val="TextBody"/>
        <w:bidi w:val="0"/>
        <w:spacing w:before="200" w:after="200"/>
        <w:jc w:val="right"/>
        <w:rPr>
          <w:b/>
        </w:rPr>
      </w:pPr>
      <w:r>
        <w:rPr>
          <w:b/>
        </w:rPr>
      </w:r>
    </w:p>
    <w:p>
      <w:pPr>
        <w:pStyle w:val="TextBody"/>
        <w:bidi w:val="0"/>
        <w:spacing w:before="200" w:after="200"/>
        <w:jc w:val="left"/>
        <w:rPr>
          <w:rFonts w:ascii="Times New Roman" w:hAnsi="Times New Roman"/>
          <w:b/>
          <w:color w:val="000000"/>
          <w:sz w:val="18"/>
          <w:bdr w:val="single" w:sz="12" w:space="1" w:color="000000"/>
          <w:shd w:fill="FFFFFF" w:val="clear"/>
        </w:rPr>
      </w:pPr>
      <w:r>
        <w:rPr>
          <w:rFonts w:ascii="Times New Roman" w:hAnsi="Times New Roman"/>
          <w:b/>
          <w:color w:val="000000"/>
          <w:sz w:val="18"/>
          <w:bdr w:val="single" w:sz="12" w:space="1" w:color="000000"/>
          <w:shd w:fill="FFFFFF" w:val="clear"/>
        </w:rPr>
        <w:t>NOTES TO THE CONSOLIDATED INTERIM FINANCIAL STATEMENTS</w:t>
      </w:r>
    </w:p>
    <w:p>
      <w:pPr>
        <w:pStyle w:val="TextBody"/>
        <w:bidi w:val="0"/>
        <w:spacing w:before="200" w:after="200"/>
        <w:jc w:val="left"/>
        <w:rPr>
          <w:rFonts w:ascii="Times New Roman" w:hAnsi="Times New Roman"/>
          <w:b/>
          <w:color w:val="000000"/>
          <w:sz w:val="18"/>
          <w:shd w:fill="FFFFFF" w:val="clear"/>
        </w:rPr>
      </w:pPr>
      <w:r>
        <w:rPr>
          <w:rFonts w:ascii="Times New Roman" w:hAnsi="Times New Roman"/>
          <w:b/>
          <w:color w:val="000000"/>
          <w:sz w:val="18"/>
          <w:shd w:fill="FFFFFF" w:val="clear"/>
        </w:rPr>
        <w:t>U.S. dollars in thousands, except share and per share data</w:t>
      </w:r>
    </w:p>
    <w:tbl>
      <w:tblPr>
        <w:tblW w:w="2575" w:type="dxa"/>
        <w:jc w:val="left"/>
        <w:tblInd w:w="0" w:type="dxa"/>
        <w:tblLayout w:type="fixed"/>
        <w:tblCellMar>
          <w:top w:w="0" w:type="dxa"/>
          <w:left w:w="0" w:type="dxa"/>
          <w:bottom w:w="0" w:type="dxa"/>
          <w:right w:w="0" w:type="dxa"/>
        </w:tblCellMar>
      </w:tblPr>
      <w:tblGrid>
        <w:gridCol w:w="860"/>
        <w:gridCol w:w="1715"/>
      </w:tblGrid>
      <w:tr>
        <w:trPr/>
        <w:tc>
          <w:tcPr>
            <w:tcW w:w="860" w:type="dxa"/>
            <w:tcBorders/>
            <w:vAlign w:val="center"/>
          </w:tcPr>
          <w:p>
            <w:pPr>
              <w:pStyle w:val="TableContents"/>
              <w:bidi w:val="0"/>
              <w:spacing w:before="0" w:after="0"/>
              <w:ind w:left="0" w:right="0" w:hanging="0"/>
              <w:jc w:val="left"/>
              <w:rPr>
                <w:b/>
                <w:sz w:val="20"/>
              </w:rPr>
            </w:pPr>
            <w:r>
              <w:rPr>
                <w:b/>
                <w:sz w:val="20"/>
              </w:rPr>
              <w:t>NOTE 9:-</w:t>
            </w:r>
          </w:p>
        </w:tc>
        <w:tc>
          <w:tcPr>
            <w:tcW w:w="1715" w:type="dxa"/>
            <w:tcBorders/>
            <w:vAlign w:val="center"/>
          </w:tcPr>
          <w:p>
            <w:pPr>
              <w:pStyle w:val="TableContents"/>
              <w:bidi w:val="0"/>
              <w:spacing w:before="0" w:after="0"/>
              <w:jc w:val="both"/>
              <w:rPr>
                <w:b/>
                <w:sz w:val="20"/>
              </w:rPr>
            </w:pPr>
            <w:r>
              <w:rPr>
                <w:b/>
                <w:sz w:val="20"/>
              </w:rPr>
              <w:t>RESTRUCTURING</w:t>
            </w:r>
          </w:p>
        </w:tc>
      </w:tr>
    </w:tbl>
    <w:p>
      <w:pPr>
        <w:pStyle w:val="TextBody"/>
        <w:bidi w:val="0"/>
        <w:spacing w:before="0" w:after="0"/>
        <w:ind w:left="1080" w:right="0" w:hanging="0"/>
        <w:jc w:val="both"/>
        <w:rPr>
          <w:rFonts w:ascii="Times New Roman" w:hAnsi="Times New Roman"/>
          <w:color w:val="000000"/>
          <w:sz w:val="20"/>
        </w:rPr>
      </w:pPr>
      <w:r>
        <w:rPr>
          <w:rFonts w:ascii="Times New Roman" w:hAnsi="Times New Roman"/>
          <w:color w:val="000000"/>
          <w:sz w:val="20"/>
        </w:rPr>
      </w:r>
    </w:p>
    <w:p>
      <w:pPr>
        <w:pStyle w:val="TextBody"/>
        <w:bidi w:val="0"/>
        <w:spacing w:before="0" w:after="0"/>
        <w:ind w:left="1080" w:right="0" w:hanging="0"/>
        <w:jc w:val="both"/>
        <w:rPr>
          <w:rFonts w:ascii="Times New Roman" w:hAnsi="Times New Roman"/>
          <w:color w:val="000000"/>
          <w:sz w:val="20"/>
          <w:shd w:fill="FFFFFF" w:val="clear"/>
        </w:rPr>
      </w:pPr>
      <w:r>
        <w:rPr>
          <w:rFonts w:ascii="Times New Roman" w:hAnsi="Times New Roman"/>
          <w:color w:val="000000"/>
          <w:sz w:val="20"/>
          <w:shd w:fill="FFFFFF" w:val="clear"/>
        </w:rPr>
        <w:t>In September 2022, the Company announced and implemented a cost restructuring program impacting approximately 6% of the Company’s global headcount. This strategic reduction was intended to manage the Company’s operating expenses in response to market conditions and ongoing business prioritization efforts.</w:t>
      </w:r>
    </w:p>
    <w:p>
      <w:pPr>
        <w:pStyle w:val="TextBody"/>
        <w:bidi w:val="0"/>
        <w:spacing w:before="0" w:after="0"/>
        <w:jc w:val="left"/>
        <w:rPr>
          <w:rFonts w:ascii="Times New Roman" w:hAnsi="Times New Roman"/>
        </w:rPr>
      </w:pPr>
      <w:r>
        <w:rPr>
          <w:rFonts w:ascii="Times New Roman" w:hAnsi="Times New Roman"/>
        </w:rPr>
      </w:r>
    </w:p>
    <w:p>
      <w:pPr>
        <w:pStyle w:val="TextBody"/>
        <w:bidi w:val="0"/>
        <w:spacing w:before="0" w:after="0"/>
        <w:ind w:left="1080" w:right="0" w:hanging="0"/>
        <w:jc w:val="both"/>
        <w:rPr>
          <w:rFonts w:ascii="Times New Roman" w:hAnsi="Times New Roman"/>
          <w:color w:val="000000"/>
          <w:sz w:val="20"/>
          <w:shd w:fill="FFFFFF" w:val="clear"/>
        </w:rPr>
      </w:pPr>
      <w:r>
        <w:rPr>
          <w:rFonts w:ascii="Times New Roman" w:hAnsi="Times New Roman"/>
          <w:color w:val="000000"/>
          <w:sz w:val="20"/>
          <w:shd w:fill="FFFFFF" w:val="clear"/>
        </w:rPr>
        <w:t>The restructuring expenses recognized in the consolidated interim statements of loss for the three and nine months ended September 30, 2022, primarily consisting of one-time incremental employee termination benefits and other costs related to Company’s business prioritization, were as follows: </w:t>
      </w:r>
    </w:p>
    <w:p>
      <w:pPr>
        <w:pStyle w:val="TextBody"/>
        <w:bidi w:val="0"/>
        <w:spacing w:before="0" w:after="0"/>
        <w:jc w:val="left"/>
        <w:rPr>
          <w:rFonts w:ascii="Times New Roman" w:hAnsi="Times New Roman"/>
        </w:rPr>
      </w:pPr>
      <w:r>
        <w:rPr>
          <w:rFonts w:ascii="Times New Roman" w:hAnsi="Times New Roman"/>
        </w:rPr>
      </w:r>
    </w:p>
    <w:tbl>
      <w:tblPr>
        <w:tblW w:w="9125" w:type="dxa"/>
        <w:jc w:val="left"/>
        <w:tblInd w:w="1080" w:type="dxa"/>
        <w:tblLayout w:type="fixed"/>
        <w:tblCellMar>
          <w:top w:w="0" w:type="dxa"/>
          <w:left w:w="0" w:type="dxa"/>
          <w:bottom w:w="0" w:type="dxa"/>
          <w:right w:w="0" w:type="dxa"/>
        </w:tblCellMar>
      </w:tblPr>
      <w:tblGrid>
        <w:gridCol w:w="6569"/>
        <w:gridCol w:w="60"/>
        <w:gridCol w:w="504"/>
        <w:gridCol w:w="1931"/>
        <w:gridCol w:w="61"/>
      </w:tblGrid>
      <w:tr>
        <w:trPr/>
        <w:tc>
          <w:tcPr>
            <w:tcW w:w="656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35" w:type="dxa"/>
            <w:gridSpan w:val="2"/>
            <w:tcBorders>
              <w:bottom w:val="single" w:sz="12" w:space="0" w:color="000000"/>
            </w:tcBorders>
            <w:tcMar>
              <w:bottom w:w="28" w:type="dxa"/>
            </w:tcMar>
            <w:vAlign w:val="bottom"/>
          </w:tcPr>
          <w:p>
            <w:pPr>
              <w:pStyle w:val="TableContents"/>
              <w:bidi w:val="0"/>
              <w:spacing w:before="0" w:after="0"/>
              <w:ind w:left="0" w:right="0" w:firstLine="40"/>
              <w:jc w:val="center"/>
              <w:rPr>
                <w:rFonts w:ascii="Times New Roman" w:hAnsi="Times New Roman"/>
                <w:b/>
                <w:color w:val="000000"/>
                <w:sz w:val="20"/>
              </w:rPr>
            </w:pPr>
            <w:r>
              <w:rPr>
                <w:rFonts w:ascii="Times New Roman" w:hAnsi="Times New Roman"/>
                <w:b/>
                <w:color w:val="000000"/>
                <w:sz w:val="20"/>
              </w:rPr>
              <w:t>Three and nine months ended</w:t>
            </w:r>
          </w:p>
          <w:p>
            <w:pPr>
              <w:pStyle w:val="TableContents"/>
              <w:bidi w:val="0"/>
              <w:spacing w:before="0" w:after="0"/>
              <w:ind w:left="0" w:right="0" w:firstLine="40"/>
              <w:jc w:val="center"/>
              <w:rPr>
                <w:rFonts w:ascii="Times New Roman" w:hAnsi="Times New Roman"/>
                <w:b/>
                <w:color w:val="000000"/>
                <w:sz w:val="20"/>
              </w:rPr>
            </w:pPr>
            <w:r>
              <w:rPr>
                <w:rFonts w:ascii="Times New Roman" w:hAnsi="Times New Roman"/>
                <w:b/>
                <w:color w:val="000000"/>
                <w:sz w:val="20"/>
              </w:rPr>
              <w:t xml:space="preserve">September 30, </w:t>
            </w:r>
          </w:p>
          <w:p>
            <w:pPr>
              <w:pStyle w:val="TableContents"/>
              <w:bidi w:val="0"/>
              <w:spacing w:before="0" w:after="0"/>
              <w:ind w:left="0" w:right="0" w:firstLine="40"/>
              <w:jc w:val="center"/>
              <w:rPr>
                <w:rFonts w:ascii="Times New Roman" w:hAnsi="Times New Roman"/>
                <w:b/>
                <w:color w:val="000000"/>
                <w:sz w:val="20"/>
              </w:rPr>
            </w:pPr>
            <w:r>
              <w:rPr>
                <w:rFonts w:ascii="Times New Roman" w:hAnsi="Times New Roman"/>
                <w:b/>
                <w:color w:val="000000"/>
                <w:sz w:val="20"/>
              </w:rPr>
              <w:t>2022</w:t>
            </w:r>
          </w:p>
        </w:tc>
        <w:tc>
          <w:tcPr>
            <w:tcW w:w="61" w:type="dxa"/>
            <w:tcBorders/>
            <w:vAlign w:val="bottom"/>
          </w:tcPr>
          <w:p>
            <w:pPr>
              <w:pStyle w:val="TableContents"/>
              <w:bidi w:val="0"/>
              <w:spacing w:before="0" w:after="283"/>
              <w:jc w:val="left"/>
              <w:rPr/>
            </w:pPr>
            <w:r>
              <w:rPr/>
              <w:t> </w:t>
            </w:r>
          </w:p>
        </w:tc>
      </w:tr>
      <w:tr>
        <w:trPr/>
        <w:tc>
          <w:tcPr>
            <w:tcW w:w="656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435" w:type="dxa"/>
            <w:gridSpan w:val="2"/>
            <w:tcBorders>
              <w:bottom w:val="single" w:sz="12" w:space="0" w:color="000000"/>
            </w:tcBorders>
            <w:tcMar>
              <w:bottom w:w="28" w:type="dxa"/>
            </w:tcMar>
            <w:vAlign w:val="center"/>
          </w:tcPr>
          <w:p>
            <w:pPr>
              <w:pStyle w:val="TableContents"/>
              <w:bidi w:val="0"/>
              <w:spacing w:before="0" w:after="283"/>
              <w:jc w:val="center"/>
              <w:rPr>
                <w:rFonts w:ascii="Times New Roman" w:hAnsi="Times New Roman"/>
                <w:b/>
              </w:rPr>
            </w:pPr>
            <w:r>
              <w:rPr>
                <w:rFonts w:ascii="Times New Roman" w:hAnsi="Times New Roman"/>
                <w:b/>
              </w:rPr>
              <w:t>Unaudited</w:t>
            </w:r>
          </w:p>
        </w:tc>
        <w:tc>
          <w:tcPr>
            <w:tcW w:w="61" w:type="dxa"/>
            <w:tcBorders/>
            <w:vAlign w:val="bottom"/>
          </w:tcPr>
          <w:p>
            <w:pPr>
              <w:pStyle w:val="TableContents"/>
              <w:bidi w:val="0"/>
              <w:spacing w:before="0" w:after="283"/>
              <w:jc w:val="left"/>
              <w:rPr/>
            </w:pPr>
            <w:r>
              <w:rPr/>
              <w:t> </w:t>
            </w:r>
          </w:p>
        </w:tc>
      </w:tr>
      <w:tr>
        <w:trPr/>
        <w:tc>
          <w:tcPr>
            <w:tcW w:w="6569" w:type="dxa"/>
            <w:tcBorders/>
            <w:shd w:fill="CCEEFF" w:val="clear"/>
            <w:vAlign w:val="bottom"/>
          </w:tcPr>
          <w:p>
            <w:pPr>
              <w:pStyle w:val="TableContents"/>
              <w:bidi w:val="0"/>
              <w:spacing w:before="0" w:after="0"/>
              <w:jc w:val="both"/>
              <w:rPr>
                <w:rFonts w:ascii="Times New Roman" w:hAnsi="Times New Roman"/>
                <w:color w:val="000000"/>
                <w:sz w:val="20"/>
              </w:rPr>
            </w:pPr>
            <w:r>
              <w:rPr>
                <w:rFonts w:ascii="Times New Roman" w:hAnsi="Times New Roman"/>
                <w:color w:val="000000"/>
                <w:sz w:val="20"/>
              </w:rPr>
              <w:t>Cost of revenues</w:t>
            </w:r>
          </w:p>
        </w:tc>
        <w:tc>
          <w:tcPr>
            <w:tcW w:w="60" w:type="dxa"/>
            <w:tcBorders/>
            <w:shd w:fill="CCEEFF" w:val="clear"/>
            <w:vAlign w:val="bottom"/>
          </w:tcPr>
          <w:p>
            <w:pPr>
              <w:pStyle w:val="TableContents"/>
              <w:bidi w:val="0"/>
              <w:spacing w:before="0" w:after="283"/>
              <w:jc w:val="right"/>
              <w:rPr/>
            </w:pPr>
            <w:r>
              <w:rPr/>
              <w:t> </w:t>
            </w:r>
          </w:p>
        </w:tc>
        <w:tc>
          <w:tcPr>
            <w:tcW w:w="504"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931"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99</w:t>
            </w:r>
          </w:p>
        </w:tc>
        <w:tc>
          <w:tcPr>
            <w:tcW w:w="61" w:type="dxa"/>
            <w:tcBorders/>
            <w:shd w:fill="CCEEFF" w:val="clear"/>
            <w:vAlign w:val="bottom"/>
          </w:tcPr>
          <w:p>
            <w:pPr>
              <w:pStyle w:val="TableContents"/>
              <w:bidi w:val="0"/>
              <w:spacing w:before="0" w:after="283"/>
              <w:jc w:val="left"/>
              <w:rPr/>
            </w:pPr>
            <w:r>
              <w:rPr/>
              <w:t> </w:t>
            </w:r>
          </w:p>
        </w:tc>
      </w:tr>
      <w:tr>
        <w:trPr/>
        <w:tc>
          <w:tcPr>
            <w:tcW w:w="6569" w:type="dxa"/>
            <w:tcBorders/>
            <w:vAlign w:val="bottom"/>
          </w:tcPr>
          <w:p>
            <w:pPr>
              <w:pStyle w:val="TableContents"/>
              <w:bidi w:val="0"/>
              <w:spacing w:before="0" w:after="0"/>
              <w:jc w:val="both"/>
              <w:rPr>
                <w:rFonts w:ascii="Times New Roman" w:hAnsi="Times New Roman"/>
                <w:color w:val="000000"/>
                <w:sz w:val="20"/>
              </w:rPr>
            </w:pPr>
            <w:r>
              <w:rPr>
                <w:rFonts w:ascii="Times New Roman" w:hAnsi="Times New Roman"/>
                <w:color w:val="000000"/>
                <w:sz w:val="20"/>
              </w:rPr>
              <w:t>Research and development</w:t>
            </w:r>
          </w:p>
        </w:tc>
        <w:tc>
          <w:tcPr>
            <w:tcW w:w="60" w:type="dxa"/>
            <w:tcBorders/>
            <w:vAlign w:val="bottom"/>
          </w:tcPr>
          <w:p>
            <w:pPr>
              <w:pStyle w:val="TableContents"/>
              <w:bidi w:val="0"/>
              <w:spacing w:before="0" w:after="283"/>
              <w:jc w:val="right"/>
              <w:rPr/>
            </w:pPr>
            <w:r>
              <w:rPr/>
              <w:t> </w:t>
            </w:r>
          </w:p>
        </w:tc>
        <w:tc>
          <w:tcPr>
            <w:tcW w:w="504" w:type="dxa"/>
            <w:tcBorders/>
            <w:vAlign w:val="bottom"/>
          </w:tcPr>
          <w:p>
            <w:pPr>
              <w:pStyle w:val="TableContents"/>
              <w:bidi w:val="0"/>
              <w:spacing w:before="0" w:after="283"/>
              <w:jc w:val="left"/>
              <w:rPr/>
            </w:pPr>
            <w:r>
              <w:rPr/>
              <w:t> </w:t>
            </w:r>
          </w:p>
        </w:tc>
        <w:tc>
          <w:tcPr>
            <w:tcW w:w="1931"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1,815</w:t>
            </w:r>
          </w:p>
        </w:tc>
        <w:tc>
          <w:tcPr>
            <w:tcW w:w="61" w:type="dxa"/>
            <w:tcBorders/>
            <w:vAlign w:val="bottom"/>
          </w:tcPr>
          <w:p>
            <w:pPr>
              <w:pStyle w:val="TableContents"/>
              <w:bidi w:val="0"/>
              <w:spacing w:before="0" w:after="283"/>
              <w:jc w:val="left"/>
              <w:rPr/>
            </w:pPr>
            <w:r>
              <w:rPr/>
              <w:t> </w:t>
            </w:r>
          </w:p>
        </w:tc>
      </w:tr>
      <w:tr>
        <w:trPr/>
        <w:tc>
          <w:tcPr>
            <w:tcW w:w="6569"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Sales and marketing</w:t>
            </w:r>
          </w:p>
        </w:tc>
        <w:tc>
          <w:tcPr>
            <w:tcW w:w="60" w:type="dxa"/>
            <w:tcBorders/>
            <w:shd w:fill="CCEEFF" w:val="clear"/>
            <w:vAlign w:val="bottom"/>
          </w:tcPr>
          <w:p>
            <w:pPr>
              <w:pStyle w:val="TableContents"/>
              <w:bidi w:val="0"/>
              <w:spacing w:before="0" w:after="283"/>
              <w:jc w:val="right"/>
              <w:rPr/>
            </w:pPr>
            <w:r>
              <w:rPr/>
              <w:t> </w:t>
            </w:r>
          </w:p>
        </w:tc>
        <w:tc>
          <w:tcPr>
            <w:tcW w:w="504" w:type="dxa"/>
            <w:tcBorders/>
            <w:shd w:fill="CCEEFF" w:val="clear"/>
            <w:vAlign w:val="bottom"/>
          </w:tcPr>
          <w:p>
            <w:pPr>
              <w:pStyle w:val="TableContents"/>
              <w:bidi w:val="0"/>
              <w:spacing w:before="0" w:after="283"/>
              <w:jc w:val="left"/>
              <w:rPr/>
            </w:pPr>
            <w:r>
              <w:rPr/>
              <w:t> </w:t>
            </w:r>
          </w:p>
        </w:tc>
        <w:tc>
          <w:tcPr>
            <w:tcW w:w="1931"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1,176</w:t>
            </w:r>
          </w:p>
        </w:tc>
        <w:tc>
          <w:tcPr>
            <w:tcW w:w="61" w:type="dxa"/>
            <w:tcBorders/>
            <w:shd w:fill="CCEEFF" w:val="clear"/>
            <w:vAlign w:val="bottom"/>
          </w:tcPr>
          <w:p>
            <w:pPr>
              <w:pStyle w:val="TableContents"/>
              <w:bidi w:val="0"/>
              <w:spacing w:before="0" w:after="283"/>
              <w:jc w:val="left"/>
              <w:rPr/>
            </w:pPr>
            <w:r>
              <w:rPr/>
              <w:t> </w:t>
            </w:r>
          </w:p>
        </w:tc>
      </w:tr>
      <w:tr>
        <w:trPr/>
        <w:tc>
          <w:tcPr>
            <w:tcW w:w="6569" w:type="dxa"/>
            <w:tcBorders/>
            <w:vAlign w:val="bottom"/>
          </w:tcPr>
          <w:p>
            <w:pPr>
              <w:pStyle w:val="TableContents"/>
              <w:bidi w:val="0"/>
              <w:spacing w:before="0" w:after="0"/>
              <w:jc w:val="both"/>
              <w:rPr>
                <w:rFonts w:ascii="Times New Roman" w:hAnsi="Times New Roman"/>
                <w:color w:val="000000"/>
                <w:sz w:val="20"/>
              </w:rPr>
            </w:pPr>
            <w:r>
              <w:rPr>
                <w:rFonts w:ascii="Times New Roman" w:hAnsi="Times New Roman"/>
                <w:color w:val="000000"/>
                <w:sz w:val="20"/>
              </w:rPr>
              <w:t>General and administrative</w:t>
            </w:r>
          </w:p>
        </w:tc>
        <w:tc>
          <w:tcPr>
            <w:tcW w:w="60" w:type="dxa"/>
            <w:tcBorders/>
            <w:vAlign w:val="bottom"/>
          </w:tcPr>
          <w:p>
            <w:pPr>
              <w:pStyle w:val="TableContents"/>
              <w:bidi w:val="0"/>
              <w:spacing w:before="0" w:after="283"/>
              <w:jc w:val="right"/>
              <w:rPr/>
            </w:pPr>
            <w:r>
              <w:rPr/>
              <w:t> </w:t>
            </w:r>
          </w:p>
        </w:tc>
        <w:tc>
          <w:tcPr>
            <w:tcW w:w="504" w:type="dxa"/>
            <w:tcBorders>
              <w:bottom w:val="single" w:sz="12" w:space="0" w:color="000000"/>
            </w:tcBorders>
            <w:tcMar>
              <w:bottom w:w="28" w:type="dxa"/>
            </w:tcMar>
            <w:vAlign w:val="bottom"/>
          </w:tcPr>
          <w:p>
            <w:pPr>
              <w:pStyle w:val="TableContents"/>
              <w:bidi w:val="0"/>
              <w:spacing w:before="0" w:after="283"/>
              <w:jc w:val="left"/>
              <w:rPr/>
            </w:pPr>
            <w:r>
              <w:rPr/>
              <w:t> </w:t>
            </w:r>
          </w:p>
        </w:tc>
        <w:tc>
          <w:tcPr>
            <w:tcW w:w="1931"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293</w:t>
            </w:r>
          </w:p>
        </w:tc>
        <w:tc>
          <w:tcPr>
            <w:tcW w:w="61" w:type="dxa"/>
            <w:tcBorders/>
            <w:vAlign w:val="bottom"/>
          </w:tcPr>
          <w:p>
            <w:pPr>
              <w:pStyle w:val="TableContents"/>
              <w:bidi w:val="0"/>
              <w:spacing w:before="0" w:after="283"/>
              <w:jc w:val="left"/>
              <w:rPr/>
            </w:pPr>
            <w:r>
              <w:rPr/>
              <w:t> </w:t>
            </w:r>
          </w:p>
        </w:tc>
      </w:tr>
      <w:tr>
        <w:trPr/>
        <w:tc>
          <w:tcPr>
            <w:tcW w:w="6569" w:type="dxa"/>
            <w:tcBorders/>
            <w:shd w:fill="CCEEFF" w:val="clear"/>
            <w:vAlign w:val="bottom"/>
          </w:tcPr>
          <w:p>
            <w:pPr>
              <w:pStyle w:val="TableContents"/>
              <w:bidi w:val="0"/>
              <w:spacing w:before="0" w:after="0"/>
              <w:jc w:val="both"/>
              <w:rPr>
                <w:rFonts w:ascii="Times New Roman" w:hAnsi="Times New Roman"/>
                <w:color w:val="000000"/>
                <w:sz w:val="20"/>
              </w:rPr>
            </w:pPr>
            <w:r>
              <w:rPr>
                <w:rFonts w:ascii="Times New Roman" w:hAnsi="Times New Roman"/>
                <w:color w:val="000000"/>
                <w:sz w:val="20"/>
              </w:rPr>
              <w:t>Total restructuring expenses recognized in the consolidated interim statements of loss</w:t>
            </w:r>
          </w:p>
        </w:tc>
        <w:tc>
          <w:tcPr>
            <w:tcW w:w="60" w:type="dxa"/>
            <w:tcBorders/>
            <w:shd w:fill="CCEEFF" w:val="clear"/>
            <w:vAlign w:val="bottom"/>
          </w:tcPr>
          <w:p>
            <w:pPr>
              <w:pStyle w:val="TableContents"/>
              <w:bidi w:val="0"/>
              <w:spacing w:before="0" w:after="283"/>
              <w:jc w:val="right"/>
              <w:rPr/>
            </w:pPr>
            <w:r>
              <w:rPr/>
              <w:t> </w:t>
            </w:r>
          </w:p>
        </w:tc>
        <w:tc>
          <w:tcPr>
            <w:tcW w:w="504"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931"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3,383</w:t>
            </w:r>
          </w:p>
        </w:tc>
        <w:tc>
          <w:tcPr>
            <w:tcW w:w="61" w:type="dxa"/>
            <w:tcBorders/>
            <w:shd w:fill="CCEEFF" w:val="clear"/>
            <w:vAlign w:val="bottom"/>
          </w:tcPr>
          <w:p>
            <w:pPr>
              <w:pStyle w:val="TableContents"/>
              <w:bidi w:val="0"/>
              <w:spacing w:before="0" w:after="283"/>
              <w:jc w:val="left"/>
              <w:rPr/>
            </w:pPr>
            <w:r>
              <w:rPr/>
              <w:t> </w:t>
            </w:r>
          </w:p>
        </w:tc>
      </w:tr>
    </w:tbl>
    <w:p>
      <w:pPr>
        <w:pStyle w:val="TextBody"/>
        <w:bidi w:val="0"/>
        <w:spacing w:before="0" w:after="0"/>
        <w:ind w:left="1080" w:right="0" w:hanging="0"/>
        <w:jc w:val="left"/>
        <w:rPr/>
      </w:pPr>
      <w:r>
        <w:rPr/>
      </w:r>
    </w:p>
    <w:tbl>
      <w:tblPr>
        <w:tblW w:w="6445" w:type="dxa"/>
        <w:jc w:val="left"/>
        <w:tblInd w:w="0" w:type="dxa"/>
        <w:tblLayout w:type="fixed"/>
        <w:tblCellMar>
          <w:top w:w="0" w:type="dxa"/>
          <w:left w:w="0" w:type="dxa"/>
          <w:bottom w:w="0" w:type="dxa"/>
          <w:right w:w="0" w:type="dxa"/>
        </w:tblCellMar>
      </w:tblPr>
      <w:tblGrid>
        <w:gridCol w:w="965"/>
        <w:gridCol w:w="5480"/>
      </w:tblGrid>
      <w:tr>
        <w:trPr/>
        <w:tc>
          <w:tcPr>
            <w:tcW w:w="965" w:type="dxa"/>
            <w:tcBorders/>
            <w:vAlign w:val="center"/>
          </w:tcPr>
          <w:p>
            <w:pPr>
              <w:pStyle w:val="TableContents"/>
              <w:bidi w:val="0"/>
              <w:spacing w:before="0" w:after="283"/>
              <w:jc w:val="left"/>
              <w:rPr>
                <w:rFonts w:ascii="Times New Roman" w:hAnsi="Times New Roman"/>
                <w:b/>
                <w:sz w:val="20"/>
              </w:rPr>
            </w:pPr>
            <w:r>
              <w:rPr>
                <w:rFonts w:ascii="Times New Roman" w:hAnsi="Times New Roman"/>
                <w:b/>
                <w:sz w:val="20"/>
              </w:rPr>
              <w:t>NOTE 10:-</w:t>
            </w:r>
          </w:p>
        </w:tc>
        <w:tc>
          <w:tcPr>
            <w:tcW w:w="5480" w:type="dxa"/>
            <w:tcBorders/>
            <w:vAlign w:val="center"/>
          </w:tcPr>
          <w:p>
            <w:pPr>
              <w:pStyle w:val="TableContents"/>
              <w:bidi w:val="0"/>
              <w:spacing w:before="0" w:after="0"/>
              <w:jc w:val="both"/>
              <w:rPr>
                <w:rFonts w:ascii="Times New Roman" w:hAnsi="Times New Roman"/>
                <w:b/>
                <w:sz w:val="20"/>
              </w:rPr>
            </w:pPr>
            <w:r>
              <w:rPr>
                <w:rFonts w:ascii="Times New Roman" w:hAnsi="Times New Roman"/>
                <w:b/>
                <w:sz w:val="20"/>
              </w:rPr>
              <w:t>SHAREHOLDERS’ EQUITY AND SHARE INCENTIVE PLANS</w:t>
            </w:r>
          </w:p>
        </w:tc>
      </w:tr>
    </w:tbl>
    <w:p>
      <w:pPr>
        <w:pStyle w:val="TextBody"/>
        <w:bidi w:val="0"/>
        <w:spacing w:before="240" w:after="240"/>
        <w:ind w:left="1170" w:right="0" w:hanging="0"/>
        <w:jc w:val="both"/>
        <w:rPr>
          <w:rFonts w:ascii="Times New Roman" w:hAnsi="Times New Roman"/>
          <w:b/>
          <w:i/>
          <w:color w:val="000000"/>
          <w:sz w:val="20"/>
          <w:shd w:fill="FFFFFF" w:val="clear"/>
        </w:rPr>
      </w:pPr>
      <w:r>
        <w:rPr>
          <w:rFonts w:ascii="Times New Roman" w:hAnsi="Times New Roman"/>
          <w:b/>
          <w:i/>
          <w:color w:val="000000"/>
          <w:sz w:val="20"/>
          <w:shd w:fill="FFFFFF" w:val="clear"/>
        </w:rPr>
        <w:t>Share Capital</w:t>
      </w:r>
    </w:p>
    <w:p>
      <w:pPr>
        <w:pStyle w:val="TextBody"/>
        <w:bidi w:val="0"/>
        <w:spacing w:before="240" w:after="240"/>
        <w:ind w:left="1170" w:right="0" w:hanging="0"/>
        <w:jc w:val="both"/>
        <w:rPr>
          <w:rFonts w:ascii="Times New Roman" w:hAnsi="Times New Roman"/>
          <w:color w:val="000000"/>
          <w:sz w:val="20"/>
          <w:shd w:fill="FFFFFF" w:val="clear"/>
        </w:rPr>
      </w:pPr>
      <w:r>
        <w:rPr>
          <w:rFonts w:ascii="Times New Roman" w:hAnsi="Times New Roman"/>
          <w:color w:val="000000"/>
          <w:sz w:val="20"/>
          <w:shd w:fill="FFFFFF" w:val="clear"/>
        </w:rPr>
        <w:t>Holders of Ordinary shares have the right to receive notice of, and to participate in, all general meetings of the Company, where each Ordinary share shall have one vote. Each holder has the right to receive dividends, if any, in proportion to their respective Ordinary share holdings. In the event of Taboola’s liquidation, after satisfaction of liabilities to creditors, Company assets will be distributed to the holders of its Ordinary shares in proportion to their shareholdings.</w:t>
      </w:r>
    </w:p>
    <w:p>
      <w:pPr>
        <w:pStyle w:val="TextBody"/>
        <w:bidi w:val="0"/>
        <w:spacing w:before="240" w:after="240"/>
        <w:ind w:left="1170" w:right="0" w:hanging="0"/>
        <w:jc w:val="both"/>
        <w:rPr>
          <w:rFonts w:ascii="Times New Roman" w:hAnsi="Times New Roman"/>
          <w:color w:val="000000"/>
          <w:sz w:val="20"/>
          <w:shd w:fill="FFFFFF" w:val="clear"/>
        </w:rPr>
      </w:pPr>
      <w:r>
        <w:rPr>
          <w:rFonts w:ascii="Times New Roman" w:hAnsi="Times New Roman"/>
          <w:color w:val="000000"/>
          <w:sz w:val="20"/>
          <w:shd w:fill="FFFFFF" w:val="clear"/>
        </w:rPr>
        <w:t>On December 30, 2022, in connection with the Yahoo transaction, the Company’s shareholders approved an amendment and restatement to the Articles to include a Non-voting Ordinary share class with an authorized share capital of 46,000,000. In January 2023, the Company issued 45,198,702 Non-voting Ordinary shares to Yahoo. The Non-voting Ordinary shares are not entitled to vote, except in limited circumstances as provided in the Articles. Other than the voting rights, the rights to receive notice of meetings of shareholders and limited circumstances as described in the Articles, the Non-voting Ordinary shares have rights identical to the rights of Ordinary shares as described above (see Note 1b).</w:t>
      </w:r>
    </w:p>
    <w:p>
      <w:pPr>
        <w:pStyle w:val="TextBody"/>
        <w:bidi w:val="0"/>
        <w:spacing w:before="0" w:after="0"/>
        <w:ind w:left="1170" w:right="0" w:hanging="0"/>
        <w:jc w:val="both"/>
        <w:rPr>
          <w:rFonts w:ascii="Times New Roman" w:hAnsi="Times New Roman"/>
          <w:b/>
          <w:i/>
          <w:color w:val="000000"/>
          <w:sz w:val="20"/>
          <w:shd w:fill="FFFFFF" w:val="clear"/>
        </w:rPr>
      </w:pPr>
      <w:r>
        <w:rPr>
          <w:rFonts w:ascii="Times New Roman" w:hAnsi="Times New Roman"/>
          <w:b/>
          <w:i/>
          <w:color w:val="000000"/>
          <w:sz w:val="20"/>
          <w:shd w:fill="FFFFFF" w:val="clear"/>
        </w:rPr>
        <w:t>Share Incentive Plans</w:t>
      </w:r>
    </w:p>
    <w:p>
      <w:pPr>
        <w:pStyle w:val="TextBody"/>
        <w:bidi w:val="0"/>
        <w:spacing w:before="0" w:after="0"/>
        <w:jc w:val="left"/>
        <w:rPr>
          <w:rFonts w:ascii="Times New Roman" w:hAnsi="Times New Roman"/>
          <w:sz w:val="20"/>
        </w:rPr>
      </w:pPr>
      <w:r>
        <w:rPr>
          <w:rFonts w:ascii="Times New Roman" w:hAnsi="Times New Roman"/>
          <w:sz w:val="20"/>
        </w:rPr>
      </w:r>
    </w:p>
    <w:tbl>
      <w:tblPr>
        <w:tblW w:w="10205" w:type="dxa"/>
        <w:jc w:val="left"/>
        <w:tblInd w:w="0" w:type="dxa"/>
        <w:tblLayout w:type="fixed"/>
        <w:tblCellMar>
          <w:top w:w="0" w:type="dxa"/>
          <w:left w:w="0" w:type="dxa"/>
          <w:bottom w:w="0" w:type="dxa"/>
          <w:right w:w="0" w:type="dxa"/>
        </w:tblCellMar>
      </w:tblPr>
      <w:tblGrid>
        <w:gridCol w:w="38"/>
        <w:gridCol w:w="155"/>
        <w:gridCol w:w="10012"/>
      </w:tblGrid>
      <w:tr>
        <w:trPr/>
        <w:tc>
          <w:tcPr>
            <w:tcW w:w="38"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r>
          </w:p>
        </w:tc>
        <w:tc>
          <w:tcPr>
            <w:tcW w:w="155" w:type="dxa"/>
            <w:tcBorders/>
            <w:vAlign w:val="center"/>
          </w:tcPr>
          <w:p>
            <w:pPr>
              <w:pStyle w:val="TableContents"/>
              <w:bidi w:val="0"/>
              <w:spacing w:before="0" w:after="283"/>
              <w:jc w:val="left"/>
              <w:rPr/>
            </w:pPr>
            <w:r>
              <w:rPr>
                <w:rFonts w:ascii="Times New Roman" w:hAnsi="Times New Roman"/>
                <w:sz w:val="20"/>
              </w:rPr>
              <w:t>a</w:t>
            </w:r>
            <w:r>
              <w:rPr>
                <w:rFonts w:ascii="Times New Roman" w:hAnsi="Times New Roman"/>
                <w:color w:val="000000"/>
                <w:sz w:val="20"/>
              </w:rPr>
              <w:t>.</w:t>
            </w:r>
          </w:p>
        </w:tc>
        <w:tc>
          <w:tcPr>
            <w:tcW w:w="10012" w:type="dxa"/>
            <w:tcBorders/>
            <w:vAlign w:val="center"/>
          </w:tcPr>
          <w:p>
            <w:pPr>
              <w:pStyle w:val="TableContents"/>
              <w:bidi w:val="0"/>
              <w:spacing w:before="0" w:after="0"/>
              <w:jc w:val="both"/>
              <w:rPr>
                <w:rFonts w:ascii="Times New Roman" w:hAnsi="Times New Roman"/>
                <w:color w:val="000000"/>
                <w:sz w:val="20"/>
              </w:rPr>
            </w:pPr>
            <w:r>
              <w:rPr>
                <w:rFonts w:ascii="Times New Roman" w:hAnsi="Times New Roman"/>
                <w:color w:val="000000"/>
                <w:sz w:val="20"/>
              </w:rPr>
              <w:t>On May 28, 2023, the Company received the approval of the Israeli court for its motion to extend, to November 16, 2023, its former motion to allow the Company to utilize the net issuance mechanism to satisfy tax withholding obligations related to equity-based compensation on behalf of its directors, officers and other employees and possible future share repurchases (the “Program”) of up to $50,000. The Company’s board of directors have the authority to determine the amount to be utilized for the Program. On September 21, 2023, the Company submitted an additional request for extension, which is currently under the Israeli court review process, and intends to continue filing extension requests for the court approval on an ongoing basis, as required.</w:t>
            </w:r>
          </w:p>
        </w:tc>
      </w:tr>
    </w:tbl>
    <w:p>
      <w:pPr>
        <w:pStyle w:val="TextBody"/>
        <w:bidi w:val="0"/>
        <w:spacing w:before="0" w:after="0"/>
        <w:ind w:left="0" w:right="0" w:hanging="0"/>
        <w:jc w:val="left"/>
        <w:rPr>
          <w:sz w:val="20"/>
        </w:rPr>
      </w:pPr>
      <w:r>
        <w:rPr>
          <w:sz w:val="20"/>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22</w:t>
      </w:r>
    </w:p>
    <w:p>
      <w:pPr>
        <w:pStyle w:val="HorizontalLine"/>
        <w:bidi w:val="0"/>
        <w:spacing w:before="200" w:after="200"/>
        <w:jc w:val="left"/>
        <w:rPr/>
      </w:pPr>
      <w:r>
        <w:rPr/>
      </w:r>
    </w:p>
    <w:p>
      <w:pPr>
        <w:pStyle w:val="TextBody"/>
        <w:bidi w:val="0"/>
        <w:spacing w:before="200" w:after="200"/>
        <w:jc w:val="left"/>
        <w:rPr/>
      </w:pPr>
      <w:hyperlink w:anchor="Contents">
        <w:r>
          <w:rPr>
            <w:rStyle w:val="InternetLink"/>
            <w:rFonts w:ascii="Times New Roman" w:hAnsi="Times New Roman"/>
            <w:i/>
            <w:color w:val="000000"/>
            <w:sz w:val="16"/>
            <w:shd w:fill="FFFFFF" w:val="clear"/>
          </w:rPr>
          <w:t>Table of Contents</w:t>
        </w:r>
      </w:hyperlink>
    </w:p>
    <w:p>
      <w:pPr>
        <w:pStyle w:val="TextBody"/>
        <w:bidi w:val="0"/>
        <w:spacing w:before="200" w:after="200"/>
        <w:jc w:val="right"/>
        <w:rPr>
          <w:rFonts w:ascii="Times New Roman" w:hAnsi="Times New Roman"/>
          <w:b/>
          <w:color w:val="000000"/>
          <w:sz w:val="18"/>
          <w:bdr w:val="single" w:sz="12" w:space="1" w:color="000000"/>
          <w:shd w:fill="FFFFFF" w:val="clear"/>
        </w:rPr>
      </w:pPr>
      <w:r>
        <w:rPr>
          <w:rFonts w:ascii="Times New Roman" w:hAnsi="Times New Roman"/>
          <w:b/>
          <w:color w:val="000000"/>
          <w:sz w:val="18"/>
          <w:bdr w:val="single" w:sz="12" w:space="1" w:color="000000"/>
          <w:shd w:fill="FFFFFF" w:val="clear"/>
        </w:rPr>
        <w:t>TABOOLA.COM LTD.</w:t>
      </w:r>
    </w:p>
    <w:p>
      <w:pPr>
        <w:pStyle w:val="TextBody"/>
        <w:bidi w:val="0"/>
        <w:spacing w:before="200" w:after="200"/>
        <w:jc w:val="right"/>
        <w:rPr>
          <w:b/>
        </w:rPr>
      </w:pPr>
      <w:r>
        <w:rPr>
          <w:b/>
        </w:rPr>
      </w:r>
    </w:p>
    <w:p>
      <w:pPr>
        <w:pStyle w:val="TextBody"/>
        <w:bidi w:val="0"/>
        <w:spacing w:before="200" w:after="200"/>
        <w:jc w:val="left"/>
        <w:rPr>
          <w:rFonts w:ascii="Times New Roman" w:hAnsi="Times New Roman"/>
          <w:b/>
          <w:color w:val="000000"/>
          <w:sz w:val="18"/>
          <w:bdr w:val="single" w:sz="12" w:space="1" w:color="000000"/>
          <w:shd w:fill="FFFFFF" w:val="clear"/>
        </w:rPr>
      </w:pPr>
      <w:r>
        <w:rPr>
          <w:rFonts w:ascii="Times New Roman" w:hAnsi="Times New Roman"/>
          <w:b/>
          <w:color w:val="000000"/>
          <w:sz w:val="18"/>
          <w:bdr w:val="single" w:sz="12" w:space="1" w:color="000000"/>
          <w:shd w:fill="FFFFFF" w:val="clear"/>
        </w:rPr>
        <w:t>NOTES TO THE CONSOLIDATED INTERIM FINANCIAL STATEMENTS</w:t>
      </w:r>
    </w:p>
    <w:p>
      <w:pPr>
        <w:pStyle w:val="TextBody"/>
        <w:bidi w:val="0"/>
        <w:spacing w:before="200" w:after="200"/>
        <w:jc w:val="left"/>
        <w:rPr>
          <w:rFonts w:ascii="Times New Roman" w:hAnsi="Times New Roman"/>
          <w:b/>
          <w:color w:val="000000"/>
          <w:sz w:val="18"/>
          <w:shd w:fill="FFFFFF" w:val="clear"/>
        </w:rPr>
      </w:pPr>
      <w:r>
        <w:rPr>
          <w:rFonts w:ascii="Times New Roman" w:hAnsi="Times New Roman"/>
          <w:b/>
          <w:color w:val="000000"/>
          <w:sz w:val="18"/>
          <w:shd w:fill="FFFFFF" w:val="clear"/>
        </w:rPr>
        <w:t>U.S. dollars in thousands, except share and per share data</w:t>
      </w:r>
    </w:p>
    <w:tbl>
      <w:tblPr>
        <w:tblW w:w="7060" w:type="dxa"/>
        <w:jc w:val="left"/>
        <w:tblInd w:w="0" w:type="dxa"/>
        <w:tblLayout w:type="fixed"/>
        <w:tblCellMar>
          <w:top w:w="0" w:type="dxa"/>
          <w:left w:w="0" w:type="dxa"/>
          <w:bottom w:w="0" w:type="dxa"/>
          <w:right w:w="0" w:type="dxa"/>
        </w:tblCellMar>
      </w:tblPr>
      <w:tblGrid>
        <w:gridCol w:w="965"/>
        <w:gridCol w:w="6095"/>
      </w:tblGrid>
      <w:tr>
        <w:trPr/>
        <w:tc>
          <w:tcPr>
            <w:tcW w:w="965" w:type="dxa"/>
            <w:tcBorders/>
            <w:vAlign w:val="center"/>
          </w:tcPr>
          <w:p>
            <w:pPr>
              <w:pStyle w:val="TableContents"/>
              <w:bidi w:val="0"/>
              <w:spacing w:before="0" w:after="283"/>
              <w:jc w:val="left"/>
              <w:rPr>
                <w:rFonts w:ascii="Times New Roman" w:hAnsi="Times New Roman"/>
                <w:b/>
                <w:sz w:val="20"/>
              </w:rPr>
            </w:pPr>
            <w:r>
              <w:rPr>
                <w:rFonts w:ascii="Times New Roman" w:hAnsi="Times New Roman"/>
                <w:b/>
                <w:sz w:val="20"/>
              </w:rPr>
              <w:t>NOTE 10:-</w:t>
            </w:r>
          </w:p>
        </w:tc>
        <w:tc>
          <w:tcPr>
            <w:tcW w:w="6095" w:type="dxa"/>
            <w:tcBorders/>
            <w:vAlign w:val="center"/>
          </w:tcPr>
          <w:p>
            <w:pPr>
              <w:pStyle w:val="TableContents"/>
              <w:bidi w:val="0"/>
              <w:spacing w:before="0" w:after="0"/>
              <w:jc w:val="both"/>
              <w:rPr>
                <w:rFonts w:ascii="Times New Roman" w:hAnsi="Times New Roman"/>
                <w:b/>
                <w:sz w:val="20"/>
              </w:rPr>
            </w:pPr>
            <w:r>
              <w:rPr>
                <w:rFonts w:ascii="Times New Roman" w:hAnsi="Times New Roman"/>
                <w:b/>
                <w:sz w:val="20"/>
              </w:rPr>
              <w:t>SHAREHOLDERS’ EQUITY AND SHARE INCENTIVE PLANS (Cont.)</w:t>
            </w:r>
          </w:p>
        </w:tc>
      </w:tr>
    </w:tbl>
    <w:p>
      <w:pPr>
        <w:pStyle w:val="TextBody"/>
        <w:bidi w:val="0"/>
        <w:spacing w:before="0" w:after="0"/>
        <w:jc w:val="left"/>
        <w:rPr/>
      </w:pPr>
      <w:r>
        <w:rPr/>
      </w:r>
    </w:p>
    <w:p>
      <w:pPr>
        <w:pStyle w:val="TextBody"/>
        <w:bidi w:val="0"/>
        <w:spacing w:before="0" w:after="0"/>
        <w:jc w:val="left"/>
        <w:rPr>
          <w:color w:val="000000"/>
          <w:shd w:fill="FFFFFF" w:val="clear"/>
        </w:rPr>
      </w:pPr>
      <w:r>
        <w:rPr>
          <w:color w:val="000000"/>
          <w:shd w:fill="FFFFFF" w:val="clear"/>
        </w:rPr>
        <w:t xml:space="preserve">       </w:t>
      </w:r>
    </w:p>
    <w:p>
      <w:pPr>
        <w:pStyle w:val="TextBody"/>
        <w:bidi w:val="0"/>
        <w:spacing w:before="0" w:after="0"/>
        <w:ind w:left="1170" w:right="0" w:hanging="0"/>
        <w:jc w:val="both"/>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For the nine months ended September 30, 2023 and 2022, the Company utilized the net issuance mechanism in connection with equity-based compensation for certain Office Holders, which resulted in a tax withholding payment by the Company of $3,213 and $4,110, respectively, which were recorded as a reduction of additional paid-in capital.</w:t>
      </w:r>
    </w:p>
    <w:p>
      <w:pPr>
        <w:pStyle w:val="TextBody"/>
        <w:bidi w:val="0"/>
        <w:spacing w:before="0" w:after="0"/>
        <w:ind w:left="1170" w:right="0" w:hanging="0"/>
        <w:jc w:val="both"/>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r>
          </w:p>
        </w:tc>
        <w:tc>
          <w:tcPr>
            <w:tcW w:w="170"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b.</w:t>
            </w:r>
          </w:p>
        </w:tc>
        <w:tc>
          <w:tcPr>
            <w:tcW w:w="9997" w:type="dxa"/>
            <w:tcBorders/>
            <w:vAlign w:val="center"/>
          </w:tcPr>
          <w:p>
            <w:pPr>
              <w:pStyle w:val="TableContents"/>
              <w:bidi w:val="0"/>
              <w:spacing w:before="0" w:after="0"/>
              <w:jc w:val="both"/>
              <w:rPr>
                <w:sz w:val="20"/>
              </w:rPr>
            </w:pPr>
            <w:r>
              <w:rPr>
                <w:rFonts w:ascii="Times New Roman" w:hAnsi="Times New Roman"/>
                <w:color w:val="000000"/>
                <w:sz w:val="20"/>
              </w:rPr>
              <w:t xml:space="preserve">The following is a summary of share option activity and related information for the </w:t>
            </w:r>
            <w:r>
              <w:rPr>
                <w:rFonts w:ascii="Times New Roman" w:hAnsi="Times New Roman"/>
                <w:sz w:val="20"/>
              </w:rPr>
              <w:t xml:space="preserve">nine months ended </w:t>
            </w:r>
            <w:r>
              <w:rPr>
                <w:rFonts w:ascii="Times New Roman" w:hAnsi="Times New Roman"/>
                <w:color w:val="000000"/>
                <w:sz w:val="20"/>
              </w:rPr>
              <w:t>September</w:t>
            </w:r>
            <w:r>
              <w:rPr>
                <w:rFonts w:ascii="Times New Roman" w:hAnsi="Times New Roman"/>
                <w:sz w:val="20"/>
              </w:rPr>
              <w:t xml:space="preserve"> 30, 2023</w:t>
            </w:r>
            <w:r>
              <w:rPr>
                <w:rFonts w:ascii="Times New Roman" w:hAnsi="Times New Roman"/>
                <w:color w:val="000000"/>
                <w:sz w:val="20"/>
              </w:rPr>
              <w:t xml:space="preserve"> (including employees, directors, officers and consultants of the Company):</w:t>
            </w:r>
          </w:p>
        </w:tc>
      </w:tr>
    </w:tbl>
    <w:p>
      <w:pPr>
        <w:pStyle w:val="TextBody"/>
        <w:bidi w:val="0"/>
        <w:spacing w:before="0" w:after="0"/>
        <w:jc w:val="left"/>
        <w:rPr>
          <w:rFonts w:ascii="Times New Roman" w:hAnsi="Times New Roman"/>
          <w:sz w:val="20"/>
        </w:rPr>
      </w:pPr>
      <w:r>
        <w:rPr>
          <w:rFonts w:ascii="Times New Roman" w:hAnsi="Times New Roman"/>
          <w:sz w:val="20"/>
        </w:rPr>
      </w:r>
    </w:p>
    <w:tbl>
      <w:tblPr>
        <w:tblW w:w="8456" w:type="dxa"/>
        <w:jc w:val="left"/>
        <w:tblInd w:w="1170" w:type="dxa"/>
        <w:tblLayout w:type="fixed"/>
        <w:tblCellMar>
          <w:top w:w="0" w:type="dxa"/>
          <w:left w:w="0" w:type="dxa"/>
          <w:bottom w:w="0" w:type="dxa"/>
          <w:right w:w="0" w:type="dxa"/>
        </w:tblCellMar>
      </w:tblPr>
      <w:tblGrid>
        <w:gridCol w:w="4040"/>
        <w:gridCol w:w="60"/>
        <w:gridCol w:w="65"/>
        <w:gridCol w:w="1034"/>
        <w:gridCol w:w="80"/>
        <w:gridCol w:w="60"/>
        <w:gridCol w:w="215"/>
        <w:gridCol w:w="659"/>
        <w:gridCol w:w="60"/>
        <w:gridCol w:w="60"/>
        <w:gridCol w:w="141"/>
        <w:gridCol w:w="898"/>
        <w:gridCol w:w="60"/>
        <w:gridCol w:w="60"/>
        <w:gridCol w:w="157"/>
        <w:gridCol w:w="747"/>
        <w:gridCol w:w="60"/>
      </w:tblGrid>
      <w:tr>
        <w:trPr/>
        <w:tc>
          <w:tcPr>
            <w:tcW w:w="40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99" w:type="dxa"/>
            <w:gridSpan w:val="2"/>
            <w:tcBorders>
              <w:bottom w:val="single" w:sz="12" w:space="0" w:color="000000"/>
            </w:tcBorders>
            <w:tcMar>
              <w:bottom w:w="28" w:type="dxa"/>
            </w:tcMar>
            <w:vAlign w:val="bottom"/>
          </w:tcPr>
          <w:p>
            <w:pPr>
              <w:pStyle w:val="TableContents"/>
              <w:bidi w:val="0"/>
              <w:spacing w:before="0" w:after="0"/>
              <w:ind w:left="0" w:right="0" w:hanging="40"/>
              <w:jc w:val="center"/>
              <w:rPr>
                <w:rFonts w:ascii="Times New Roman" w:hAnsi="Times New Roman"/>
                <w:b/>
                <w:color w:val="000000"/>
                <w:sz w:val="20"/>
              </w:rPr>
            </w:pPr>
            <w:r>
              <w:rPr>
                <w:rFonts w:ascii="Times New Roman" w:hAnsi="Times New Roman"/>
                <w:b/>
                <w:color w:val="000000"/>
                <w:sz w:val="20"/>
              </w:rPr>
              <w:t xml:space="preserve">Outstanding </w:t>
            </w:r>
          </w:p>
          <w:p>
            <w:pPr>
              <w:pStyle w:val="TableContents"/>
              <w:bidi w:val="0"/>
              <w:spacing w:before="0" w:after="0"/>
              <w:ind w:left="0" w:right="0" w:hanging="40"/>
              <w:jc w:val="center"/>
              <w:rPr>
                <w:rFonts w:ascii="Times New Roman" w:hAnsi="Times New Roman"/>
                <w:b/>
                <w:color w:val="000000"/>
                <w:sz w:val="20"/>
              </w:rPr>
            </w:pPr>
            <w:r>
              <w:rPr>
                <w:rFonts w:ascii="Times New Roman" w:hAnsi="Times New Roman"/>
                <w:b/>
                <w:color w:val="000000"/>
                <w:sz w:val="20"/>
              </w:rPr>
              <w:t xml:space="preserve">Share </w:t>
            </w:r>
          </w:p>
          <w:p>
            <w:pPr>
              <w:pStyle w:val="TableContents"/>
              <w:bidi w:val="0"/>
              <w:spacing w:before="0" w:after="0"/>
              <w:ind w:left="0" w:right="0" w:hanging="40"/>
              <w:jc w:val="center"/>
              <w:rPr>
                <w:rFonts w:ascii="Times New Roman" w:hAnsi="Times New Roman"/>
                <w:b/>
                <w:color w:val="000000"/>
                <w:sz w:val="20"/>
              </w:rPr>
            </w:pPr>
            <w:r>
              <w:rPr>
                <w:rFonts w:ascii="Times New Roman" w:hAnsi="Times New Roman"/>
                <w:b/>
                <w:color w:val="000000"/>
                <w:sz w:val="20"/>
              </w:rPr>
              <w:t>Options</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4" w:type="dxa"/>
            <w:gridSpan w:val="2"/>
            <w:tcBorders>
              <w:bottom w:val="single" w:sz="12" w:space="0" w:color="000000"/>
            </w:tcBorders>
            <w:tcMar>
              <w:bottom w:w="28" w:type="dxa"/>
            </w:tcMar>
            <w:vAlign w:val="bottom"/>
          </w:tcPr>
          <w:p>
            <w:pPr>
              <w:pStyle w:val="TableContents"/>
              <w:bidi w:val="0"/>
              <w:spacing w:before="0" w:after="0"/>
              <w:ind w:left="0" w:right="0" w:hanging="40"/>
              <w:jc w:val="center"/>
              <w:rPr>
                <w:rFonts w:ascii="Times New Roman" w:hAnsi="Times New Roman"/>
                <w:b/>
                <w:color w:val="000000"/>
                <w:sz w:val="20"/>
              </w:rPr>
            </w:pPr>
            <w:r>
              <w:rPr>
                <w:rFonts w:ascii="Times New Roman" w:hAnsi="Times New Roman"/>
                <w:b/>
                <w:color w:val="000000"/>
                <w:sz w:val="20"/>
              </w:rPr>
              <w:t xml:space="preserve">Weighted </w:t>
            </w:r>
          </w:p>
          <w:p>
            <w:pPr>
              <w:pStyle w:val="TableContents"/>
              <w:bidi w:val="0"/>
              <w:spacing w:before="0" w:after="0"/>
              <w:ind w:left="0" w:right="0" w:hanging="40"/>
              <w:jc w:val="center"/>
              <w:rPr>
                <w:rFonts w:ascii="Times New Roman" w:hAnsi="Times New Roman"/>
                <w:b/>
                <w:color w:val="000000"/>
                <w:sz w:val="20"/>
              </w:rPr>
            </w:pPr>
            <w:r>
              <w:rPr>
                <w:rFonts w:ascii="Times New Roman" w:hAnsi="Times New Roman"/>
                <w:b/>
                <w:color w:val="000000"/>
                <w:sz w:val="20"/>
              </w:rPr>
              <w:t xml:space="preserve">Average </w:t>
            </w:r>
          </w:p>
          <w:p>
            <w:pPr>
              <w:pStyle w:val="TableContents"/>
              <w:bidi w:val="0"/>
              <w:spacing w:before="0" w:after="0"/>
              <w:ind w:left="0" w:right="0" w:hanging="40"/>
              <w:jc w:val="center"/>
              <w:rPr>
                <w:rFonts w:ascii="Times New Roman" w:hAnsi="Times New Roman"/>
                <w:b/>
                <w:color w:val="000000"/>
                <w:sz w:val="20"/>
              </w:rPr>
            </w:pPr>
            <w:r>
              <w:rPr>
                <w:rFonts w:ascii="Times New Roman" w:hAnsi="Times New Roman"/>
                <w:b/>
                <w:color w:val="000000"/>
                <w:sz w:val="20"/>
              </w:rPr>
              <w:t xml:space="preserve">Exercise </w:t>
            </w:r>
          </w:p>
          <w:p>
            <w:pPr>
              <w:pStyle w:val="TableContents"/>
              <w:bidi w:val="0"/>
              <w:spacing w:before="0" w:after="0"/>
              <w:ind w:left="0" w:right="0" w:hanging="40"/>
              <w:jc w:val="center"/>
              <w:rPr>
                <w:rFonts w:ascii="Times New Roman" w:hAnsi="Times New Roman"/>
                <w:b/>
                <w:color w:val="000000"/>
                <w:sz w:val="20"/>
              </w:rPr>
            </w:pPr>
            <w:r>
              <w:rPr>
                <w:rFonts w:ascii="Times New Roman" w:hAnsi="Times New Roman"/>
                <w:b/>
                <w:color w:val="000000"/>
                <w:sz w:val="20"/>
              </w:rPr>
              <w:t>Price</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39" w:type="dxa"/>
            <w:gridSpan w:val="2"/>
            <w:tcBorders>
              <w:bottom w:val="single" w:sz="12" w:space="0" w:color="000000"/>
            </w:tcBorders>
            <w:tcMar>
              <w:bottom w:w="28" w:type="dxa"/>
            </w:tcMar>
            <w:vAlign w:val="bottom"/>
          </w:tcPr>
          <w:p>
            <w:pPr>
              <w:pStyle w:val="TableContents"/>
              <w:bidi w:val="0"/>
              <w:spacing w:before="0" w:after="0"/>
              <w:ind w:left="0" w:right="0" w:hanging="40"/>
              <w:jc w:val="center"/>
              <w:rPr>
                <w:rFonts w:ascii="Times New Roman" w:hAnsi="Times New Roman"/>
                <w:b/>
                <w:color w:val="000000"/>
                <w:sz w:val="20"/>
              </w:rPr>
            </w:pPr>
            <w:r>
              <w:rPr>
                <w:rFonts w:ascii="Times New Roman" w:hAnsi="Times New Roman"/>
                <w:b/>
                <w:color w:val="000000"/>
                <w:sz w:val="20"/>
              </w:rPr>
              <w:t>Weighted</w:t>
            </w:r>
          </w:p>
          <w:p>
            <w:pPr>
              <w:pStyle w:val="TableContents"/>
              <w:bidi w:val="0"/>
              <w:spacing w:before="0" w:after="0"/>
              <w:ind w:left="0" w:right="0" w:hanging="40"/>
              <w:jc w:val="center"/>
              <w:rPr>
                <w:rFonts w:ascii="Times New Roman" w:hAnsi="Times New Roman"/>
                <w:b/>
                <w:color w:val="000000"/>
                <w:sz w:val="20"/>
              </w:rPr>
            </w:pPr>
            <w:r>
              <w:rPr>
                <w:rFonts w:ascii="Times New Roman" w:hAnsi="Times New Roman"/>
                <w:b/>
                <w:color w:val="000000"/>
                <w:sz w:val="20"/>
              </w:rPr>
              <w:t>Average</w:t>
            </w:r>
          </w:p>
          <w:p>
            <w:pPr>
              <w:pStyle w:val="TableContents"/>
              <w:bidi w:val="0"/>
              <w:spacing w:before="0" w:after="0"/>
              <w:ind w:left="0" w:right="0" w:hanging="40"/>
              <w:jc w:val="center"/>
              <w:rPr>
                <w:rFonts w:ascii="Times New Roman" w:hAnsi="Times New Roman"/>
                <w:b/>
                <w:color w:val="000000"/>
                <w:sz w:val="20"/>
              </w:rPr>
            </w:pPr>
            <w:r>
              <w:rPr>
                <w:rFonts w:ascii="Times New Roman" w:hAnsi="Times New Roman"/>
                <w:b/>
                <w:color w:val="000000"/>
                <w:sz w:val="20"/>
              </w:rPr>
              <w:t>Remaining</w:t>
            </w:r>
          </w:p>
          <w:p>
            <w:pPr>
              <w:pStyle w:val="TableContents"/>
              <w:bidi w:val="0"/>
              <w:spacing w:before="0" w:after="0"/>
              <w:ind w:left="0" w:right="0" w:hanging="40"/>
              <w:jc w:val="center"/>
              <w:rPr>
                <w:rFonts w:ascii="Times New Roman" w:hAnsi="Times New Roman"/>
                <w:b/>
                <w:color w:val="000000"/>
                <w:sz w:val="20"/>
              </w:rPr>
            </w:pPr>
            <w:r>
              <w:rPr>
                <w:rFonts w:ascii="Times New Roman" w:hAnsi="Times New Roman"/>
                <w:b/>
                <w:color w:val="000000"/>
                <w:sz w:val="20"/>
              </w:rPr>
              <w:t>Contractual</w:t>
            </w:r>
          </w:p>
          <w:p>
            <w:pPr>
              <w:pStyle w:val="TableContents"/>
              <w:bidi w:val="0"/>
              <w:spacing w:before="0" w:after="0"/>
              <w:ind w:left="0" w:right="0" w:hanging="40"/>
              <w:jc w:val="center"/>
              <w:rPr>
                <w:rFonts w:ascii="Times New Roman" w:hAnsi="Times New Roman"/>
                <w:b/>
                <w:color w:val="000000"/>
                <w:sz w:val="20"/>
              </w:rPr>
            </w:pPr>
            <w:r>
              <w:rPr>
                <w:rFonts w:ascii="Times New Roman" w:hAnsi="Times New Roman"/>
                <w:b/>
                <w:color w:val="000000"/>
                <w:sz w:val="20"/>
              </w:rPr>
              <w:t>Life (Years)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04" w:type="dxa"/>
            <w:gridSpan w:val="2"/>
            <w:tcBorders>
              <w:bottom w:val="single" w:sz="12" w:space="0" w:color="000000"/>
            </w:tcBorders>
            <w:tcMar>
              <w:bottom w:w="28" w:type="dxa"/>
            </w:tcMar>
            <w:vAlign w:val="bottom"/>
          </w:tcPr>
          <w:p>
            <w:pPr>
              <w:pStyle w:val="TableContents"/>
              <w:bidi w:val="0"/>
              <w:spacing w:before="0" w:after="0"/>
              <w:ind w:left="0" w:right="0" w:hanging="40"/>
              <w:jc w:val="center"/>
              <w:rPr>
                <w:rFonts w:ascii="Times New Roman" w:hAnsi="Times New Roman"/>
                <w:b/>
                <w:color w:val="000000"/>
                <w:sz w:val="20"/>
              </w:rPr>
            </w:pPr>
            <w:r>
              <w:rPr>
                <w:rFonts w:ascii="Times New Roman" w:hAnsi="Times New Roman"/>
                <w:b/>
                <w:color w:val="000000"/>
                <w:sz w:val="20"/>
              </w:rPr>
              <w:t>Aggregate</w:t>
            </w:r>
          </w:p>
          <w:p>
            <w:pPr>
              <w:pStyle w:val="TableContents"/>
              <w:bidi w:val="0"/>
              <w:spacing w:before="0" w:after="0"/>
              <w:ind w:left="0" w:right="0" w:hanging="40"/>
              <w:jc w:val="center"/>
              <w:rPr>
                <w:rFonts w:ascii="Times New Roman" w:hAnsi="Times New Roman"/>
                <w:b/>
                <w:color w:val="000000"/>
                <w:sz w:val="20"/>
              </w:rPr>
            </w:pPr>
            <w:r>
              <w:rPr>
                <w:rFonts w:ascii="Times New Roman" w:hAnsi="Times New Roman"/>
                <w:b/>
                <w:color w:val="000000"/>
                <w:sz w:val="20"/>
              </w:rPr>
              <w:t>Intrinsic</w:t>
            </w:r>
          </w:p>
          <w:p>
            <w:pPr>
              <w:pStyle w:val="TableContents"/>
              <w:bidi w:val="0"/>
              <w:spacing w:before="0" w:after="0"/>
              <w:ind w:left="0" w:right="0" w:hanging="40"/>
              <w:jc w:val="center"/>
              <w:rPr>
                <w:rFonts w:ascii="Times New Roman" w:hAnsi="Times New Roman"/>
                <w:b/>
                <w:color w:val="000000"/>
                <w:sz w:val="20"/>
              </w:rPr>
            </w:pPr>
            <w:r>
              <w:rPr>
                <w:rFonts w:ascii="Times New Roman" w:hAnsi="Times New Roman"/>
                <w:b/>
                <w:color w:val="000000"/>
                <w:sz w:val="20"/>
              </w:rPr>
              <w:t>Value</w:t>
            </w:r>
          </w:p>
        </w:tc>
        <w:tc>
          <w:tcPr>
            <w:tcW w:w="60" w:type="dxa"/>
            <w:tcBorders/>
            <w:vAlign w:val="bottom"/>
          </w:tcPr>
          <w:p>
            <w:pPr>
              <w:pStyle w:val="TableContents"/>
              <w:bidi w:val="0"/>
              <w:spacing w:before="0" w:after="283"/>
              <w:jc w:val="left"/>
              <w:rPr/>
            </w:pPr>
            <w:r>
              <w:rPr/>
              <w:t> </w:t>
            </w:r>
          </w:p>
        </w:tc>
      </w:tr>
      <w:tr>
        <w:trPr/>
        <w:tc>
          <w:tcPr>
            <w:tcW w:w="4040" w:type="dxa"/>
            <w:tcBorders/>
            <w:shd w:fill="CCEEFF" w:val="clear"/>
            <w:vAlign w:val="bottom"/>
          </w:tcPr>
          <w:p>
            <w:pPr>
              <w:pStyle w:val="TableContents"/>
              <w:bidi w:val="0"/>
              <w:spacing w:before="0" w:after="0"/>
              <w:ind w:left="22" w:right="0" w:hanging="22"/>
              <w:jc w:val="left"/>
              <w:rPr>
                <w:rFonts w:ascii="Times New Roman" w:hAnsi="Times New Roman"/>
                <w:color w:val="000000"/>
                <w:sz w:val="20"/>
              </w:rPr>
            </w:pPr>
            <w:r>
              <w:rPr>
                <w:rFonts w:ascii="Times New Roman" w:hAnsi="Times New Roman"/>
                <w:color w:val="000000"/>
                <w:sz w:val="20"/>
              </w:rPr>
              <w:t>Balance as of January 1, 2023</w:t>
            </w:r>
          </w:p>
        </w:tc>
        <w:tc>
          <w:tcPr>
            <w:tcW w:w="60" w:type="dxa"/>
            <w:tcBorders/>
            <w:shd w:fill="CCEEFF" w:val="clear"/>
            <w:vAlign w:val="bottom"/>
          </w:tcPr>
          <w:p>
            <w:pPr>
              <w:pStyle w:val="TableContents"/>
              <w:bidi w:val="0"/>
              <w:spacing w:before="0" w:after="283"/>
              <w:jc w:val="right"/>
              <w:rPr/>
            </w:pPr>
            <w:r>
              <w:rPr/>
              <w:t> </w:t>
            </w:r>
          </w:p>
        </w:tc>
        <w:tc>
          <w:tcPr>
            <w:tcW w:w="65" w:type="dxa"/>
            <w:tcBorders/>
            <w:shd w:fill="CCEEFF" w:val="clear"/>
            <w:vAlign w:val="bottom"/>
          </w:tcPr>
          <w:p>
            <w:pPr>
              <w:pStyle w:val="TableContents"/>
              <w:bidi w:val="0"/>
              <w:spacing w:before="0" w:after="283"/>
              <w:jc w:val="left"/>
              <w:rPr/>
            </w:pPr>
            <w:r>
              <w:rPr/>
              <w:t> </w:t>
            </w:r>
          </w:p>
        </w:tc>
        <w:tc>
          <w:tcPr>
            <w:tcW w:w="1034"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35,488,179</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1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59"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3.08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1" w:type="dxa"/>
            <w:tcBorders/>
            <w:shd w:fill="CCEEFF" w:val="clear"/>
            <w:vAlign w:val="bottom"/>
          </w:tcPr>
          <w:p>
            <w:pPr>
              <w:pStyle w:val="TableContents"/>
              <w:bidi w:val="0"/>
              <w:spacing w:before="0" w:after="283"/>
              <w:jc w:val="left"/>
              <w:rPr/>
            </w:pPr>
            <w:r>
              <w:rPr/>
              <w:t> </w:t>
            </w:r>
          </w:p>
        </w:tc>
        <w:tc>
          <w:tcPr>
            <w:tcW w:w="898"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6.72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7"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747"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40,516</w:t>
            </w:r>
          </w:p>
        </w:tc>
        <w:tc>
          <w:tcPr>
            <w:tcW w:w="60" w:type="dxa"/>
            <w:tcBorders/>
            <w:shd w:fill="CCEEFF" w:val="clear"/>
            <w:vAlign w:val="bottom"/>
          </w:tcPr>
          <w:p>
            <w:pPr>
              <w:pStyle w:val="TableContents"/>
              <w:bidi w:val="0"/>
              <w:spacing w:before="0" w:after="283"/>
              <w:jc w:val="left"/>
              <w:rPr/>
            </w:pPr>
            <w:r>
              <w:rPr/>
              <w:t> </w:t>
            </w:r>
          </w:p>
        </w:tc>
      </w:tr>
      <w:tr>
        <w:trPr/>
        <w:tc>
          <w:tcPr>
            <w:tcW w:w="404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Granted</w:t>
            </w:r>
          </w:p>
        </w:tc>
        <w:tc>
          <w:tcPr>
            <w:tcW w:w="60" w:type="dxa"/>
            <w:tcBorders/>
            <w:vAlign w:val="bottom"/>
          </w:tcPr>
          <w:p>
            <w:pPr>
              <w:pStyle w:val="TableContents"/>
              <w:bidi w:val="0"/>
              <w:spacing w:before="0" w:after="283"/>
              <w:jc w:val="right"/>
              <w:rPr/>
            </w:pPr>
            <w:r>
              <w:rPr/>
              <w:t> </w:t>
            </w:r>
          </w:p>
        </w:tc>
        <w:tc>
          <w:tcPr>
            <w:tcW w:w="65" w:type="dxa"/>
            <w:tcBorders/>
            <w:vAlign w:val="bottom"/>
          </w:tcPr>
          <w:p>
            <w:pPr>
              <w:pStyle w:val="TableContents"/>
              <w:bidi w:val="0"/>
              <w:spacing w:before="0" w:after="283"/>
              <w:jc w:val="left"/>
              <w:rPr/>
            </w:pPr>
            <w:r>
              <w:rPr/>
              <w:t> </w:t>
            </w:r>
          </w:p>
        </w:tc>
        <w:tc>
          <w:tcPr>
            <w:tcW w:w="1034" w:type="dxa"/>
            <w:tcBorders/>
            <w:vAlign w:val="bottom"/>
          </w:tcPr>
          <w:p>
            <w:pPr>
              <w:pStyle w:val="TableContents"/>
              <w:bidi w:val="0"/>
              <w:spacing w:before="0" w:after="0"/>
              <w:jc w:val="right"/>
              <w:rPr>
                <w:color w:val="000000"/>
              </w:rPr>
            </w:pPr>
            <w:r>
              <w:rPr>
                <w:color w:val="000000"/>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15" w:type="dxa"/>
            <w:tcBorders/>
            <w:vAlign w:val="bottom"/>
          </w:tcPr>
          <w:p>
            <w:pPr>
              <w:pStyle w:val="TableContents"/>
              <w:bidi w:val="0"/>
              <w:spacing w:before="0" w:after="283"/>
              <w:jc w:val="left"/>
              <w:rPr/>
            </w:pPr>
            <w:r>
              <w:rPr/>
              <w:t> </w:t>
            </w:r>
          </w:p>
        </w:tc>
        <w:tc>
          <w:tcPr>
            <w:tcW w:w="659" w:type="dxa"/>
            <w:tcBorders/>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1" w:type="dxa"/>
            <w:tcBorders/>
            <w:vAlign w:val="bottom"/>
          </w:tcPr>
          <w:p>
            <w:pPr>
              <w:pStyle w:val="TableContents"/>
              <w:bidi w:val="0"/>
              <w:spacing w:before="0" w:after="283"/>
              <w:jc w:val="left"/>
              <w:rPr/>
            </w:pPr>
            <w:r>
              <w:rPr/>
              <w:t> </w:t>
            </w:r>
          </w:p>
        </w:tc>
        <w:tc>
          <w:tcPr>
            <w:tcW w:w="898"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57" w:type="dxa"/>
            <w:tcBorders/>
            <w:vAlign w:val="bottom"/>
          </w:tcPr>
          <w:p>
            <w:pPr>
              <w:pStyle w:val="TableContents"/>
              <w:bidi w:val="0"/>
              <w:spacing w:before="0" w:after="283"/>
              <w:jc w:val="left"/>
              <w:rPr/>
            </w:pPr>
            <w:r>
              <w:rPr/>
              <w:t> </w:t>
            </w:r>
          </w:p>
        </w:tc>
        <w:tc>
          <w:tcPr>
            <w:tcW w:w="747"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r>
      <w:tr>
        <w:trPr/>
        <w:tc>
          <w:tcPr>
            <w:tcW w:w="404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Exercised</w:t>
            </w:r>
          </w:p>
        </w:tc>
        <w:tc>
          <w:tcPr>
            <w:tcW w:w="60" w:type="dxa"/>
            <w:tcBorders/>
            <w:shd w:fill="CCEEFF" w:val="clear"/>
            <w:vAlign w:val="bottom"/>
          </w:tcPr>
          <w:p>
            <w:pPr>
              <w:pStyle w:val="TableContents"/>
              <w:bidi w:val="0"/>
              <w:spacing w:before="0" w:after="283"/>
              <w:jc w:val="right"/>
              <w:rPr/>
            </w:pPr>
            <w:r>
              <w:rPr/>
              <w:t> </w:t>
            </w:r>
          </w:p>
        </w:tc>
        <w:tc>
          <w:tcPr>
            <w:tcW w:w="65" w:type="dxa"/>
            <w:tcBorders/>
            <w:shd w:fill="CCEEFF" w:val="clear"/>
            <w:vAlign w:val="bottom"/>
          </w:tcPr>
          <w:p>
            <w:pPr>
              <w:pStyle w:val="TableContents"/>
              <w:bidi w:val="0"/>
              <w:spacing w:before="0" w:after="283"/>
              <w:jc w:val="left"/>
              <w:rPr/>
            </w:pPr>
            <w:r>
              <w:rPr/>
              <w:t> </w:t>
            </w:r>
          </w:p>
        </w:tc>
        <w:tc>
          <w:tcPr>
            <w:tcW w:w="1034"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(4,216,727</w:t>
            </w:r>
          </w:p>
        </w:tc>
        <w:tc>
          <w:tcPr>
            <w:tcW w:w="8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right"/>
              <w:rPr/>
            </w:pPr>
            <w:r>
              <w:rPr/>
              <w:t> </w:t>
            </w:r>
          </w:p>
        </w:tc>
        <w:tc>
          <w:tcPr>
            <w:tcW w:w="215" w:type="dxa"/>
            <w:tcBorders/>
            <w:shd w:fill="CCEEFF" w:val="clear"/>
            <w:vAlign w:val="bottom"/>
          </w:tcPr>
          <w:p>
            <w:pPr>
              <w:pStyle w:val="TableContents"/>
              <w:bidi w:val="0"/>
              <w:spacing w:before="0" w:after="283"/>
              <w:jc w:val="left"/>
              <w:rPr/>
            </w:pPr>
            <w:r>
              <w:rPr/>
              <w:t> </w:t>
            </w:r>
          </w:p>
        </w:tc>
        <w:tc>
          <w:tcPr>
            <w:tcW w:w="659"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1.26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1" w:type="dxa"/>
            <w:tcBorders/>
            <w:shd w:fill="CCEEFF" w:val="clear"/>
            <w:vAlign w:val="bottom"/>
          </w:tcPr>
          <w:p>
            <w:pPr>
              <w:pStyle w:val="TableContents"/>
              <w:bidi w:val="0"/>
              <w:spacing w:before="0" w:after="283"/>
              <w:jc w:val="left"/>
              <w:rPr/>
            </w:pPr>
            <w:r>
              <w:rPr/>
              <w:t> </w:t>
            </w:r>
          </w:p>
        </w:tc>
        <w:tc>
          <w:tcPr>
            <w:tcW w:w="898"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7" w:type="dxa"/>
            <w:tcBorders/>
            <w:shd w:fill="CCEEFF" w:val="clear"/>
            <w:vAlign w:val="bottom"/>
          </w:tcPr>
          <w:p>
            <w:pPr>
              <w:pStyle w:val="TableContents"/>
              <w:bidi w:val="0"/>
              <w:spacing w:before="0" w:after="283"/>
              <w:jc w:val="left"/>
              <w:rPr/>
            </w:pPr>
            <w:r>
              <w:rPr/>
            </w:r>
          </w:p>
        </w:tc>
        <w:tc>
          <w:tcPr>
            <w:tcW w:w="747"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8,136</w:t>
            </w:r>
          </w:p>
        </w:tc>
        <w:tc>
          <w:tcPr>
            <w:tcW w:w="60" w:type="dxa"/>
            <w:tcBorders/>
            <w:shd w:fill="CCEEFF" w:val="clear"/>
            <w:vAlign w:val="bottom"/>
          </w:tcPr>
          <w:p>
            <w:pPr>
              <w:pStyle w:val="TableContents"/>
              <w:bidi w:val="0"/>
              <w:spacing w:before="0" w:after="283"/>
              <w:jc w:val="left"/>
              <w:rPr/>
            </w:pPr>
            <w:r>
              <w:rPr/>
              <w:t> </w:t>
            </w:r>
          </w:p>
        </w:tc>
      </w:tr>
      <w:tr>
        <w:trPr/>
        <w:tc>
          <w:tcPr>
            <w:tcW w:w="404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Forfeited</w:t>
            </w:r>
          </w:p>
        </w:tc>
        <w:tc>
          <w:tcPr>
            <w:tcW w:w="60" w:type="dxa"/>
            <w:tcBorders/>
            <w:vAlign w:val="bottom"/>
          </w:tcPr>
          <w:p>
            <w:pPr>
              <w:pStyle w:val="TableContents"/>
              <w:bidi w:val="0"/>
              <w:spacing w:before="0" w:after="283"/>
              <w:jc w:val="right"/>
              <w:rPr/>
            </w:pPr>
            <w:r>
              <w:rPr/>
              <w:t> </w:t>
            </w:r>
          </w:p>
        </w:tc>
        <w:tc>
          <w:tcPr>
            <w:tcW w:w="65" w:type="dxa"/>
            <w:tcBorders>
              <w:bottom w:val="single" w:sz="12" w:space="0" w:color="000000"/>
            </w:tcBorders>
            <w:tcMar>
              <w:bottom w:w="28" w:type="dxa"/>
            </w:tcMar>
            <w:vAlign w:val="bottom"/>
          </w:tcPr>
          <w:p>
            <w:pPr>
              <w:pStyle w:val="TableContents"/>
              <w:bidi w:val="0"/>
              <w:spacing w:before="0" w:after="283"/>
              <w:jc w:val="left"/>
              <w:rPr/>
            </w:pPr>
            <w:r>
              <w:rPr/>
              <w:t> </w:t>
            </w:r>
          </w:p>
        </w:tc>
        <w:tc>
          <w:tcPr>
            <w:tcW w:w="1034"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(520,000</w:t>
            </w:r>
          </w:p>
        </w:tc>
        <w:tc>
          <w:tcPr>
            <w:tcW w:w="8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right"/>
              <w:rPr/>
            </w:pPr>
            <w:r>
              <w:rPr/>
              <w:t> </w:t>
            </w:r>
          </w:p>
        </w:tc>
        <w:tc>
          <w:tcPr>
            <w:tcW w:w="215" w:type="dxa"/>
            <w:tcBorders>
              <w:bottom w:val="single" w:sz="12" w:space="0" w:color="000000"/>
            </w:tcBorders>
            <w:tcMar>
              <w:bottom w:w="28" w:type="dxa"/>
            </w:tcMar>
            <w:vAlign w:val="bottom"/>
          </w:tcPr>
          <w:p>
            <w:pPr>
              <w:pStyle w:val="TableContents"/>
              <w:bidi w:val="0"/>
              <w:spacing w:before="0" w:after="283"/>
              <w:jc w:val="left"/>
              <w:rPr/>
            </w:pPr>
            <w:r>
              <w:rPr/>
              <w:t> </w:t>
            </w:r>
          </w:p>
        </w:tc>
        <w:tc>
          <w:tcPr>
            <w:tcW w:w="659"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5.73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1" w:type="dxa"/>
            <w:tcBorders/>
            <w:vAlign w:val="bottom"/>
          </w:tcPr>
          <w:p>
            <w:pPr>
              <w:pStyle w:val="TableContents"/>
              <w:bidi w:val="0"/>
              <w:spacing w:before="0" w:after="283"/>
              <w:jc w:val="left"/>
              <w:rPr/>
            </w:pPr>
            <w:r>
              <w:rPr/>
              <w:t> </w:t>
            </w:r>
          </w:p>
        </w:tc>
        <w:tc>
          <w:tcPr>
            <w:tcW w:w="898"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57" w:type="dxa"/>
            <w:tcBorders/>
            <w:vAlign w:val="bottom"/>
          </w:tcPr>
          <w:p>
            <w:pPr>
              <w:pStyle w:val="TableContents"/>
              <w:bidi w:val="0"/>
              <w:spacing w:before="0" w:after="283"/>
              <w:jc w:val="left"/>
              <w:rPr/>
            </w:pPr>
            <w:r>
              <w:rPr/>
              <w:t> </w:t>
            </w:r>
          </w:p>
        </w:tc>
        <w:tc>
          <w:tcPr>
            <w:tcW w:w="747"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r>
      <w:tr>
        <w:trPr/>
        <w:tc>
          <w:tcPr>
            <w:tcW w:w="404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Balance as of September 30, 2023 (unaudited)</w:t>
            </w:r>
          </w:p>
        </w:tc>
        <w:tc>
          <w:tcPr>
            <w:tcW w:w="60" w:type="dxa"/>
            <w:tcBorders/>
            <w:shd w:fill="CCEEFF" w:val="clear"/>
            <w:vAlign w:val="bottom"/>
          </w:tcPr>
          <w:p>
            <w:pPr>
              <w:pStyle w:val="TableContents"/>
              <w:bidi w:val="0"/>
              <w:spacing w:before="0" w:after="283"/>
              <w:jc w:val="right"/>
              <w:rPr/>
            </w:pPr>
            <w:r>
              <w:rPr/>
              <w:t> </w:t>
            </w:r>
          </w:p>
        </w:tc>
        <w:tc>
          <w:tcPr>
            <w:tcW w:w="6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34"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212529"/>
                <w:sz w:val="20"/>
              </w:rPr>
            </w:pPr>
            <w:r>
              <w:rPr>
                <w:rFonts w:ascii="Times New Roman" w:hAnsi="Times New Roman"/>
                <w:color w:val="212529"/>
                <w:sz w:val="20"/>
              </w:rPr>
              <w:t>30,751,452</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15"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 w:hAnsi="Times New Roman"/>
                <w:color w:val="212529"/>
                <w:sz w:val="20"/>
              </w:rPr>
            </w:pPr>
            <w:r>
              <w:rPr>
                <w:rFonts w:ascii="Times New Roman" w:hAnsi="Times New Roman"/>
                <w:color w:val="212529"/>
                <w:sz w:val="20"/>
              </w:rPr>
              <w:t>$</w:t>
            </w:r>
          </w:p>
        </w:tc>
        <w:tc>
          <w:tcPr>
            <w:tcW w:w="659"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212529"/>
                <w:sz w:val="20"/>
              </w:rPr>
            </w:pPr>
            <w:r>
              <w:rPr>
                <w:rFonts w:ascii="Times New Roman" w:hAnsi="Times New Roman"/>
                <w:color w:val="212529"/>
                <w:sz w:val="20"/>
              </w:rPr>
              <w:t>3.27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1" w:type="dxa"/>
            <w:tcBorders/>
            <w:shd w:fill="CCEEFF" w:val="clear"/>
            <w:vAlign w:val="bottom"/>
          </w:tcPr>
          <w:p>
            <w:pPr>
              <w:pStyle w:val="TableContents"/>
              <w:bidi w:val="0"/>
              <w:spacing w:before="0" w:after="283"/>
              <w:jc w:val="left"/>
              <w:rPr/>
            </w:pPr>
            <w:r>
              <w:rPr/>
              <w:t> </w:t>
            </w:r>
          </w:p>
        </w:tc>
        <w:tc>
          <w:tcPr>
            <w:tcW w:w="898" w:type="dxa"/>
            <w:tcBorders/>
            <w:shd w:fill="CCEEFF" w:val="clear"/>
            <w:vAlign w:val="bottom"/>
          </w:tcPr>
          <w:p>
            <w:pPr>
              <w:pStyle w:val="TableContents"/>
              <w:bidi w:val="0"/>
              <w:spacing w:before="0" w:after="0"/>
              <w:jc w:val="right"/>
              <w:rPr>
                <w:rFonts w:ascii="Times New Roman" w:hAnsi="Times New Roman"/>
                <w:color w:val="212529"/>
                <w:sz w:val="20"/>
              </w:rPr>
            </w:pPr>
            <w:r>
              <w:rPr>
                <w:rFonts w:ascii="Times New Roman" w:hAnsi="Times New Roman"/>
                <w:color w:val="212529"/>
                <w:sz w:val="20"/>
              </w:rPr>
              <w:t>5.33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7" w:type="dxa"/>
            <w:tcBorders/>
            <w:shd w:fill="CCEEFF" w:val="clear"/>
            <w:vAlign w:val="bottom"/>
          </w:tcPr>
          <w:p>
            <w:pPr>
              <w:pStyle w:val="TableContents"/>
              <w:bidi w:val="0"/>
              <w:spacing w:before="0" w:after="0"/>
              <w:jc w:val="left"/>
              <w:rPr>
                <w:rFonts w:ascii="Times New Roman" w:hAnsi="Times New Roman"/>
                <w:color w:val="212529"/>
                <w:sz w:val="20"/>
              </w:rPr>
            </w:pPr>
            <w:r>
              <w:rPr>
                <w:rFonts w:ascii="Times New Roman" w:hAnsi="Times New Roman"/>
                <w:color w:val="212529"/>
                <w:sz w:val="20"/>
              </w:rPr>
              <w:t>$</w:t>
            </w:r>
          </w:p>
        </w:tc>
        <w:tc>
          <w:tcPr>
            <w:tcW w:w="747" w:type="dxa"/>
            <w:tcBorders/>
            <w:shd w:fill="CCEEFF" w:val="clear"/>
            <w:vAlign w:val="bottom"/>
          </w:tcPr>
          <w:p>
            <w:pPr>
              <w:pStyle w:val="TableContents"/>
              <w:bidi w:val="0"/>
              <w:spacing w:before="0" w:after="0"/>
              <w:jc w:val="right"/>
              <w:rPr>
                <w:rFonts w:ascii="Times New Roman" w:hAnsi="Times New Roman"/>
                <w:color w:val="212529"/>
                <w:sz w:val="20"/>
              </w:rPr>
            </w:pPr>
            <w:r>
              <w:rPr>
                <w:rFonts w:ascii="Times New Roman" w:hAnsi="Times New Roman"/>
                <w:color w:val="212529"/>
                <w:sz w:val="20"/>
              </w:rPr>
              <w:t>48,883</w:t>
            </w:r>
          </w:p>
        </w:tc>
        <w:tc>
          <w:tcPr>
            <w:tcW w:w="60" w:type="dxa"/>
            <w:tcBorders/>
            <w:shd w:fill="CCEEFF" w:val="clear"/>
            <w:vAlign w:val="bottom"/>
          </w:tcPr>
          <w:p>
            <w:pPr>
              <w:pStyle w:val="TableContents"/>
              <w:bidi w:val="0"/>
              <w:spacing w:before="0" w:after="283"/>
              <w:jc w:val="left"/>
              <w:rPr/>
            </w:pPr>
            <w:r>
              <w:rPr/>
              <w:t> </w:t>
            </w:r>
          </w:p>
        </w:tc>
      </w:tr>
      <w:tr>
        <w:trPr/>
        <w:tc>
          <w:tcPr>
            <w:tcW w:w="404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Exercisable as of September 30, 2023 (unaudited)</w:t>
            </w:r>
          </w:p>
        </w:tc>
        <w:tc>
          <w:tcPr>
            <w:tcW w:w="60" w:type="dxa"/>
            <w:tcBorders/>
            <w:vAlign w:val="bottom"/>
          </w:tcPr>
          <w:p>
            <w:pPr>
              <w:pStyle w:val="TableContents"/>
              <w:bidi w:val="0"/>
              <w:spacing w:before="0" w:after="283"/>
              <w:jc w:val="right"/>
              <w:rPr/>
            </w:pPr>
            <w:r>
              <w:rPr/>
              <w:t> </w:t>
            </w:r>
          </w:p>
        </w:tc>
        <w:tc>
          <w:tcPr>
            <w:tcW w:w="65" w:type="dxa"/>
            <w:tcBorders>
              <w:bottom w:val="single" w:sz="12" w:space="0" w:color="000000"/>
            </w:tcBorders>
            <w:tcMar>
              <w:bottom w:w="28" w:type="dxa"/>
            </w:tcMar>
            <w:vAlign w:val="bottom"/>
          </w:tcPr>
          <w:p>
            <w:pPr>
              <w:pStyle w:val="TableContents"/>
              <w:bidi w:val="0"/>
              <w:spacing w:before="0" w:after="283"/>
              <w:jc w:val="left"/>
              <w:rPr/>
            </w:pPr>
            <w:r>
              <w:rPr/>
              <w:t> </w:t>
            </w:r>
          </w:p>
        </w:tc>
        <w:tc>
          <w:tcPr>
            <w:tcW w:w="1034"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212529"/>
                <w:sz w:val="20"/>
              </w:rPr>
            </w:pPr>
            <w:r>
              <w:rPr>
                <w:rFonts w:ascii="Times New Roman" w:hAnsi="Times New Roman"/>
                <w:color w:val="212529"/>
                <w:sz w:val="20"/>
              </w:rPr>
              <w:t>25,474,261</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15"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color w:val="212529"/>
                <w:sz w:val="20"/>
              </w:rPr>
            </w:pPr>
            <w:r>
              <w:rPr>
                <w:rFonts w:ascii="Times New Roman" w:hAnsi="Times New Roman"/>
                <w:color w:val="212529"/>
                <w:sz w:val="20"/>
              </w:rPr>
              <w:t>$</w:t>
            </w:r>
          </w:p>
        </w:tc>
        <w:tc>
          <w:tcPr>
            <w:tcW w:w="659"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212529"/>
                <w:sz w:val="20"/>
              </w:rPr>
            </w:pPr>
            <w:r>
              <w:rPr>
                <w:rFonts w:ascii="Times New Roman" w:hAnsi="Times New Roman"/>
                <w:color w:val="212529"/>
                <w:sz w:val="20"/>
              </w:rPr>
              <w:t>2.63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1" w:type="dxa"/>
            <w:tcBorders/>
            <w:vAlign w:val="bottom"/>
          </w:tcPr>
          <w:p>
            <w:pPr>
              <w:pStyle w:val="TableContents"/>
              <w:bidi w:val="0"/>
              <w:spacing w:before="0" w:after="283"/>
              <w:jc w:val="left"/>
              <w:rPr/>
            </w:pPr>
            <w:r>
              <w:rPr/>
              <w:t> </w:t>
            </w:r>
          </w:p>
        </w:tc>
        <w:tc>
          <w:tcPr>
            <w:tcW w:w="898" w:type="dxa"/>
            <w:tcBorders/>
            <w:vAlign w:val="bottom"/>
          </w:tcPr>
          <w:p>
            <w:pPr>
              <w:pStyle w:val="TableContents"/>
              <w:bidi w:val="0"/>
              <w:spacing w:before="0" w:after="0"/>
              <w:jc w:val="right"/>
              <w:rPr>
                <w:rFonts w:ascii="Times New Roman" w:hAnsi="Times New Roman"/>
                <w:color w:val="212529"/>
                <w:sz w:val="20"/>
              </w:rPr>
            </w:pPr>
            <w:r>
              <w:rPr>
                <w:rFonts w:ascii="Times New Roman" w:hAnsi="Times New Roman"/>
                <w:color w:val="212529"/>
                <w:sz w:val="20"/>
              </w:rPr>
              <w:t>4.87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57" w:type="dxa"/>
            <w:tcBorders/>
            <w:vAlign w:val="bottom"/>
          </w:tcPr>
          <w:p>
            <w:pPr>
              <w:pStyle w:val="TableContents"/>
              <w:bidi w:val="0"/>
              <w:spacing w:before="0" w:after="0"/>
              <w:jc w:val="left"/>
              <w:rPr>
                <w:rFonts w:ascii="Times New Roman" w:hAnsi="Times New Roman"/>
                <w:color w:val="212529"/>
                <w:sz w:val="20"/>
              </w:rPr>
            </w:pPr>
            <w:r>
              <w:rPr>
                <w:rFonts w:ascii="Times New Roman" w:hAnsi="Times New Roman"/>
                <w:color w:val="212529"/>
                <w:sz w:val="20"/>
              </w:rPr>
              <w:t>$</w:t>
            </w:r>
          </w:p>
        </w:tc>
        <w:tc>
          <w:tcPr>
            <w:tcW w:w="747" w:type="dxa"/>
            <w:tcBorders/>
            <w:vAlign w:val="bottom"/>
          </w:tcPr>
          <w:p>
            <w:pPr>
              <w:pStyle w:val="TableContents"/>
              <w:bidi w:val="0"/>
              <w:spacing w:before="0" w:after="0"/>
              <w:jc w:val="right"/>
              <w:rPr>
                <w:rFonts w:ascii="Times New Roman" w:hAnsi="Times New Roman"/>
                <w:color w:val="212529"/>
                <w:sz w:val="20"/>
              </w:rPr>
            </w:pPr>
            <w:r>
              <w:rPr>
                <w:rFonts w:ascii="Times New Roman" w:hAnsi="Times New Roman"/>
                <w:color w:val="212529"/>
                <w:sz w:val="20"/>
              </w:rPr>
              <w:t>45,087</w:t>
            </w:r>
          </w:p>
        </w:tc>
        <w:tc>
          <w:tcPr>
            <w:tcW w:w="60" w:type="dxa"/>
            <w:tcBorders/>
            <w:vAlign w:val="bottom"/>
          </w:tcPr>
          <w:p>
            <w:pPr>
              <w:pStyle w:val="TableContents"/>
              <w:bidi w:val="0"/>
              <w:spacing w:before="0" w:after="283"/>
              <w:jc w:val="left"/>
              <w:rPr/>
            </w:pPr>
            <w:r>
              <w:rPr/>
              <w:t> </w:t>
            </w:r>
          </w:p>
        </w:tc>
      </w:tr>
    </w:tbl>
    <w:p>
      <w:pPr>
        <w:pStyle w:val="TextBody"/>
        <w:bidi w:val="0"/>
        <w:spacing w:before="0" w:after="0"/>
        <w:ind w:left="1170" w:right="0" w:hanging="0"/>
        <w:jc w:val="left"/>
        <w:rPr>
          <w:rFonts w:ascii="Times New Roman" w:hAnsi="Times New Roman"/>
          <w:sz w:val="20"/>
        </w:rPr>
      </w:pPr>
      <w:r>
        <w:rPr>
          <w:rFonts w:ascii="Times New Roman" w:hAnsi="Times New Roman"/>
          <w:sz w:val="20"/>
        </w:rPr>
      </w:r>
    </w:p>
    <w:p>
      <w:pPr>
        <w:pStyle w:val="TextBody"/>
        <w:bidi w:val="0"/>
        <w:spacing w:before="0" w:after="0"/>
        <w:ind w:left="1170" w:right="0" w:hanging="0"/>
        <w:jc w:val="both"/>
        <w:rPr>
          <w:rFonts w:ascii="Times New Roman" w:hAnsi="Times New Roman"/>
          <w:color w:val="000000"/>
          <w:sz w:val="20"/>
          <w:shd w:fill="FFFFFF" w:val="clear"/>
        </w:rPr>
      </w:pPr>
      <w:r>
        <w:rPr>
          <w:rFonts w:ascii="Times New Roman" w:hAnsi="Times New Roman"/>
          <w:color w:val="000000"/>
          <w:sz w:val="20"/>
          <w:shd w:fill="FFFFFF" w:val="clear"/>
        </w:rPr>
        <w:t>The aggregate intrinsic value in the table above represents the total intrinsic value that would have been received by the option holders had all option holders exercised their options on the last date of the period.</w:t>
      </w:r>
    </w:p>
    <w:p>
      <w:pPr>
        <w:pStyle w:val="TextBody"/>
        <w:bidi w:val="0"/>
        <w:spacing w:before="0" w:after="0"/>
        <w:jc w:val="left"/>
        <w:rPr/>
      </w:pPr>
      <w:r>
        <w:rPr/>
      </w:r>
    </w:p>
    <w:p>
      <w:pPr>
        <w:pStyle w:val="TextBody"/>
        <w:bidi w:val="0"/>
        <w:spacing w:before="0" w:after="0"/>
        <w:ind w:left="1170" w:right="0" w:hanging="0"/>
        <w:jc w:val="both"/>
        <w:rPr>
          <w:rFonts w:ascii="Times New Roman" w:hAnsi="Times New Roman"/>
          <w:color w:val="000000"/>
          <w:sz w:val="20"/>
          <w:shd w:fill="FFFFFF" w:val="clear"/>
        </w:rPr>
      </w:pPr>
      <w:r>
        <w:rPr>
          <w:rFonts w:ascii="Times New Roman" w:hAnsi="Times New Roman"/>
          <w:color w:val="000000"/>
          <w:sz w:val="20"/>
          <w:shd w:fill="FFFFFF" w:val="clear"/>
        </w:rPr>
        <w:t>The Company did not grant any options during the nine months ended September 30, 2023.</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1170" w:right="0" w:hanging="0"/>
        <w:jc w:val="both"/>
        <w:rPr>
          <w:rFonts w:ascii="Times New Roman" w:hAnsi="Times New Roman"/>
          <w:color w:val="000000"/>
          <w:sz w:val="20"/>
          <w:shd w:fill="FFFFFF" w:val="clear"/>
        </w:rPr>
      </w:pPr>
      <w:r>
        <w:rPr>
          <w:rFonts w:ascii="Times New Roman" w:hAnsi="Times New Roman"/>
          <w:color w:val="000000"/>
          <w:sz w:val="20"/>
          <w:shd w:fill="FFFFFF" w:val="clear"/>
        </w:rPr>
        <w:t>As of September 30, 2023, unrecognized share-based compensation cost related to unvested share options was $16,247, which is expected to be recognized over a weighted-average period of 1.6 years.</w:t>
      </w:r>
    </w:p>
    <w:p>
      <w:pPr>
        <w:pStyle w:val="TextBody"/>
        <w:bidi w:val="0"/>
        <w:spacing w:before="0" w:after="0"/>
        <w:jc w:val="left"/>
        <w:rPr>
          <w:rFonts w:ascii="Times New Roman" w:hAnsi="Times New Roman"/>
          <w:sz w:val="20"/>
        </w:rPr>
      </w:pPr>
      <w:r>
        <w:rPr>
          <w:rFonts w:ascii="Times New Roman" w:hAnsi="Times New Roman"/>
          <w:sz w:val="20"/>
        </w:rPr>
      </w:r>
    </w:p>
    <w:tbl>
      <w:tblPr>
        <w:tblW w:w="9918" w:type="dxa"/>
        <w:jc w:val="left"/>
        <w:tblInd w:w="0" w:type="dxa"/>
        <w:tblLayout w:type="fixed"/>
        <w:tblCellMar>
          <w:top w:w="0" w:type="dxa"/>
          <w:left w:w="0" w:type="dxa"/>
          <w:bottom w:w="0" w:type="dxa"/>
          <w:right w:w="0" w:type="dxa"/>
        </w:tblCellMar>
      </w:tblPr>
      <w:tblGrid>
        <w:gridCol w:w="38"/>
        <w:gridCol w:w="155"/>
        <w:gridCol w:w="9725"/>
      </w:tblGrid>
      <w:tr>
        <w:trPr/>
        <w:tc>
          <w:tcPr>
            <w:tcW w:w="38"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r>
          </w:p>
        </w:tc>
        <w:tc>
          <w:tcPr>
            <w:tcW w:w="155"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c.</w:t>
            </w:r>
          </w:p>
        </w:tc>
        <w:tc>
          <w:tcPr>
            <w:tcW w:w="9725" w:type="dxa"/>
            <w:tcBorders/>
            <w:vAlign w:val="center"/>
          </w:tcPr>
          <w:p>
            <w:pPr>
              <w:pStyle w:val="TableContents"/>
              <w:bidi w:val="0"/>
              <w:spacing w:before="0" w:after="0"/>
              <w:jc w:val="both"/>
              <w:rPr>
                <w:sz w:val="20"/>
              </w:rPr>
            </w:pPr>
            <w:r>
              <w:rPr>
                <w:rFonts w:ascii="Times New Roman" w:hAnsi="Times New Roman"/>
                <w:color w:val="000000"/>
                <w:sz w:val="20"/>
              </w:rPr>
              <w:t xml:space="preserve">The following is a summary of the RSU activity and related information for the </w:t>
            </w:r>
            <w:r>
              <w:rPr>
                <w:rFonts w:ascii="Times New Roman" w:hAnsi="Times New Roman"/>
                <w:sz w:val="20"/>
              </w:rPr>
              <w:t xml:space="preserve">nine months ended </w:t>
            </w:r>
            <w:r>
              <w:rPr>
                <w:rFonts w:ascii="Times New Roman" w:hAnsi="Times New Roman"/>
                <w:color w:val="000000"/>
                <w:sz w:val="20"/>
              </w:rPr>
              <w:t>September</w:t>
            </w:r>
            <w:r>
              <w:rPr>
                <w:rFonts w:ascii="Times New Roman" w:hAnsi="Times New Roman"/>
                <w:sz w:val="20"/>
              </w:rPr>
              <w:t xml:space="preserve"> 30</w:t>
            </w:r>
            <w:r>
              <w:rPr>
                <w:rFonts w:ascii="Times New Roman" w:hAnsi="Times New Roman"/>
                <w:color w:val="000000"/>
                <w:sz w:val="20"/>
              </w:rPr>
              <w:t xml:space="preserve">, </w:t>
            </w:r>
            <w:r>
              <w:rPr>
                <w:rFonts w:ascii="Times New Roman" w:hAnsi="Times New Roman"/>
                <w:sz w:val="20"/>
              </w:rPr>
              <w:t>2023</w:t>
            </w:r>
            <w:r>
              <w:rPr>
                <w:rFonts w:ascii="Times New Roman" w:hAnsi="Times New Roman"/>
                <w:color w:val="000000"/>
                <w:sz w:val="20"/>
              </w:rPr>
              <w:t>:</w:t>
            </w:r>
          </w:p>
        </w:tc>
      </w:tr>
    </w:tbl>
    <w:p>
      <w:pPr>
        <w:pStyle w:val="TextBody"/>
        <w:bidi w:val="0"/>
        <w:spacing w:before="0" w:after="0"/>
        <w:jc w:val="left"/>
        <w:rPr>
          <w:rFonts w:ascii="Times New Roman" w:hAnsi="Times New Roman"/>
          <w:sz w:val="20"/>
        </w:rPr>
      </w:pPr>
      <w:r>
        <w:rPr>
          <w:rFonts w:ascii="Times New Roman" w:hAnsi="Times New Roman"/>
          <w:sz w:val="20"/>
        </w:rPr>
      </w:r>
    </w:p>
    <w:tbl>
      <w:tblPr>
        <w:tblW w:w="6998" w:type="dxa"/>
        <w:jc w:val="left"/>
        <w:tblInd w:w="1170" w:type="dxa"/>
        <w:tblLayout w:type="fixed"/>
        <w:tblCellMar>
          <w:top w:w="0" w:type="dxa"/>
          <w:left w:w="0" w:type="dxa"/>
          <w:bottom w:w="0" w:type="dxa"/>
          <w:right w:w="0" w:type="dxa"/>
        </w:tblCellMar>
      </w:tblPr>
      <w:tblGrid>
        <w:gridCol w:w="3755"/>
        <w:gridCol w:w="60"/>
        <w:gridCol w:w="93"/>
        <w:gridCol w:w="1481"/>
        <w:gridCol w:w="80"/>
        <w:gridCol w:w="60"/>
        <w:gridCol w:w="348"/>
        <w:gridCol w:w="1061"/>
        <w:gridCol w:w="60"/>
      </w:tblGrid>
      <w:tr>
        <w:trPr/>
        <w:tc>
          <w:tcPr>
            <w:tcW w:w="37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74" w:type="dxa"/>
            <w:gridSpan w:val="2"/>
            <w:tcBorders>
              <w:bottom w:val="single" w:sz="12" w:space="0" w:color="000000"/>
            </w:tcBorders>
            <w:tcMar>
              <w:bottom w:w="28" w:type="dxa"/>
            </w:tcMar>
            <w:vAlign w:val="bottom"/>
          </w:tcPr>
          <w:p>
            <w:pPr>
              <w:pStyle w:val="TableContents"/>
              <w:bidi w:val="0"/>
              <w:spacing w:before="0" w:after="0"/>
              <w:ind w:left="0" w:right="0" w:firstLine="40"/>
              <w:jc w:val="center"/>
              <w:rPr>
                <w:rFonts w:ascii="Times New Roman" w:hAnsi="Times New Roman"/>
                <w:b/>
                <w:color w:val="000000"/>
                <w:sz w:val="20"/>
              </w:rPr>
            </w:pPr>
            <w:r>
              <w:rPr>
                <w:rFonts w:ascii="Times New Roman" w:hAnsi="Times New Roman"/>
                <w:b/>
                <w:color w:val="000000"/>
                <w:sz w:val="20"/>
              </w:rPr>
              <w:t>Outstanding</w:t>
            </w:r>
          </w:p>
          <w:p>
            <w:pPr>
              <w:pStyle w:val="TableContents"/>
              <w:bidi w:val="0"/>
              <w:spacing w:before="0" w:after="0"/>
              <w:ind w:left="0" w:right="0" w:firstLine="40"/>
              <w:jc w:val="center"/>
              <w:rPr>
                <w:rFonts w:ascii="Times New Roman" w:hAnsi="Times New Roman"/>
                <w:b/>
                <w:color w:val="000000"/>
                <w:sz w:val="20"/>
              </w:rPr>
            </w:pPr>
            <w:r>
              <w:rPr>
                <w:rFonts w:ascii="Times New Roman" w:hAnsi="Times New Roman"/>
                <w:b/>
                <w:color w:val="000000"/>
                <w:sz w:val="20"/>
              </w:rPr>
              <w:t xml:space="preserve">Restricted Shares </w:t>
            </w:r>
          </w:p>
          <w:p>
            <w:pPr>
              <w:pStyle w:val="TableContents"/>
              <w:bidi w:val="0"/>
              <w:spacing w:before="0" w:after="0"/>
              <w:ind w:left="0" w:right="0" w:firstLine="40"/>
              <w:jc w:val="center"/>
              <w:rPr>
                <w:rFonts w:ascii="Times New Roman" w:hAnsi="Times New Roman"/>
                <w:b/>
                <w:color w:val="000000"/>
                <w:sz w:val="20"/>
              </w:rPr>
            </w:pPr>
            <w:r>
              <w:rPr>
                <w:rFonts w:ascii="Times New Roman" w:hAnsi="Times New Roman"/>
                <w:b/>
                <w:color w:val="000000"/>
                <w:sz w:val="20"/>
              </w:rPr>
              <w:t>Unit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9" w:type="dxa"/>
            <w:gridSpan w:val="2"/>
            <w:tcBorders>
              <w:bottom w:val="single" w:sz="12" w:space="0" w:color="000000"/>
            </w:tcBorders>
            <w:tcMar>
              <w:bottom w:w="28" w:type="dxa"/>
            </w:tcMar>
            <w:vAlign w:val="bottom"/>
          </w:tcPr>
          <w:p>
            <w:pPr>
              <w:pStyle w:val="TableContents"/>
              <w:bidi w:val="0"/>
              <w:spacing w:before="0" w:after="0"/>
              <w:ind w:left="0" w:right="0" w:firstLine="40"/>
              <w:jc w:val="center"/>
              <w:rPr>
                <w:rFonts w:ascii="Times New Roman" w:hAnsi="Times New Roman"/>
                <w:b/>
                <w:color w:val="000000"/>
                <w:sz w:val="20"/>
              </w:rPr>
            </w:pPr>
            <w:r>
              <w:rPr>
                <w:rFonts w:ascii="Times New Roman" w:hAnsi="Times New Roman"/>
                <w:b/>
                <w:color w:val="000000"/>
                <w:sz w:val="20"/>
              </w:rPr>
              <w:t xml:space="preserve">Weighted </w:t>
            </w:r>
          </w:p>
          <w:p>
            <w:pPr>
              <w:pStyle w:val="TableContents"/>
              <w:bidi w:val="0"/>
              <w:spacing w:before="0" w:after="0"/>
              <w:ind w:left="0" w:right="0" w:firstLine="40"/>
              <w:jc w:val="center"/>
              <w:rPr>
                <w:rFonts w:ascii="Times New Roman" w:hAnsi="Times New Roman"/>
                <w:b/>
                <w:color w:val="000000"/>
                <w:sz w:val="20"/>
              </w:rPr>
            </w:pPr>
            <w:r>
              <w:rPr>
                <w:rFonts w:ascii="Times New Roman" w:hAnsi="Times New Roman"/>
                <w:b/>
                <w:color w:val="000000"/>
                <w:sz w:val="20"/>
              </w:rPr>
              <w:t xml:space="preserve">Average Grant </w:t>
            </w:r>
          </w:p>
          <w:p>
            <w:pPr>
              <w:pStyle w:val="TableContents"/>
              <w:bidi w:val="0"/>
              <w:spacing w:before="0" w:after="0"/>
              <w:ind w:left="0" w:right="0" w:firstLine="40"/>
              <w:jc w:val="center"/>
              <w:rPr>
                <w:rFonts w:ascii="Times New Roman" w:hAnsi="Times New Roman"/>
                <w:b/>
                <w:color w:val="000000"/>
                <w:sz w:val="20"/>
              </w:rPr>
            </w:pPr>
            <w:r>
              <w:rPr>
                <w:rFonts w:ascii="Times New Roman" w:hAnsi="Times New Roman"/>
                <w:b/>
                <w:color w:val="000000"/>
                <w:sz w:val="20"/>
              </w:rPr>
              <w:t>Date Fair Value</w:t>
            </w:r>
          </w:p>
        </w:tc>
        <w:tc>
          <w:tcPr>
            <w:tcW w:w="60" w:type="dxa"/>
            <w:tcBorders/>
            <w:vAlign w:val="bottom"/>
          </w:tcPr>
          <w:p>
            <w:pPr>
              <w:pStyle w:val="TableContents"/>
              <w:bidi w:val="0"/>
              <w:spacing w:before="0" w:after="283"/>
              <w:jc w:val="left"/>
              <w:rPr/>
            </w:pPr>
            <w:r>
              <w:rPr/>
              <w:t> </w:t>
            </w:r>
          </w:p>
        </w:tc>
      </w:tr>
      <w:tr>
        <w:trPr/>
        <w:tc>
          <w:tcPr>
            <w:tcW w:w="3755" w:type="dxa"/>
            <w:tcBorders>
              <w:bottom w:val="single" w:sz="2" w:space="0" w:color="FFFFFF"/>
            </w:tcBorders>
            <w:tcMar>
              <w:bottom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74" w:type="dxa"/>
            <w:gridSpan w:val="2"/>
            <w:tcBorders>
              <w:bottom w:val="single" w:sz="2" w:space="0" w:color="FFFFFF"/>
            </w:tcBorders>
            <w:tcMar>
              <w:bottom w:w="28" w:type="dxa"/>
            </w:tcMar>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9" w:type="dxa"/>
            <w:gridSpan w:val="2"/>
            <w:tcBorders>
              <w:bottom w:val="single" w:sz="2" w:space="0" w:color="FFFFFF"/>
            </w:tcBorders>
            <w:tcMar>
              <w:bottom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r>
      <w:tr>
        <w:trPr/>
        <w:tc>
          <w:tcPr>
            <w:tcW w:w="375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Balance as of January 1, 2023</w:t>
            </w:r>
          </w:p>
        </w:tc>
        <w:tc>
          <w:tcPr>
            <w:tcW w:w="60" w:type="dxa"/>
            <w:tcBorders/>
            <w:shd w:fill="CCEEFF" w:val="clear"/>
            <w:vAlign w:val="bottom"/>
          </w:tcPr>
          <w:p>
            <w:pPr>
              <w:pStyle w:val="TableContents"/>
              <w:bidi w:val="0"/>
              <w:spacing w:before="0" w:after="283"/>
              <w:jc w:val="right"/>
              <w:rPr/>
            </w:pPr>
            <w:r>
              <w:rPr/>
              <w:t> </w:t>
            </w:r>
          </w:p>
        </w:tc>
        <w:tc>
          <w:tcPr>
            <w:tcW w:w="93" w:type="dxa"/>
            <w:tcBorders/>
            <w:shd w:fill="CCEEFF" w:val="clear"/>
            <w:vAlign w:val="bottom"/>
          </w:tcPr>
          <w:p>
            <w:pPr>
              <w:pStyle w:val="TableContents"/>
              <w:bidi w:val="0"/>
              <w:spacing w:before="0" w:after="283"/>
              <w:jc w:val="left"/>
              <w:rPr/>
            </w:pPr>
            <w:r>
              <w:rPr/>
              <w:t> </w:t>
            </w:r>
          </w:p>
        </w:tc>
        <w:tc>
          <w:tcPr>
            <w:tcW w:w="1481"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23,521,009</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348"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061"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6.60</w:t>
            </w:r>
          </w:p>
        </w:tc>
        <w:tc>
          <w:tcPr>
            <w:tcW w:w="60" w:type="dxa"/>
            <w:tcBorders/>
            <w:shd w:fill="CCEEFF" w:val="clear"/>
            <w:vAlign w:val="bottom"/>
          </w:tcPr>
          <w:p>
            <w:pPr>
              <w:pStyle w:val="TableContents"/>
              <w:bidi w:val="0"/>
              <w:spacing w:before="0" w:after="283"/>
              <w:jc w:val="left"/>
              <w:rPr/>
            </w:pPr>
            <w:r>
              <w:rPr/>
              <w:t> </w:t>
            </w:r>
          </w:p>
        </w:tc>
      </w:tr>
      <w:tr>
        <w:trPr/>
        <w:tc>
          <w:tcPr>
            <w:tcW w:w="375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Granted</w:t>
            </w:r>
          </w:p>
        </w:tc>
        <w:tc>
          <w:tcPr>
            <w:tcW w:w="60" w:type="dxa"/>
            <w:tcBorders/>
            <w:vAlign w:val="bottom"/>
          </w:tcPr>
          <w:p>
            <w:pPr>
              <w:pStyle w:val="TableContents"/>
              <w:bidi w:val="0"/>
              <w:spacing w:before="0" w:after="283"/>
              <w:jc w:val="right"/>
              <w:rPr/>
            </w:pPr>
            <w:r>
              <w:rPr/>
              <w:t> </w:t>
            </w:r>
          </w:p>
        </w:tc>
        <w:tc>
          <w:tcPr>
            <w:tcW w:w="93" w:type="dxa"/>
            <w:tcBorders/>
            <w:vAlign w:val="bottom"/>
          </w:tcPr>
          <w:p>
            <w:pPr>
              <w:pStyle w:val="TableContents"/>
              <w:bidi w:val="0"/>
              <w:spacing w:before="0" w:after="283"/>
              <w:jc w:val="left"/>
              <w:rPr/>
            </w:pPr>
            <w:r>
              <w:rPr/>
              <w:t> </w:t>
            </w:r>
          </w:p>
        </w:tc>
        <w:tc>
          <w:tcPr>
            <w:tcW w:w="1481"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12,453,986</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348" w:type="dxa"/>
            <w:tcBorders/>
            <w:vAlign w:val="bottom"/>
          </w:tcPr>
          <w:p>
            <w:pPr>
              <w:pStyle w:val="TableContents"/>
              <w:bidi w:val="0"/>
              <w:spacing w:before="0" w:after="283"/>
              <w:jc w:val="left"/>
              <w:rPr/>
            </w:pPr>
            <w:r>
              <w:rPr/>
              <w:t> </w:t>
            </w:r>
          </w:p>
        </w:tc>
        <w:tc>
          <w:tcPr>
            <w:tcW w:w="1061"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3.52</w:t>
            </w:r>
          </w:p>
        </w:tc>
        <w:tc>
          <w:tcPr>
            <w:tcW w:w="60" w:type="dxa"/>
            <w:tcBorders/>
            <w:vAlign w:val="bottom"/>
          </w:tcPr>
          <w:p>
            <w:pPr>
              <w:pStyle w:val="TableContents"/>
              <w:bidi w:val="0"/>
              <w:spacing w:before="0" w:after="283"/>
              <w:jc w:val="left"/>
              <w:rPr/>
            </w:pPr>
            <w:r>
              <w:rPr/>
              <w:t> </w:t>
            </w:r>
          </w:p>
        </w:tc>
      </w:tr>
      <w:tr>
        <w:trPr/>
        <w:tc>
          <w:tcPr>
            <w:tcW w:w="375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Vested (*)</w:t>
            </w:r>
          </w:p>
        </w:tc>
        <w:tc>
          <w:tcPr>
            <w:tcW w:w="60" w:type="dxa"/>
            <w:tcBorders/>
            <w:shd w:fill="CCEEFF" w:val="clear"/>
            <w:vAlign w:val="bottom"/>
          </w:tcPr>
          <w:p>
            <w:pPr>
              <w:pStyle w:val="TableContents"/>
              <w:bidi w:val="0"/>
              <w:spacing w:before="0" w:after="283"/>
              <w:jc w:val="right"/>
              <w:rPr/>
            </w:pPr>
            <w:r>
              <w:rPr/>
              <w:t> </w:t>
            </w:r>
          </w:p>
        </w:tc>
        <w:tc>
          <w:tcPr>
            <w:tcW w:w="93" w:type="dxa"/>
            <w:tcBorders/>
            <w:shd w:fill="CCEEFF" w:val="clear"/>
            <w:vAlign w:val="bottom"/>
          </w:tcPr>
          <w:p>
            <w:pPr>
              <w:pStyle w:val="TableContents"/>
              <w:bidi w:val="0"/>
              <w:spacing w:before="0" w:after="283"/>
              <w:jc w:val="left"/>
              <w:rPr/>
            </w:pPr>
            <w:r>
              <w:rPr/>
              <w:t> </w:t>
            </w:r>
          </w:p>
        </w:tc>
        <w:tc>
          <w:tcPr>
            <w:tcW w:w="1481"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(8,326,762</w:t>
            </w:r>
          </w:p>
        </w:tc>
        <w:tc>
          <w:tcPr>
            <w:tcW w:w="8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right"/>
              <w:rPr/>
            </w:pPr>
            <w:r>
              <w:rPr/>
              <w:t> </w:t>
            </w:r>
          </w:p>
        </w:tc>
        <w:tc>
          <w:tcPr>
            <w:tcW w:w="348" w:type="dxa"/>
            <w:tcBorders/>
            <w:shd w:fill="CCEEFF" w:val="clear"/>
            <w:vAlign w:val="bottom"/>
          </w:tcPr>
          <w:p>
            <w:pPr>
              <w:pStyle w:val="TableContents"/>
              <w:bidi w:val="0"/>
              <w:spacing w:before="0" w:after="283"/>
              <w:jc w:val="left"/>
              <w:rPr/>
            </w:pPr>
            <w:r>
              <w:rPr/>
              <w:t> </w:t>
            </w:r>
          </w:p>
        </w:tc>
        <w:tc>
          <w:tcPr>
            <w:tcW w:w="1061"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5.78</w:t>
            </w:r>
          </w:p>
        </w:tc>
        <w:tc>
          <w:tcPr>
            <w:tcW w:w="60" w:type="dxa"/>
            <w:tcBorders/>
            <w:shd w:fill="CCEEFF" w:val="clear"/>
            <w:vAlign w:val="bottom"/>
          </w:tcPr>
          <w:p>
            <w:pPr>
              <w:pStyle w:val="TableContents"/>
              <w:bidi w:val="0"/>
              <w:spacing w:before="0" w:after="283"/>
              <w:jc w:val="left"/>
              <w:rPr/>
            </w:pPr>
            <w:r>
              <w:rPr/>
              <w:t> </w:t>
            </w:r>
          </w:p>
        </w:tc>
      </w:tr>
      <w:tr>
        <w:trPr/>
        <w:tc>
          <w:tcPr>
            <w:tcW w:w="375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Forfeited</w:t>
            </w:r>
          </w:p>
        </w:tc>
        <w:tc>
          <w:tcPr>
            <w:tcW w:w="60" w:type="dxa"/>
            <w:tcBorders/>
            <w:vAlign w:val="bottom"/>
          </w:tcPr>
          <w:p>
            <w:pPr>
              <w:pStyle w:val="TableContents"/>
              <w:bidi w:val="0"/>
              <w:spacing w:before="0" w:after="283"/>
              <w:jc w:val="right"/>
              <w:rPr/>
            </w:pPr>
            <w:r>
              <w:rPr/>
              <w:t> </w:t>
            </w:r>
          </w:p>
        </w:tc>
        <w:tc>
          <w:tcPr>
            <w:tcW w:w="93" w:type="dxa"/>
            <w:tcBorders>
              <w:bottom w:val="single" w:sz="12" w:space="0" w:color="000000"/>
            </w:tcBorders>
            <w:tcMar>
              <w:bottom w:w="28" w:type="dxa"/>
            </w:tcMar>
            <w:vAlign w:val="bottom"/>
          </w:tcPr>
          <w:p>
            <w:pPr>
              <w:pStyle w:val="TableContents"/>
              <w:bidi w:val="0"/>
              <w:spacing w:before="0" w:after="283"/>
              <w:jc w:val="left"/>
              <w:rPr/>
            </w:pPr>
            <w:r>
              <w:rPr/>
              <w:t> </w:t>
            </w:r>
          </w:p>
        </w:tc>
        <w:tc>
          <w:tcPr>
            <w:tcW w:w="1481"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(2,280,025</w:t>
            </w:r>
          </w:p>
        </w:tc>
        <w:tc>
          <w:tcPr>
            <w:tcW w:w="8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right"/>
              <w:rPr/>
            </w:pPr>
            <w:r>
              <w:rPr/>
              <w:t> </w:t>
            </w:r>
          </w:p>
        </w:tc>
        <w:tc>
          <w:tcPr>
            <w:tcW w:w="348" w:type="dxa"/>
            <w:tcBorders>
              <w:bottom w:val="single" w:sz="12" w:space="0" w:color="000000"/>
            </w:tcBorders>
            <w:tcMar>
              <w:bottom w:w="28" w:type="dxa"/>
            </w:tcMar>
            <w:vAlign w:val="bottom"/>
          </w:tcPr>
          <w:p>
            <w:pPr>
              <w:pStyle w:val="TableContents"/>
              <w:bidi w:val="0"/>
              <w:spacing w:before="0" w:after="283"/>
              <w:jc w:val="left"/>
              <w:rPr/>
            </w:pPr>
            <w:r>
              <w:rPr/>
              <w:t> </w:t>
            </w:r>
          </w:p>
        </w:tc>
        <w:tc>
          <w:tcPr>
            <w:tcW w:w="1061"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6.07</w:t>
            </w:r>
          </w:p>
        </w:tc>
        <w:tc>
          <w:tcPr>
            <w:tcW w:w="60" w:type="dxa"/>
            <w:tcBorders/>
            <w:vAlign w:val="bottom"/>
          </w:tcPr>
          <w:p>
            <w:pPr>
              <w:pStyle w:val="TableContents"/>
              <w:bidi w:val="0"/>
              <w:spacing w:before="0" w:after="283"/>
              <w:jc w:val="left"/>
              <w:rPr/>
            </w:pPr>
            <w:r>
              <w:rPr/>
              <w:t> </w:t>
            </w:r>
          </w:p>
        </w:tc>
      </w:tr>
      <w:tr>
        <w:trPr/>
        <w:tc>
          <w:tcPr>
            <w:tcW w:w="375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Balance as of September 30, 2023 (unaudited)</w:t>
            </w:r>
          </w:p>
        </w:tc>
        <w:tc>
          <w:tcPr>
            <w:tcW w:w="60" w:type="dxa"/>
            <w:tcBorders/>
            <w:shd w:fill="CCEEFF" w:val="clear"/>
            <w:vAlign w:val="bottom"/>
          </w:tcPr>
          <w:p>
            <w:pPr>
              <w:pStyle w:val="TableContents"/>
              <w:bidi w:val="0"/>
              <w:spacing w:before="0" w:after="283"/>
              <w:jc w:val="right"/>
              <w:rPr/>
            </w:pPr>
            <w:r>
              <w:rPr/>
              <w:t> </w:t>
            </w:r>
          </w:p>
        </w:tc>
        <w:tc>
          <w:tcPr>
            <w:tcW w:w="93"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481"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25,368,208</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348"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061"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5.23</w:t>
            </w:r>
          </w:p>
        </w:tc>
        <w:tc>
          <w:tcPr>
            <w:tcW w:w="60" w:type="dxa"/>
            <w:tcBorders/>
            <w:shd w:fill="CCEEFF" w:val="clear"/>
            <w:vAlign w:val="bottom"/>
          </w:tcPr>
          <w:p>
            <w:pPr>
              <w:pStyle w:val="TableContents"/>
              <w:bidi w:val="0"/>
              <w:spacing w:before="0" w:after="283"/>
              <w:jc w:val="left"/>
              <w:rPr/>
            </w:pPr>
            <w:r>
              <w:rPr/>
              <w:t> </w:t>
            </w:r>
          </w:p>
        </w:tc>
      </w:tr>
    </w:tbl>
    <w:tbl>
      <w:tblPr>
        <w:tblW w:w="23" w:type="dxa"/>
        <w:jc w:val="left"/>
        <w:tblInd w:w="1170" w:type="dxa"/>
        <w:tblLayout w:type="fixed"/>
        <w:tblCellMar>
          <w:top w:w="0" w:type="dxa"/>
          <w:left w:w="0" w:type="dxa"/>
          <w:bottom w:w="0" w:type="dxa"/>
          <w:right w:w="0" w:type="dxa"/>
        </w:tblCellMar>
      </w:tblPr>
      <w:tblGrid>
        <w:gridCol w:w="23"/>
      </w:tblGrid>
      <w:tr>
        <w:trPr/>
        <w:tc>
          <w:tcPr>
            <w:tcW w:w="23" w:type="dxa"/>
            <w:tcBorders/>
            <w:vAlign w:val="center"/>
          </w:tcPr>
          <w:p>
            <w:pPr>
              <w:pStyle w:val="HorizontalLine"/>
              <w:pBdr>
                <w:bottom w:val="double" w:sz="2" w:space="0" w:color="808080"/>
              </w:pBdr>
              <w:bidi w:val="0"/>
              <w:spacing w:before="0" w:after="283"/>
              <w:jc w:val="left"/>
              <w:rPr/>
            </w:pPr>
            <w:r>
              <w:rPr/>
            </w:r>
          </w:p>
        </w:tc>
      </w:tr>
    </w:tbl>
    <w:p>
      <w:pPr>
        <w:pStyle w:val="TextBody"/>
        <w:bidi w:val="0"/>
        <w:spacing w:before="0" w:after="0"/>
        <w:ind w:left="1170" w:right="0" w:hanging="0"/>
        <w:jc w:val="both"/>
        <w:rPr>
          <w:rFonts w:ascii="Times New Roman" w:hAnsi="Times New Roman"/>
          <w:color w:val="000000"/>
          <w:sz w:val="20"/>
          <w:shd w:fill="FFFFFF" w:val="clear"/>
        </w:rPr>
      </w:pPr>
      <w:r>
        <w:rPr>
          <w:rFonts w:ascii="Times New Roman" w:hAnsi="Times New Roman"/>
          <w:color w:val="000000"/>
          <w:sz w:val="20"/>
          <w:shd w:fill="FFFFFF" w:val="clear"/>
        </w:rPr>
        <w:t>(*) A portion of the shares that vested were netted out to satisfy the tax obligations of the recipients. During the nine months ended September 30, 2023, a total of 1,009,669 RSUs were canceled to satisfy tax obligations, resulting in net issuance of 1,009,658 shares.</w:t>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23</w:t>
      </w:r>
    </w:p>
    <w:p>
      <w:pPr>
        <w:pStyle w:val="HorizontalLine"/>
        <w:bidi w:val="0"/>
        <w:spacing w:before="200" w:after="200"/>
        <w:jc w:val="left"/>
        <w:rPr/>
      </w:pPr>
      <w:r>
        <w:rPr/>
      </w:r>
    </w:p>
    <w:p>
      <w:pPr>
        <w:pStyle w:val="TextBody"/>
        <w:bidi w:val="0"/>
        <w:spacing w:before="200" w:after="200"/>
        <w:jc w:val="left"/>
        <w:rPr/>
      </w:pPr>
      <w:hyperlink w:anchor="Contents">
        <w:r>
          <w:rPr>
            <w:rStyle w:val="InternetLink"/>
            <w:rFonts w:ascii="Times New Roman" w:hAnsi="Times New Roman"/>
            <w:i/>
            <w:color w:val="000000"/>
            <w:sz w:val="16"/>
            <w:shd w:fill="FFFFFF" w:val="clear"/>
          </w:rPr>
          <w:t>Table of Contents</w:t>
        </w:r>
      </w:hyperlink>
    </w:p>
    <w:p>
      <w:pPr>
        <w:pStyle w:val="TextBody"/>
        <w:bidi w:val="0"/>
        <w:spacing w:before="200" w:after="200"/>
        <w:jc w:val="right"/>
        <w:rPr>
          <w:rFonts w:ascii="Times New Roman" w:hAnsi="Times New Roman"/>
          <w:b/>
          <w:color w:val="000000"/>
          <w:sz w:val="18"/>
          <w:bdr w:val="single" w:sz="12" w:space="1" w:color="000000"/>
          <w:shd w:fill="FFFFFF" w:val="clear"/>
        </w:rPr>
      </w:pPr>
      <w:r>
        <w:rPr>
          <w:rFonts w:ascii="Times New Roman" w:hAnsi="Times New Roman"/>
          <w:b/>
          <w:color w:val="000000"/>
          <w:sz w:val="18"/>
          <w:bdr w:val="single" w:sz="12" w:space="1" w:color="000000"/>
          <w:shd w:fill="FFFFFF" w:val="clear"/>
        </w:rPr>
        <w:t>TABOOLA.COM LTD.</w:t>
      </w:r>
    </w:p>
    <w:p>
      <w:pPr>
        <w:pStyle w:val="TextBody"/>
        <w:bidi w:val="0"/>
        <w:spacing w:before="200" w:after="200"/>
        <w:jc w:val="right"/>
        <w:rPr>
          <w:b/>
        </w:rPr>
      </w:pPr>
      <w:r>
        <w:rPr>
          <w:b/>
        </w:rPr>
      </w:r>
    </w:p>
    <w:p>
      <w:pPr>
        <w:pStyle w:val="TextBody"/>
        <w:bidi w:val="0"/>
        <w:spacing w:before="200" w:after="200"/>
        <w:jc w:val="left"/>
        <w:rPr>
          <w:rFonts w:ascii="Times New Roman" w:hAnsi="Times New Roman"/>
          <w:b/>
          <w:color w:val="000000"/>
          <w:sz w:val="18"/>
          <w:bdr w:val="single" w:sz="12" w:space="1" w:color="000000"/>
          <w:shd w:fill="FFFFFF" w:val="clear"/>
        </w:rPr>
      </w:pPr>
      <w:r>
        <w:rPr>
          <w:rFonts w:ascii="Times New Roman" w:hAnsi="Times New Roman"/>
          <w:b/>
          <w:color w:val="000000"/>
          <w:sz w:val="18"/>
          <w:bdr w:val="single" w:sz="12" w:space="1" w:color="000000"/>
          <w:shd w:fill="FFFFFF" w:val="clear"/>
        </w:rPr>
        <w:t>NOTES TO THE CONSOLIDATED INTERIM FINANCIAL STATEMENTS</w:t>
      </w:r>
    </w:p>
    <w:p>
      <w:pPr>
        <w:pStyle w:val="TextBody"/>
        <w:bidi w:val="0"/>
        <w:spacing w:before="200" w:after="200"/>
        <w:jc w:val="left"/>
        <w:rPr>
          <w:rFonts w:ascii="Times New Roman" w:hAnsi="Times New Roman"/>
          <w:b/>
          <w:color w:val="000000"/>
          <w:sz w:val="18"/>
          <w:shd w:fill="FFFFFF" w:val="clear"/>
        </w:rPr>
      </w:pPr>
      <w:r>
        <w:rPr>
          <w:rFonts w:ascii="Times New Roman" w:hAnsi="Times New Roman"/>
          <w:b/>
          <w:color w:val="000000"/>
          <w:sz w:val="18"/>
          <w:shd w:fill="FFFFFF" w:val="clear"/>
        </w:rPr>
        <w:t>U.S. dollars in thousands, except share and per share data</w:t>
      </w:r>
    </w:p>
    <w:tbl>
      <w:tblPr>
        <w:tblW w:w="7060" w:type="dxa"/>
        <w:jc w:val="left"/>
        <w:tblInd w:w="0" w:type="dxa"/>
        <w:tblLayout w:type="fixed"/>
        <w:tblCellMar>
          <w:top w:w="0" w:type="dxa"/>
          <w:left w:w="0" w:type="dxa"/>
          <w:bottom w:w="0" w:type="dxa"/>
          <w:right w:w="0" w:type="dxa"/>
        </w:tblCellMar>
      </w:tblPr>
      <w:tblGrid>
        <w:gridCol w:w="965"/>
        <w:gridCol w:w="6095"/>
      </w:tblGrid>
      <w:tr>
        <w:trPr/>
        <w:tc>
          <w:tcPr>
            <w:tcW w:w="965" w:type="dxa"/>
            <w:tcBorders/>
            <w:vAlign w:val="center"/>
          </w:tcPr>
          <w:p>
            <w:pPr>
              <w:pStyle w:val="TableContents"/>
              <w:bidi w:val="0"/>
              <w:spacing w:before="0" w:after="283"/>
              <w:jc w:val="left"/>
              <w:rPr>
                <w:rFonts w:ascii="Times New Roman" w:hAnsi="Times New Roman"/>
                <w:b/>
                <w:sz w:val="20"/>
              </w:rPr>
            </w:pPr>
            <w:r>
              <w:rPr>
                <w:rFonts w:ascii="Times New Roman" w:hAnsi="Times New Roman"/>
                <w:b/>
                <w:sz w:val="20"/>
              </w:rPr>
              <w:t>NOTE 10:-</w:t>
            </w:r>
          </w:p>
        </w:tc>
        <w:tc>
          <w:tcPr>
            <w:tcW w:w="6095" w:type="dxa"/>
            <w:tcBorders/>
            <w:vAlign w:val="center"/>
          </w:tcPr>
          <w:p>
            <w:pPr>
              <w:pStyle w:val="TableContents"/>
              <w:bidi w:val="0"/>
              <w:spacing w:before="0" w:after="0"/>
              <w:jc w:val="both"/>
              <w:rPr>
                <w:rFonts w:ascii="Times New Roman" w:hAnsi="Times New Roman"/>
                <w:b/>
                <w:sz w:val="20"/>
              </w:rPr>
            </w:pPr>
            <w:r>
              <w:rPr>
                <w:rFonts w:ascii="Times New Roman" w:hAnsi="Times New Roman"/>
                <w:b/>
                <w:sz w:val="20"/>
              </w:rPr>
              <w:t>SHAREHOLDERS’ EQUITY AND SHARE INCENTIVE PLANS (Cont.)</w:t>
            </w:r>
          </w:p>
        </w:tc>
      </w:tr>
    </w:tbl>
    <w:p>
      <w:pPr>
        <w:pStyle w:val="TextBody"/>
        <w:bidi w:val="0"/>
        <w:spacing w:before="200" w:after="200"/>
        <w:ind w:left="1170" w:right="0" w:hanging="0"/>
        <w:jc w:val="both"/>
        <w:rPr>
          <w:rFonts w:ascii="Times New Roman" w:hAnsi="Times New Roman"/>
          <w:color w:val="000000"/>
          <w:sz w:val="20"/>
          <w:shd w:fill="FFFFFF" w:val="clear"/>
        </w:rPr>
      </w:pPr>
      <w:r>
        <w:rPr>
          <w:rFonts w:ascii="Times New Roman" w:hAnsi="Times New Roman"/>
          <w:color w:val="000000"/>
          <w:sz w:val="20"/>
          <w:shd w:fill="FFFFFF" w:val="clear"/>
        </w:rPr>
        <w:t>The total release date fair value of RSUs was $27,741, during the nine months ended September 30, 2023.</w:t>
      </w:r>
    </w:p>
    <w:p>
      <w:pPr>
        <w:pStyle w:val="TextBody"/>
        <w:bidi w:val="0"/>
        <w:spacing w:before="0" w:after="0"/>
        <w:ind w:left="1170" w:right="0" w:hanging="0"/>
        <w:jc w:val="both"/>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As of September 30, 2023, unrecognized share-based compensation cost related to unvested RSUs was $108,565, which is expected to be recognized over a weighted-average period of 2.7 years.</w:t>
      </w:r>
    </w:p>
    <w:p>
      <w:pPr>
        <w:pStyle w:val="TextBody"/>
        <w:bidi w:val="0"/>
        <w:spacing w:before="0" w:after="0"/>
        <w:jc w:val="left"/>
        <w:rPr/>
      </w:pPr>
      <w:r>
        <w:rPr/>
      </w:r>
    </w:p>
    <w:p>
      <w:pPr>
        <w:pStyle w:val="TextBody"/>
        <w:bidi w:val="0"/>
        <w:spacing w:before="0" w:after="0"/>
        <w:ind w:left="1080" w:right="0" w:firstLine="9"/>
        <w:jc w:val="both"/>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r>
    </w:p>
    <w:p>
      <w:pPr>
        <w:pStyle w:val="TextBody"/>
        <w:bidi w:val="0"/>
        <w:spacing w:before="0" w:after="0"/>
        <w:ind w:left="1080" w:right="0" w:hanging="0"/>
        <w:jc w:val="both"/>
        <w:rPr>
          <w:rFonts w:ascii="Times New Roman" w:hAnsi="Times New Roman"/>
          <w:color w:val="000000"/>
          <w:sz w:val="20"/>
          <w:shd w:fill="FFFFFF" w:val="clear"/>
        </w:rPr>
      </w:pPr>
      <w:r>
        <w:rPr>
          <w:rFonts w:ascii="Times New Roman" w:hAnsi="Times New Roman"/>
          <w:color w:val="000000"/>
          <w:sz w:val="20"/>
          <w:shd w:fill="FFFFFF" w:val="clear"/>
        </w:rPr>
        <w:t>The total share-based compensation expense related to all of the Company’s share-based awards recognized for the three and nine months ended September 30, 2023 and 2022, was comprised as follows:</w:t>
      </w:r>
    </w:p>
    <w:p>
      <w:pPr>
        <w:pStyle w:val="TextBody"/>
        <w:bidi w:val="0"/>
        <w:spacing w:before="0" w:after="0"/>
        <w:jc w:val="left"/>
        <w:rPr/>
      </w:pPr>
      <w:r>
        <w:rPr/>
      </w:r>
    </w:p>
    <w:tbl>
      <w:tblPr>
        <w:tblW w:w="6907" w:type="dxa"/>
        <w:jc w:val="left"/>
        <w:tblInd w:w="1080" w:type="dxa"/>
        <w:tblLayout w:type="fixed"/>
        <w:tblCellMar>
          <w:top w:w="0" w:type="dxa"/>
          <w:left w:w="0" w:type="dxa"/>
          <w:bottom w:w="0" w:type="dxa"/>
          <w:right w:w="0" w:type="dxa"/>
        </w:tblCellMar>
      </w:tblPr>
      <w:tblGrid>
        <w:gridCol w:w="3335"/>
        <w:gridCol w:w="60"/>
        <w:gridCol w:w="139"/>
        <w:gridCol w:w="658"/>
        <w:gridCol w:w="66"/>
        <w:gridCol w:w="66"/>
        <w:gridCol w:w="139"/>
        <w:gridCol w:w="658"/>
        <w:gridCol w:w="60"/>
        <w:gridCol w:w="60"/>
        <w:gridCol w:w="129"/>
        <w:gridCol w:w="612"/>
        <w:gridCol w:w="62"/>
        <w:gridCol w:w="62"/>
        <w:gridCol w:w="129"/>
        <w:gridCol w:w="612"/>
        <w:gridCol w:w="60"/>
      </w:tblGrid>
      <w:tr>
        <w:trPr/>
        <w:tc>
          <w:tcPr>
            <w:tcW w:w="3335" w:type="dxa"/>
            <w:tcBorders/>
            <w:vAlign w:val="bottom"/>
          </w:tcPr>
          <w:p>
            <w:pPr>
              <w:pStyle w:val="TableContents"/>
              <w:bidi w:val="0"/>
              <w:spacing w:before="0" w:after="283"/>
              <w:jc w:val="left"/>
              <w:rPr/>
            </w:pPr>
            <w:r>
              <w:rPr/>
            </w:r>
          </w:p>
        </w:tc>
        <w:tc>
          <w:tcPr>
            <w:tcW w:w="60" w:type="dxa"/>
            <w:tcBorders/>
            <w:vAlign w:val="bottom"/>
          </w:tcPr>
          <w:p>
            <w:pPr>
              <w:pStyle w:val="TableContents"/>
              <w:bidi w:val="0"/>
              <w:spacing w:before="0" w:after="283"/>
              <w:jc w:val="left"/>
              <w:rPr/>
            </w:pPr>
            <w:r>
              <w:rPr/>
              <w:t> </w:t>
            </w:r>
          </w:p>
        </w:tc>
        <w:tc>
          <w:tcPr>
            <w:tcW w:w="1726" w:type="dxa"/>
            <w:gridSpan w:val="6"/>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Three months ended</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September 30,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06" w:type="dxa"/>
            <w:gridSpan w:val="6"/>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Nine months ended</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September 30,</w:t>
            </w:r>
          </w:p>
        </w:tc>
        <w:tc>
          <w:tcPr>
            <w:tcW w:w="60" w:type="dxa"/>
            <w:tcBorders/>
            <w:vAlign w:val="bottom"/>
          </w:tcPr>
          <w:p>
            <w:pPr>
              <w:pStyle w:val="TableContents"/>
              <w:bidi w:val="0"/>
              <w:spacing w:before="0" w:after="283"/>
              <w:jc w:val="left"/>
              <w:rPr/>
            </w:pPr>
            <w:r>
              <w:rPr/>
              <w:t> </w:t>
            </w:r>
          </w:p>
        </w:tc>
      </w:tr>
      <w:tr>
        <w:trPr/>
        <w:tc>
          <w:tcPr>
            <w:tcW w:w="333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97"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2023</w:t>
            </w:r>
          </w:p>
        </w:tc>
        <w:tc>
          <w:tcPr>
            <w:tcW w:w="66"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797"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2022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center"/>
              <w:rPr/>
            </w:pPr>
            <w:r>
              <w:rPr/>
              <w:t> </w:t>
            </w:r>
          </w:p>
        </w:tc>
        <w:tc>
          <w:tcPr>
            <w:tcW w:w="741" w:type="dxa"/>
            <w:gridSpan w:val="2"/>
            <w:tcBorders>
              <w:bottom w:val="single" w:sz="12" w:space="0" w:color="000000"/>
            </w:tcBorders>
            <w:tcMar>
              <w:bottom w:w="28" w:type="dxa"/>
            </w:tcMar>
            <w:vAlign w:val="bottom"/>
          </w:tcPr>
          <w:p>
            <w:pPr>
              <w:pStyle w:val="TableContents"/>
              <w:bidi w:val="0"/>
              <w:spacing w:before="0" w:after="283"/>
              <w:jc w:val="center"/>
              <w:rPr>
                <w:rFonts w:ascii="Times New Roman" w:hAnsi="Times New Roman"/>
                <w:b/>
                <w:sz w:val="20"/>
              </w:rPr>
            </w:pPr>
            <w:r>
              <w:rPr>
                <w:rFonts w:ascii="Times New Roman" w:hAnsi="Times New Roman"/>
                <w:b/>
                <w:sz w:val="20"/>
              </w:rPr>
              <w:t>2023</w:t>
            </w:r>
          </w:p>
        </w:tc>
        <w:tc>
          <w:tcPr>
            <w:tcW w:w="62"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center"/>
              <w:rPr/>
            </w:pPr>
            <w:r>
              <w:rPr/>
              <w:t> </w:t>
            </w:r>
          </w:p>
        </w:tc>
        <w:tc>
          <w:tcPr>
            <w:tcW w:w="741" w:type="dxa"/>
            <w:gridSpan w:val="2"/>
            <w:tcBorders>
              <w:bottom w:val="single" w:sz="12" w:space="0" w:color="000000"/>
            </w:tcBorders>
            <w:tcMar>
              <w:bottom w:w="28" w:type="dxa"/>
            </w:tcMar>
            <w:vAlign w:val="bottom"/>
          </w:tcPr>
          <w:p>
            <w:pPr>
              <w:pStyle w:val="TableContents"/>
              <w:bidi w:val="0"/>
              <w:spacing w:before="0" w:after="283"/>
              <w:jc w:val="center"/>
              <w:rPr>
                <w:rFonts w:ascii="Times New Roman" w:hAnsi="Times New Roman"/>
                <w:b/>
                <w:sz w:val="20"/>
              </w:rPr>
            </w:pPr>
            <w:r>
              <w:rPr>
                <w:rFonts w:ascii="Times New Roman" w:hAnsi="Times New Roman"/>
                <w:b/>
                <w:sz w:val="20"/>
              </w:rPr>
              <w:t>2022</w:t>
            </w:r>
          </w:p>
        </w:tc>
        <w:tc>
          <w:tcPr>
            <w:tcW w:w="60" w:type="dxa"/>
            <w:tcBorders/>
            <w:vAlign w:val="bottom"/>
          </w:tcPr>
          <w:p>
            <w:pPr>
              <w:pStyle w:val="TableContents"/>
              <w:bidi w:val="0"/>
              <w:spacing w:before="0" w:after="283"/>
              <w:jc w:val="left"/>
              <w:rPr/>
            </w:pPr>
            <w:r>
              <w:rPr/>
              <w:t> </w:t>
            </w:r>
          </w:p>
        </w:tc>
      </w:tr>
      <w:tr>
        <w:trPr/>
        <w:tc>
          <w:tcPr>
            <w:tcW w:w="3335" w:type="dxa"/>
            <w:tcBorders/>
            <w:vAlign w:val="bottom"/>
          </w:tcPr>
          <w:p>
            <w:pPr>
              <w:pStyle w:val="TableContents"/>
              <w:bidi w:val="0"/>
              <w:spacing w:before="0" w:after="0"/>
              <w:ind w:left="180" w:right="0" w:hanging="0"/>
              <w:jc w:val="left"/>
              <w:rPr/>
            </w:pPr>
            <w:r>
              <w:rPr/>
              <w:t> </w:t>
            </w:r>
          </w:p>
        </w:tc>
        <w:tc>
          <w:tcPr>
            <w:tcW w:w="60" w:type="dxa"/>
            <w:tcBorders/>
            <w:vAlign w:val="bottom"/>
          </w:tcPr>
          <w:p>
            <w:pPr>
              <w:pStyle w:val="TableContents"/>
              <w:bidi w:val="0"/>
              <w:spacing w:before="0" w:after="283"/>
              <w:jc w:val="left"/>
              <w:rPr/>
            </w:pPr>
            <w:r>
              <w:rPr/>
              <w:t> </w:t>
            </w:r>
          </w:p>
        </w:tc>
        <w:tc>
          <w:tcPr>
            <w:tcW w:w="3452" w:type="dxa"/>
            <w:gridSpan w:val="14"/>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Unaudited</w:t>
            </w:r>
          </w:p>
        </w:tc>
        <w:tc>
          <w:tcPr>
            <w:tcW w:w="60" w:type="dxa"/>
            <w:tcBorders/>
            <w:vAlign w:val="bottom"/>
          </w:tcPr>
          <w:p>
            <w:pPr>
              <w:pStyle w:val="TableContents"/>
              <w:bidi w:val="0"/>
              <w:spacing w:before="0" w:after="283"/>
              <w:jc w:val="left"/>
              <w:rPr/>
            </w:pPr>
            <w:r>
              <w:rPr/>
              <w:t> </w:t>
            </w:r>
          </w:p>
        </w:tc>
      </w:tr>
      <w:tr>
        <w:trPr/>
        <w:tc>
          <w:tcPr>
            <w:tcW w:w="333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Cost of revenues</w:t>
            </w:r>
          </w:p>
        </w:tc>
        <w:tc>
          <w:tcPr>
            <w:tcW w:w="60" w:type="dxa"/>
            <w:tcBorders/>
            <w:shd w:fill="CCEEFF" w:val="clear"/>
            <w:vAlign w:val="bottom"/>
          </w:tcPr>
          <w:p>
            <w:pPr>
              <w:pStyle w:val="TableContents"/>
              <w:bidi w:val="0"/>
              <w:spacing w:before="0" w:after="283"/>
              <w:jc w:val="right"/>
              <w:rPr/>
            </w:pPr>
            <w:r>
              <w:rPr/>
              <w:t> </w:t>
            </w:r>
          </w:p>
        </w:tc>
        <w:tc>
          <w:tcPr>
            <w:tcW w:w="139"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58"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999</w:t>
            </w:r>
          </w:p>
        </w:tc>
        <w:tc>
          <w:tcPr>
            <w:tcW w:w="66"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right"/>
              <w:rPr/>
            </w:pPr>
            <w:r>
              <w:rPr/>
              <w:t> </w:t>
            </w:r>
          </w:p>
        </w:tc>
        <w:tc>
          <w:tcPr>
            <w:tcW w:w="139"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58"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673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9" w:type="dxa"/>
            <w:tcBorders/>
            <w:shd w:fill="CCEEFF" w:val="clear"/>
            <w:vAlign w:val="bottom"/>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12" w:type="dxa"/>
            <w:tcBorders/>
            <w:shd w:fill="CCEEFF" w:val="clear"/>
            <w:vAlign w:val="bottom"/>
          </w:tcPr>
          <w:p>
            <w:pPr>
              <w:pStyle w:val="TableContents"/>
              <w:bidi w:val="0"/>
              <w:spacing w:before="0" w:after="283"/>
              <w:jc w:val="right"/>
              <w:rPr>
                <w:rFonts w:ascii="Times New Roman" w:hAnsi="Times New Roman"/>
                <w:sz w:val="20"/>
              </w:rPr>
            </w:pPr>
            <w:r>
              <w:rPr>
                <w:rFonts w:ascii="Times New Roman" w:hAnsi="Times New Roman"/>
                <w:sz w:val="20"/>
              </w:rPr>
              <w:t>3,082</w:t>
            </w:r>
          </w:p>
        </w:tc>
        <w:tc>
          <w:tcPr>
            <w:tcW w:w="62"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right"/>
              <w:rPr/>
            </w:pPr>
            <w:r>
              <w:rPr/>
              <w:t> </w:t>
            </w:r>
          </w:p>
        </w:tc>
        <w:tc>
          <w:tcPr>
            <w:tcW w:w="129" w:type="dxa"/>
            <w:tcBorders/>
            <w:shd w:fill="CCEEFF" w:val="clear"/>
            <w:vAlign w:val="bottom"/>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12" w:type="dxa"/>
            <w:tcBorders/>
            <w:shd w:fill="CCEEFF" w:val="clear"/>
            <w:vAlign w:val="bottom"/>
          </w:tcPr>
          <w:p>
            <w:pPr>
              <w:pStyle w:val="TableContents"/>
              <w:bidi w:val="0"/>
              <w:spacing w:before="0" w:after="283"/>
              <w:jc w:val="right"/>
              <w:rPr>
                <w:rFonts w:ascii="Times New Roman" w:hAnsi="Times New Roman"/>
                <w:sz w:val="20"/>
              </w:rPr>
            </w:pPr>
            <w:r>
              <w:rPr>
                <w:rFonts w:ascii="Times New Roman" w:hAnsi="Times New Roman"/>
                <w:sz w:val="20"/>
              </w:rPr>
              <w:t>2,227</w:t>
            </w:r>
          </w:p>
        </w:tc>
        <w:tc>
          <w:tcPr>
            <w:tcW w:w="60" w:type="dxa"/>
            <w:tcBorders/>
            <w:shd w:fill="CCEEFF" w:val="clear"/>
            <w:vAlign w:val="bottom"/>
          </w:tcPr>
          <w:p>
            <w:pPr>
              <w:pStyle w:val="TableContents"/>
              <w:bidi w:val="0"/>
              <w:spacing w:before="0" w:after="283"/>
              <w:jc w:val="left"/>
              <w:rPr/>
            </w:pPr>
            <w:r>
              <w:rPr/>
              <w:t> </w:t>
            </w:r>
          </w:p>
        </w:tc>
      </w:tr>
      <w:tr>
        <w:trPr/>
        <w:tc>
          <w:tcPr>
            <w:tcW w:w="333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Research and development</w:t>
            </w:r>
          </w:p>
        </w:tc>
        <w:tc>
          <w:tcPr>
            <w:tcW w:w="60" w:type="dxa"/>
            <w:tcBorders/>
            <w:vAlign w:val="bottom"/>
          </w:tcPr>
          <w:p>
            <w:pPr>
              <w:pStyle w:val="TableContents"/>
              <w:bidi w:val="0"/>
              <w:spacing w:before="0" w:after="283"/>
              <w:jc w:val="right"/>
              <w:rPr/>
            </w:pPr>
            <w:r>
              <w:rPr/>
              <w:t> </w:t>
            </w:r>
          </w:p>
        </w:tc>
        <w:tc>
          <w:tcPr>
            <w:tcW w:w="139" w:type="dxa"/>
            <w:tcBorders/>
            <w:vAlign w:val="bottom"/>
          </w:tcPr>
          <w:p>
            <w:pPr>
              <w:pStyle w:val="TableContents"/>
              <w:bidi w:val="0"/>
              <w:spacing w:before="0" w:after="283"/>
              <w:jc w:val="left"/>
              <w:rPr/>
            </w:pPr>
            <w:r>
              <w:rPr/>
              <w:t> </w:t>
            </w:r>
          </w:p>
        </w:tc>
        <w:tc>
          <w:tcPr>
            <w:tcW w:w="658"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6,256</w:t>
            </w:r>
          </w:p>
        </w:tc>
        <w:tc>
          <w:tcPr>
            <w:tcW w:w="66"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right"/>
              <w:rPr/>
            </w:pPr>
            <w:r>
              <w:rPr/>
              <w:t> </w:t>
            </w:r>
          </w:p>
        </w:tc>
        <w:tc>
          <w:tcPr>
            <w:tcW w:w="139" w:type="dxa"/>
            <w:tcBorders/>
            <w:vAlign w:val="bottom"/>
          </w:tcPr>
          <w:p>
            <w:pPr>
              <w:pStyle w:val="TableContents"/>
              <w:bidi w:val="0"/>
              <w:spacing w:before="0" w:after="283"/>
              <w:jc w:val="left"/>
              <w:rPr/>
            </w:pPr>
            <w:r>
              <w:rPr/>
              <w:t> </w:t>
            </w:r>
          </w:p>
        </w:tc>
        <w:tc>
          <w:tcPr>
            <w:tcW w:w="658"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7,343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9" w:type="dxa"/>
            <w:tcBorders/>
            <w:vAlign w:val="bottom"/>
          </w:tcPr>
          <w:p>
            <w:pPr>
              <w:pStyle w:val="TableContents"/>
              <w:bidi w:val="0"/>
              <w:spacing w:before="0" w:after="283"/>
              <w:jc w:val="left"/>
              <w:rPr/>
            </w:pPr>
            <w:r>
              <w:rPr/>
              <w:t> </w:t>
            </w:r>
          </w:p>
        </w:tc>
        <w:tc>
          <w:tcPr>
            <w:tcW w:w="612" w:type="dxa"/>
            <w:tcBorders/>
            <w:vAlign w:val="bottom"/>
          </w:tcPr>
          <w:p>
            <w:pPr>
              <w:pStyle w:val="TableContents"/>
              <w:bidi w:val="0"/>
              <w:spacing w:before="0" w:after="283"/>
              <w:jc w:val="right"/>
              <w:rPr>
                <w:rFonts w:ascii="Times New Roman" w:hAnsi="Times New Roman"/>
                <w:sz w:val="20"/>
              </w:rPr>
            </w:pPr>
            <w:r>
              <w:rPr>
                <w:rFonts w:ascii="Times New Roman" w:hAnsi="Times New Roman"/>
                <w:sz w:val="20"/>
              </w:rPr>
              <w:t>18,281</w:t>
            </w:r>
          </w:p>
        </w:tc>
        <w:tc>
          <w:tcPr>
            <w:tcW w:w="62"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right"/>
              <w:rPr/>
            </w:pPr>
            <w:r>
              <w:rPr/>
              <w:t> </w:t>
            </w:r>
          </w:p>
        </w:tc>
        <w:tc>
          <w:tcPr>
            <w:tcW w:w="129" w:type="dxa"/>
            <w:tcBorders/>
            <w:vAlign w:val="bottom"/>
          </w:tcPr>
          <w:p>
            <w:pPr>
              <w:pStyle w:val="TableContents"/>
              <w:bidi w:val="0"/>
              <w:spacing w:before="0" w:after="283"/>
              <w:jc w:val="left"/>
              <w:rPr/>
            </w:pPr>
            <w:r>
              <w:rPr/>
              <w:t> </w:t>
            </w:r>
          </w:p>
        </w:tc>
        <w:tc>
          <w:tcPr>
            <w:tcW w:w="612" w:type="dxa"/>
            <w:tcBorders/>
            <w:vAlign w:val="bottom"/>
          </w:tcPr>
          <w:p>
            <w:pPr>
              <w:pStyle w:val="TableContents"/>
              <w:bidi w:val="0"/>
              <w:spacing w:before="0" w:after="283"/>
              <w:jc w:val="right"/>
              <w:rPr>
                <w:rFonts w:ascii="Times New Roman" w:hAnsi="Times New Roman"/>
                <w:sz w:val="20"/>
              </w:rPr>
            </w:pPr>
            <w:r>
              <w:rPr>
                <w:rFonts w:ascii="Times New Roman" w:hAnsi="Times New Roman"/>
                <w:sz w:val="20"/>
              </w:rPr>
              <w:t>20,888</w:t>
            </w:r>
          </w:p>
        </w:tc>
        <w:tc>
          <w:tcPr>
            <w:tcW w:w="60" w:type="dxa"/>
            <w:tcBorders/>
            <w:vAlign w:val="bottom"/>
          </w:tcPr>
          <w:p>
            <w:pPr>
              <w:pStyle w:val="TableContents"/>
              <w:bidi w:val="0"/>
              <w:spacing w:before="0" w:after="283"/>
              <w:jc w:val="left"/>
              <w:rPr/>
            </w:pPr>
            <w:r>
              <w:rPr/>
              <w:t> </w:t>
            </w:r>
          </w:p>
        </w:tc>
      </w:tr>
      <w:tr>
        <w:trPr/>
        <w:tc>
          <w:tcPr>
            <w:tcW w:w="333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Sales and marketing</w:t>
            </w:r>
          </w:p>
        </w:tc>
        <w:tc>
          <w:tcPr>
            <w:tcW w:w="60" w:type="dxa"/>
            <w:tcBorders/>
            <w:shd w:fill="CCEEFF" w:val="clear"/>
            <w:vAlign w:val="bottom"/>
          </w:tcPr>
          <w:p>
            <w:pPr>
              <w:pStyle w:val="TableContents"/>
              <w:bidi w:val="0"/>
              <w:spacing w:before="0" w:after="283"/>
              <w:jc w:val="right"/>
              <w:rPr/>
            </w:pPr>
            <w:r>
              <w:rPr/>
              <w:t> </w:t>
            </w:r>
          </w:p>
        </w:tc>
        <w:tc>
          <w:tcPr>
            <w:tcW w:w="139" w:type="dxa"/>
            <w:tcBorders/>
            <w:shd w:fill="CCEEFF" w:val="clear"/>
            <w:vAlign w:val="bottom"/>
          </w:tcPr>
          <w:p>
            <w:pPr>
              <w:pStyle w:val="TableContents"/>
              <w:bidi w:val="0"/>
              <w:spacing w:before="0" w:after="283"/>
              <w:jc w:val="left"/>
              <w:rPr/>
            </w:pPr>
            <w:r>
              <w:rPr/>
              <w:t> </w:t>
            </w:r>
          </w:p>
        </w:tc>
        <w:tc>
          <w:tcPr>
            <w:tcW w:w="658"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4,127</w:t>
            </w:r>
          </w:p>
        </w:tc>
        <w:tc>
          <w:tcPr>
            <w:tcW w:w="66"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right"/>
              <w:rPr/>
            </w:pPr>
            <w:r>
              <w:rPr/>
              <w:t> </w:t>
            </w:r>
          </w:p>
        </w:tc>
        <w:tc>
          <w:tcPr>
            <w:tcW w:w="139" w:type="dxa"/>
            <w:tcBorders/>
            <w:shd w:fill="CCEEFF" w:val="clear"/>
            <w:vAlign w:val="bottom"/>
          </w:tcPr>
          <w:p>
            <w:pPr>
              <w:pStyle w:val="TableContents"/>
              <w:bidi w:val="0"/>
              <w:spacing w:before="0" w:after="283"/>
              <w:jc w:val="left"/>
              <w:rPr/>
            </w:pPr>
            <w:r>
              <w:rPr/>
              <w:t> </w:t>
            </w:r>
          </w:p>
        </w:tc>
        <w:tc>
          <w:tcPr>
            <w:tcW w:w="658"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5,654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9" w:type="dxa"/>
            <w:tcBorders/>
            <w:shd w:fill="CCEEFF" w:val="clear"/>
            <w:vAlign w:val="bottom"/>
          </w:tcPr>
          <w:p>
            <w:pPr>
              <w:pStyle w:val="TableContents"/>
              <w:bidi w:val="0"/>
              <w:spacing w:before="0" w:after="283"/>
              <w:jc w:val="left"/>
              <w:rPr/>
            </w:pPr>
            <w:r>
              <w:rPr/>
              <w:t> </w:t>
            </w:r>
          </w:p>
        </w:tc>
        <w:tc>
          <w:tcPr>
            <w:tcW w:w="612" w:type="dxa"/>
            <w:tcBorders/>
            <w:shd w:fill="CCEEFF" w:val="clear"/>
            <w:vAlign w:val="bottom"/>
          </w:tcPr>
          <w:p>
            <w:pPr>
              <w:pStyle w:val="TableContents"/>
              <w:bidi w:val="0"/>
              <w:spacing w:before="0" w:after="283"/>
              <w:jc w:val="right"/>
              <w:rPr>
                <w:rFonts w:ascii="Times New Roman" w:hAnsi="Times New Roman"/>
                <w:sz w:val="20"/>
              </w:rPr>
            </w:pPr>
            <w:r>
              <w:rPr>
                <w:rFonts w:ascii="Times New Roman" w:hAnsi="Times New Roman"/>
                <w:sz w:val="20"/>
              </w:rPr>
              <w:t>12,813</w:t>
            </w:r>
          </w:p>
        </w:tc>
        <w:tc>
          <w:tcPr>
            <w:tcW w:w="62"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right"/>
              <w:rPr/>
            </w:pPr>
            <w:r>
              <w:rPr/>
              <w:t> </w:t>
            </w:r>
          </w:p>
        </w:tc>
        <w:tc>
          <w:tcPr>
            <w:tcW w:w="129" w:type="dxa"/>
            <w:tcBorders/>
            <w:shd w:fill="CCEEFF" w:val="clear"/>
            <w:vAlign w:val="bottom"/>
          </w:tcPr>
          <w:p>
            <w:pPr>
              <w:pStyle w:val="TableContents"/>
              <w:bidi w:val="0"/>
              <w:spacing w:before="0" w:after="283"/>
              <w:jc w:val="left"/>
              <w:rPr/>
            </w:pPr>
            <w:r>
              <w:rPr/>
              <w:t> </w:t>
            </w:r>
          </w:p>
        </w:tc>
        <w:tc>
          <w:tcPr>
            <w:tcW w:w="612" w:type="dxa"/>
            <w:tcBorders/>
            <w:shd w:fill="CCEEFF" w:val="clear"/>
            <w:vAlign w:val="bottom"/>
          </w:tcPr>
          <w:p>
            <w:pPr>
              <w:pStyle w:val="TableContents"/>
              <w:bidi w:val="0"/>
              <w:spacing w:before="0" w:after="283"/>
              <w:jc w:val="right"/>
              <w:rPr>
                <w:rFonts w:ascii="Times New Roman" w:hAnsi="Times New Roman"/>
                <w:sz w:val="20"/>
              </w:rPr>
            </w:pPr>
            <w:r>
              <w:rPr>
                <w:rFonts w:ascii="Times New Roman" w:hAnsi="Times New Roman"/>
                <w:sz w:val="20"/>
              </w:rPr>
              <w:t>18,351</w:t>
            </w:r>
          </w:p>
        </w:tc>
        <w:tc>
          <w:tcPr>
            <w:tcW w:w="60" w:type="dxa"/>
            <w:tcBorders/>
            <w:shd w:fill="CCEEFF" w:val="clear"/>
            <w:vAlign w:val="bottom"/>
          </w:tcPr>
          <w:p>
            <w:pPr>
              <w:pStyle w:val="TableContents"/>
              <w:bidi w:val="0"/>
              <w:spacing w:before="0" w:after="283"/>
              <w:jc w:val="left"/>
              <w:rPr/>
            </w:pPr>
            <w:r>
              <w:rPr/>
              <w:t> </w:t>
            </w:r>
          </w:p>
        </w:tc>
      </w:tr>
      <w:tr>
        <w:trPr/>
        <w:tc>
          <w:tcPr>
            <w:tcW w:w="333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General and administrative</w:t>
            </w:r>
          </w:p>
        </w:tc>
        <w:tc>
          <w:tcPr>
            <w:tcW w:w="60" w:type="dxa"/>
            <w:tcBorders/>
            <w:vAlign w:val="bottom"/>
          </w:tcPr>
          <w:p>
            <w:pPr>
              <w:pStyle w:val="TableContents"/>
              <w:bidi w:val="0"/>
              <w:spacing w:before="0" w:after="283"/>
              <w:jc w:val="right"/>
              <w:rPr/>
            </w:pPr>
            <w:r>
              <w:rPr/>
              <w:t> </w:t>
            </w:r>
          </w:p>
        </w:tc>
        <w:tc>
          <w:tcPr>
            <w:tcW w:w="139" w:type="dxa"/>
            <w:tcBorders>
              <w:bottom w:val="single" w:sz="12" w:space="0" w:color="000000"/>
            </w:tcBorders>
            <w:tcMar>
              <w:bottom w:w="28" w:type="dxa"/>
            </w:tcMar>
            <w:vAlign w:val="bottom"/>
          </w:tcPr>
          <w:p>
            <w:pPr>
              <w:pStyle w:val="TableContents"/>
              <w:bidi w:val="0"/>
              <w:spacing w:before="0" w:after="283"/>
              <w:jc w:val="left"/>
              <w:rPr/>
            </w:pPr>
            <w:r>
              <w:rPr/>
              <w:t> </w:t>
            </w:r>
          </w:p>
        </w:tc>
        <w:tc>
          <w:tcPr>
            <w:tcW w:w="658"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4,869</w:t>
            </w:r>
          </w:p>
        </w:tc>
        <w:tc>
          <w:tcPr>
            <w:tcW w:w="66"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right"/>
              <w:rPr/>
            </w:pPr>
            <w:r>
              <w:rPr/>
              <w:t> </w:t>
            </w:r>
          </w:p>
        </w:tc>
        <w:tc>
          <w:tcPr>
            <w:tcW w:w="139" w:type="dxa"/>
            <w:tcBorders>
              <w:bottom w:val="single" w:sz="12" w:space="0" w:color="000000"/>
            </w:tcBorders>
            <w:tcMar>
              <w:bottom w:w="28" w:type="dxa"/>
            </w:tcMar>
            <w:vAlign w:val="bottom"/>
          </w:tcPr>
          <w:p>
            <w:pPr>
              <w:pStyle w:val="TableContents"/>
              <w:bidi w:val="0"/>
              <w:spacing w:before="0" w:after="283"/>
              <w:jc w:val="left"/>
              <w:rPr/>
            </w:pPr>
            <w:r>
              <w:rPr/>
              <w:t> </w:t>
            </w:r>
          </w:p>
        </w:tc>
        <w:tc>
          <w:tcPr>
            <w:tcW w:w="658"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5,040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9" w:type="dxa"/>
            <w:tcBorders>
              <w:bottom w:val="single" w:sz="12" w:space="0" w:color="000000"/>
            </w:tcBorders>
            <w:tcMar>
              <w:bottom w:w="28" w:type="dxa"/>
            </w:tcMar>
            <w:vAlign w:val="bottom"/>
          </w:tcPr>
          <w:p>
            <w:pPr>
              <w:pStyle w:val="TableContents"/>
              <w:bidi w:val="0"/>
              <w:spacing w:before="0" w:after="283"/>
              <w:jc w:val="left"/>
              <w:rPr/>
            </w:pPr>
            <w:r>
              <w:rPr/>
              <w:t> </w:t>
            </w:r>
          </w:p>
        </w:tc>
        <w:tc>
          <w:tcPr>
            <w:tcW w:w="612" w:type="dxa"/>
            <w:tcBorders>
              <w:bottom w:val="single" w:sz="12" w:space="0" w:color="000000"/>
            </w:tcBorders>
            <w:tcMar>
              <w:bottom w:w="28" w:type="dxa"/>
            </w:tcMar>
            <w:vAlign w:val="bottom"/>
          </w:tcPr>
          <w:p>
            <w:pPr>
              <w:pStyle w:val="TableContents"/>
              <w:bidi w:val="0"/>
              <w:spacing w:before="0" w:after="283"/>
              <w:jc w:val="right"/>
              <w:rPr>
                <w:rFonts w:ascii="Times New Roman" w:hAnsi="Times New Roman"/>
                <w:sz w:val="20"/>
              </w:rPr>
            </w:pPr>
            <w:r>
              <w:rPr>
                <w:rFonts w:ascii="Times New Roman" w:hAnsi="Times New Roman"/>
                <w:sz w:val="20"/>
              </w:rPr>
              <w:t>14,692</w:t>
            </w:r>
          </w:p>
        </w:tc>
        <w:tc>
          <w:tcPr>
            <w:tcW w:w="62"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right"/>
              <w:rPr/>
            </w:pPr>
            <w:r>
              <w:rPr/>
              <w:t> </w:t>
            </w:r>
          </w:p>
        </w:tc>
        <w:tc>
          <w:tcPr>
            <w:tcW w:w="129" w:type="dxa"/>
            <w:tcBorders>
              <w:bottom w:val="single" w:sz="12" w:space="0" w:color="000000"/>
            </w:tcBorders>
            <w:tcMar>
              <w:bottom w:w="28" w:type="dxa"/>
            </w:tcMar>
            <w:vAlign w:val="bottom"/>
          </w:tcPr>
          <w:p>
            <w:pPr>
              <w:pStyle w:val="TableContents"/>
              <w:bidi w:val="0"/>
              <w:spacing w:before="0" w:after="283"/>
              <w:jc w:val="left"/>
              <w:rPr/>
            </w:pPr>
            <w:r>
              <w:rPr/>
              <w:t> </w:t>
            </w:r>
          </w:p>
        </w:tc>
        <w:tc>
          <w:tcPr>
            <w:tcW w:w="612" w:type="dxa"/>
            <w:tcBorders>
              <w:bottom w:val="single" w:sz="12" w:space="0" w:color="000000"/>
            </w:tcBorders>
            <w:tcMar>
              <w:bottom w:w="28" w:type="dxa"/>
            </w:tcMar>
            <w:vAlign w:val="bottom"/>
          </w:tcPr>
          <w:p>
            <w:pPr>
              <w:pStyle w:val="TableContents"/>
              <w:bidi w:val="0"/>
              <w:spacing w:before="0" w:after="283"/>
              <w:jc w:val="right"/>
              <w:rPr>
                <w:rFonts w:ascii="Times New Roman" w:hAnsi="Times New Roman"/>
                <w:sz w:val="20"/>
              </w:rPr>
            </w:pPr>
            <w:r>
              <w:rPr>
                <w:rFonts w:ascii="Times New Roman" w:hAnsi="Times New Roman"/>
                <w:sz w:val="20"/>
              </w:rPr>
              <w:t>17,505</w:t>
            </w:r>
          </w:p>
        </w:tc>
        <w:tc>
          <w:tcPr>
            <w:tcW w:w="60" w:type="dxa"/>
            <w:tcBorders/>
            <w:vAlign w:val="bottom"/>
          </w:tcPr>
          <w:p>
            <w:pPr>
              <w:pStyle w:val="TableContents"/>
              <w:bidi w:val="0"/>
              <w:spacing w:before="0" w:after="283"/>
              <w:jc w:val="left"/>
              <w:rPr/>
            </w:pPr>
            <w:r>
              <w:rPr/>
              <w:t> </w:t>
            </w:r>
          </w:p>
        </w:tc>
      </w:tr>
      <w:tr>
        <w:trPr/>
        <w:tc>
          <w:tcPr>
            <w:tcW w:w="333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Total share-based compensation expense</w:t>
            </w:r>
          </w:p>
        </w:tc>
        <w:tc>
          <w:tcPr>
            <w:tcW w:w="60" w:type="dxa"/>
            <w:tcBorders/>
            <w:shd w:fill="CCEEFF" w:val="clear"/>
            <w:vAlign w:val="bottom"/>
          </w:tcPr>
          <w:p>
            <w:pPr>
              <w:pStyle w:val="TableContents"/>
              <w:bidi w:val="0"/>
              <w:spacing w:before="0" w:after="283"/>
              <w:jc w:val="right"/>
              <w:rPr/>
            </w:pPr>
            <w:r>
              <w:rPr/>
              <w:t> </w:t>
            </w:r>
          </w:p>
        </w:tc>
        <w:tc>
          <w:tcPr>
            <w:tcW w:w="139"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58"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16,251</w:t>
            </w:r>
          </w:p>
        </w:tc>
        <w:tc>
          <w:tcPr>
            <w:tcW w:w="66"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right"/>
              <w:rPr/>
            </w:pPr>
            <w:r>
              <w:rPr/>
              <w:t> </w:t>
            </w:r>
          </w:p>
        </w:tc>
        <w:tc>
          <w:tcPr>
            <w:tcW w:w="139"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58"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18,710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9" w:type="dxa"/>
            <w:tcBorders>
              <w:bottom w:val="single" w:sz="12" w:space="0" w:color="000000"/>
            </w:tcBorders>
            <w:shd w:fill="CCEEFF" w:val="clear"/>
            <w:tcMar>
              <w:bottom w:w="28" w:type="dxa"/>
            </w:tcMar>
            <w:vAlign w:val="bottom"/>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12" w:type="dxa"/>
            <w:tcBorders>
              <w:bottom w:val="single" w:sz="12" w:space="0" w:color="000000"/>
            </w:tcBorders>
            <w:shd w:fill="CCEEFF" w:val="clear"/>
            <w:tcMar>
              <w:bottom w:w="28" w:type="dxa"/>
            </w:tcMar>
            <w:vAlign w:val="bottom"/>
          </w:tcPr>
          <w:p>
            <w:pPr>
              <w:pStyle w:val="TableContents"/>
              <w:bidi w:val="0"/>
              <w:spacing w:before="0" w:after="283"/>
              <w:jc w:val="right"/>
              <w:rPr>
                <w:rFonts w:ascii="Times New Roman" w:hAnsi="Times New Roman"/>
                <w:sz w:val="20"/>
              </w:rPr>
            </w:pPr>
            <w:r>
              <w:rPr>
                <w:rFonts w:ascii="Times New Roman" w:hAnsi="Times New Roman"/>
                <w:sz w:val="20"/>
              </w:rPr>
              <w:t>48,868</w:t>
            </w:r>
          </w:p>
        </w:tc>
        <w:tc>
          <w:tcPr>
            <w:tcW w:w="62"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right"/>
              <w:rPr/>
            </w:pPr>
            <w:r>
              <w:rPr/>
              <w:t> </w:t>
            </w:r>
          </w:p>
        </w:tc>
        <w:tc>
          <w:tcPr>
            <w:tcW w:w="129" w:type="dxa"/>
            <w:tcBorders>
              <w:bottom w:val="single" w:sz="12" w:space="0" w:color="000000"/>
            </w:tcBorders>
            <w:shd w:fill="CCEEFF" w:val="clear"/>
            <w:tcMar>
              <w:bottom w:w="28" w:type="dxa"/>
            </w:tcMar>
            <w:vAlign w:val="bottom"/>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12" w:type="dxa"/>
            <w:tcBorders>
              <w:bottom w:val="single" w:sz="12" w:space="0" w:color="000000"/>
            </w:tcBorders>
            <w:shd w:fill="CCEEFF" w:val="clear"/>
            <w:tcMar>
              <w:bottom w:w="28" w:type="dxa"/>
            </w:tcMar>
            <w:vAlign w:val="bottom"/>
          </w:tcPr>
          <w:p>
            <w:pPr>
              <w:pStyle w:val="TableContents"/>
              <w:bidi w:val="0"/>
              <w:spacing w:before="0" w:after="283"/>
              <w:jc w:val="right"/>
              <w:rPr>
                <w:rFonts w:ascii="Times New Roman" w:hAnsi="Times New Roman"/>
                <w:sz w:val="20"/>
              </w:rPr>
            </w:pPr>
            <w:r>
              <w:rPr>
                <w:rFonts w:ascii="Times New Roman" w:hAnsi="Times New Roman"/>
                <w:sz w:val="20"/>
              </w:rPr>
              <w:t>58,971</w:t>
            </w:r>
          </w:p>
        </w:tc>
        <w:tc>
          <w:tcPr>
            <w:tcW w:w="60" w:type="dxa"/>
            <w:tcBorders/>
            <w:shd w:fill="CCEEFF" w:val="clear"/>
            <w:vAlign w:val="bottom"/>
          </w:tcPr>
          <w:p>
            <w:pPr>
              <w:pStyle w:val="TableContents"/>
              <w:bidi w:val="0"/>
              <w:spacing w:before="0" w:after="283"/>
              <w:jc w:val="left"/>
              <w:rPr/>
            </w:pPr>
            <w:r>
              <w:rPr/>
              <w:t> </w:t>
            </w:r>
          </w:p>
        </w:tc>
      </w:tr>
    </w:tbl>
    <w:p>
      <w:pPr>
        <w:pStyle w:val="TextBody"/>
        <w:bidi w:val="0"/>
        <w:spacing w:before="0" w:after="0"/>
        <w:ind w:left="1080" w:right="0" w:hanging="0"/>
        <w:jc w:val="both"/>
        <w:rPr/>
      </w:pPr>
      <w:r>
        <w:rPr/>
      </w:r>
    </w:p>
    <w:p>
      <w:pPr>
        <w:pStyle w:val="TextBody"/>
        <w:bidi w:val="0"/>
        <w:spacing w:before="0" w:after="0"/>
        <w:ind w:left="1080" w:right="0" w:hanging="0"/>
        <w:jc w:val="both"/>
        <w:rPr>
          <w:rFonts w:ascii="Times New Roman" w:hAnsi="Times New Roman"/>
          <w:b/>
          <w:i/>
          <w:color w:val="000000"/>
          <w:sz w:val="20"/>
          <w:shd w:fill="FFFFFF" w:val="clear"/>
        </w:rPr>
      </w:pPr>
      <w:r>
        <w:rPr>
          <w:rFonts w:ascii="Times New Roman" w:hAnsi="Times New Roman"/>
          <w:b/>
          <w:i/>
          <w:color w:val="000000"/>
          <w:sz w:val="20"/>
          <w:shd w:fill="FFFFFF" w:val="clear"/>
        </w:rPr>
        <w:t>Share Buyback Program</w:t>
      </w:r>
    </w:p>
    <w:p>
      <w:pPr>
        <w:pStyle w:val="TextBody"/>
        <w:bidi w:val="0"/>
        <w:spacing w:before="0" w:after="0"/>
        <w:ind w:left="1170" w:right="0" w:hanging="0"/>
        <w:jc w:val="both"/>
        <w:rPr>
          <w:b/>
          <w:i/>
          <w:color w:val="000000"/>
        </w:rPr>
      </w:pPr>
      <w:r>
        <w:rPr>
          <w:b/>
          <w:i/>
          <w:color w:val="000000"/>
        </w:rPr>
      </w:r>
    </w:p>
    <w:p>
      <w:pPr>
        <w:pStyle w:val="TextBody"/>
        <w:bidi w:val="0"/>
        <w:spacing w:before="0" w:after="0"/>
        <w:ind w:left="1080" w:right="0" w:hanging="0"/>
        <w:jc w:val="both"/>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In May 2023, the Company’s Board of Directors authorized a share buyback program for the repurchase of up to $40,000 of the Company’s outstanding Ordinary shares, with no expiration date (the “Buyback Program”). In November 2023, the Company’s Board of Directors authorized up to an additional $40,000 of buybacks under the Buyback Program. As permitted by the Buyback Program, share repurchases may be made from time to time, in privately negotiated transactions or in the open market, including through trading plans, at the discretion of the Company’s management and as permitted by securities laws and other legal requirements. The Buyback Program does not obligate the Company to repurchase any specific number of shares and may be discontinued, modified or suspended at any time.</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r>
    </w:p>
    <w:p>
      <w:pPr>
        <w:pStyle w:val="TextBody"/>
        <w:bidi w:val="0"/>
        <w:spacing w:before="0" w:after="0"/>
        <w:ind w:left="1080" w:right="0" w:hanging="0"/>
        <w:jc w:val="both"/>
        <w:rPr>
          <w:rFonts w:ascii="Times New Roman" w:hAnsi="Times New Roman"/>
          <w:color w:val="000000"/>
          <w:sz w:val="20"/>
          <w:shd w:fill="FFFFFF" w:val="clear"/>
        </w:rPr>
      </w:pPr>
      <w:r>
        <w:rPr>
          <w:rFonts w:ascii="Times New Roman" w:hAnsi="Times New Roman"/>
          <w:color w:val="000000"/>
          <w:sz w:val="20"/>
          <w:shd w:fill="FFFFFF" w:val="clear"/>
        </w:rPr>
        <w:t xml:space="preserve">The Buyback Program commenced in June 2023 and during the nine months ended September 30, 2023, the Company repurchased 6,672,915 Ordinary shares at an average price of $3.45 per share (excluding broker and transaction fees of $167). As of September 30, 2023 the Company had remaining authorization to repurchase up to an aggregate amount of $17,010. </w:t>
      </w:r>
    </w:p>
    <w:p>
      <w:pPr>
        <w:pStyle w:val="TextBody"/>
        <w:bidi w:val="0"/>
        <w:spacing w:before="0" w:after="0"/>
        <w:jc w:val="left"/>
        <w:rPr/>
      </w:pPr>
      <w:r>
        <w:rPr/>
      </w:r>
    </w:p>
    <w:tbl>
      <w:tblPr>
        <w:tblW w:w="2500" w:type="dxa"/>
        <w:jc w:val="left"/>
        <w:tblInd w:w="0" w:type="dxa"/>
        <w:tblLayout w:type="fixed"/>
        <w:tblCellMar>
          <w:top w:w="0" w:type="dxa"/>
          <w:left w:w="0" w:type="dxa"/>
          <w:bottom w:w="0" w:type="dxa"/>
          <w:right w:w="0" w:type="dxa"/>
        </w:tblCellMar>
      </w:tblPr>
      <w:tblGrid>
        <w:gridCol w:w="965"/>
        <w:gridCol w:w="1535"/>
      </w:tblGrid>
      <w:tr>
        <w:trPr/>
        <w:tc>
          <w:tcPr>
            <w:tcW w:w="965" w:type="dxa"/>
            <w:tcBorders/>
            <w:vAlign w:val="center"/>
          </w:tcPr>
          <w:p>
            <w:pPr>
              <w:pStyle w:val="TableContents"/>
              <w:bidi w:val="0"/>
              <w:spacing w:before="0" w:after="283"/>
              <w:jc w:val="left"/>
              <w:rPr/>
            </w:pPr>
            <w:r>
              <w:rPr>
                <w:rFonts w:ascii="Times New Roman" w:hAnsi="Times New Roman"/>
                <w:b/>
                <w:color w:val="000000"/>
                <w:sz w:val="20"/>
              </w:rPr>
              <w:t xml:space="preserve">NOTE </w:t>
            </w:r>
            <w:r>
              <w:rPr>
                <w:rFonts w:ascii="Times New Roman" w:hAnsi="Times New Roman"/>
                <w:b/>
                <w:sz w:val="20"/>
              </w:rPr>
              <w:t>11</w:t>
            </w:r>
            <w:r>
              <w:rPr>
                <w:rFonts w:ascii="Times New Roman" w:hAnsi="Times New Roman"/>
                <w:b/>
                <w:color w:val="000000"/>
                <w:sz w:val="20"/>
              </w:rPr>
              <w:t>:-</w:t>
            </w:r>
          </w:p>
        </w:tc>
        <w:tc>
          <w:tcPr>
            <w:tcW w:w="1535" w:type="dxa"/>
            <w:tcBorders/>
            <w:vAlign w:val="center"/>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INCOME TAXES</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1170" w:right="0" w:hanging="0"/>
        <w:jc w:val="both"/>
        <w:rPr>
          <w:rFonts w:ascii="Times New Roman" w:hAnsi="Times New Roman"/>
          <w:color w:val="000000"/>
          <w:sz w:val="20"/>
          <w:shd w:fill="FFFFFF" w:val="clear"/>
        </w:rPr>
      </w:pPr>
      <w:r>
        <w:rPr>
          <w:rFonts w:ascii="Times New Roman" w:hAnsi="Times New Roman"/>
          <w:color w:val="000000"/>
          <w:sz w:val="20"/>
          <w:shd w:fill="FFFFFF" w:val="clear"/>
        </w:rPr>
        <w:t>The Company’s effective tax rate is highly dependent upon the geographic distribution of its worldwide earnings or losses and tax regulations. The Company’s effective tax rates were 0.0% and (4.0%) for the three months ended September 30, 2023 and 2022, respectively, and (2.2%) and (3.2%) for the nine months ended September 30, 2023 and 2022, respectively. The negative effective tax rate for the nine months ended September 30, 2023, results primarily from the valuation allowance in Israel, as well as tax expenses in foreign jurisdictions, partially offset by tax benefits associated with losses incurred in the U.S.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24</w:t>
      </w:r>
    </w:p>
    <w:p>
      <w:pPr>
        <w:pStyle w:val="HorizontalLine"/>
        <w:bidi w:val="0"/>
        <w:spacing w:before="200" w:after="200"/>
        <w:jc w:val="left"/>
        <w:rPr/>
      </w:pPr>
      <w:r>
        <w:rPr/>
      </w:r>
    </w:p>
    <w:p>
      <w:pPr>
        <w:pStyle w:val="TextBody"/>
        <w:bidi w:val="0"/>
        <w:spacing w:before="200" w:after="200"/>
        <w:jc w:val="left"/>
        <w:rPr/>
      </w:pPr>
      <w:hyperlink w:anchor="Contents">
        <w:r>
          <w:rPr>
            <w:rStyle w:val="InternetLink"/>
            <w:rFonts w:ascii="Times New Roman" w:hAnsi="Times New Roman"/>
            <w:i/>
            <w:color w:val="000000"/>
            <w:sz w:val="16"/>
            <w:shd w:fill="FFFFFF" w:val="clear"/>
          </w:rPr>
          <w:t>Table of Contents</w:t>
        </w:r>
      </w:hyperlink>
    </w:p>
    <w:p>
      <w:pPr>
        <w:pStyle w:val="TextBody"/>
        <w:bidi w:val="0"/>
        <w:spacing w:before="200" w:after="200"/>
        <w:jc w:val="right"/>
        <w:rPr>
          <w:rFonts w:ascii="Times New Roman" w:hAnsi="Times New Roman"/>
          <w:b/>
          <w:color w:val="000000"/>
          <w:sz w:val="18"/>
          <w:bdr w:val="single" w:sz="12" w:space="1" w:color="000000"/>
          <w:shd w:fill="FFFFFF" w:val="clear"/>
        </w:rPr>
      </w:pPr>
      <w:r>
        <w:rPr>
          <w:rFonts w:ascii="Times New Roman" w:hAnsi="Times New Roman"/>
          <w:b/>
          <w:color w:val="000000"/>
          <w:sz w:val="18"/>
          <w:bdr w:val="single" w:sz="12" w:space="1" w:color="000000"/>
          <w:shd w:fill="FFFFFF" w:val="clear"/>
        </w:rPr>
        <w:t>TABOOLA.COM LTD.</w:t>
      </w:r>
    </w:p>
    <w:p>
      <w:pPr>
        <w:pStyle w:val="TextBody"/>
        <w:bidi w:val="0"/>
        <w:spacing w:before="200" w:after="200"/>
        <w:jc w:val="right"/>
        <w:rPr>
          <w:b/>
        </w:rPr>
      </w:pPr>
      <w:r>
        <w:rPr>
          <w:b/>
        </w:rPr>
      </w:r>
    </w:p>
    <w:p>
      <w:pPr>
        <w:pStyle w:val="TextBody"/>
        <w:bidi w:val="0"/>
        <w:spacing w:before="200" w:after="200"/>
        <w:jc w:val="left"/>
        <w:rPr>
          <w:rFonts w:ascii="Times New Roman" w:hAnsi="Times New Roman"/>
          <w:b/>
          <w:color w:val="000000"/>
          <w:sz w:val="18"/>
          <w:bdr w:val="single" w:sz="12" w:space="1" w:color="000000"/>
          <w:shd w:fill="FFFFFF" w:val="clear"/>
        </w:rPr>
      </w:pPr>
      <w:r>
        <w:rPr>
          <w:rFonts w:ascii="Times New Roman" w:hAnsi="Times New Roman"/>
          <w:b/>
          <w:color w:val="000000"/>
          <w:sz w:val="18"/>
          <w:bdr w:val="single" w:sz="12" w:space="1" w:color="000000"/>
          <w:shd w:fill="FFFFFF" w:val="clear"/>
        </w:rPr>
        <w:t>NOTES TO THE CONSOLIDATED INTERIM FINANCIAL STATEMENTS</w:t>
      </w:r>
    </w:p>
    <w:p>
      <w:pPr>
        <w:pStyle w:val="TextBody"/>
        <w:bidi w:val="0"/>
        <w:spacing w:before="200" w:after="200"/>
        <w:jc w:val="left"/>
        <w:rPr>
          <w:rFonts w:ascii="Times New Roman" w:hAnsi="Times New Roman"/>
          <w:b/>
          <w:color w:val="000000"/>
          <w:sz w:val="18"/>
          <w:shd w:fill="FFFFFF" w:val="clear"/>
        </w:rPr>
      </w:pPr>
      <w:r>
        <w:rPr>
          <w:rFonts w:ascii="Times New Roman" w:hAnsi="Times New Roman"/>
          <w:b/>
          <w:color w:val="000000"/>
          <w:sz w:val="18"/>
          <w:shd w:fill="FFFFFF" w:val="clear"/>
        </w:rPr>
        <w:t>U.S. dollars in thousands, except share and per share data</w:t>
      </w:r>
    </w:p>
    <w:tbl>
      <w:tblPr>
        <w:tblW w:w="4675" w:type="dxa"/>
        <w:jc w:val="left"/>
        <w:tblInd w:w="0" w:type="dxa"/>
        <w:tblLayout w:type="fixed"/>
        <w:tblCellMar>
          <w:top w:w="0" w:type="dxa"/>
          <w:left w:w="0" w:type="dxa"/>
          <w:bottom w:w="0" w:type="dxa"/>
          <w:right w:w="0" w:type="dxa"/>
        </w:tblCellMar>
      </w:tblPr>
      <w:tblGrid>
        <w:gridCol w:w="965"/>
        <w:gridCol w:w="3710"/>
      </w:tblGrid>
      <w:tr>
        <w:trPr/>
        <w:tc>
          <w:tcPr>
            <w:tcW w:w="965" w:type="dxa"/>
            <w:tcBorders/>
            <w:vAlign w:val="center"/>
          </w:tcPr>
          <w:p>
            <w:pPr>
              <w:pStyle w:val="TableContents"/>
              <w:bidi w:val="0"/>
              <w:spacing w:before="0" w:after="283"/>
              <w:jc w:val="left"/>
              <w:rPr>
                <w:rFonts w:ascii="Times New Roman" w:hAnsi="Times New Roman"/>
                <w:b/>
                <w:sz w:val="20"/>
              </w:rPr>
            </w:pPr>
            <w:r>
              <w:rPr>
                <w:rFonts w:ascii="Times New Roman" w:hAnsi="Times New Roman"/>
                <w:b/>
                <w:sz w:val="20"/>
              </w:rPr>
              <w:t>NOTE 12:-</w:t>
            </w:r>
          </w:p>
        </w:tc>
        <w:tc>
          <w:tcPr>
            <w:tcW w:w="3710" w:type="dxa"/>
            <w:tcBorders/>
            <w:vAlign w:val="center"/>
          </w:tcPr>
          <w:p>
            <w:pPr>
              <w:pStyle w:val="TableContents"/>
              <w:bidi w:val="0"/>
              <w:spacing w:before="0" w:after="0"/>
              <w:jc w:val="both"/>
              <w:rPr>
                <w:rFonts w:ascii="Times New Roman" w:hAnsi="Times New Roman"/>
                <w:b/>
                <w:sz w:val="20"/>
              </w:rPr>
            </w:pPr>
            <w:r>
              <w:rPr>
                <w:rFonts w:ascii="Times New Roman" w:hAnsi="Times New Roman"/>
                <w:b/>
                <w:sz w:val="20"/>
              </w:rPr>
              <w:t>COMMITMENTS AND CONTINGENCIES</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pPr>
      <w:r>
        <w:rPr/>
      </w:r>
    </w:p>
    <w:p>
      <w:pPr>
        <w:pStyle w:val="TextBody"/>
        <w:bidi w:val="0"/>
        <w:spacing w:before="0" w:after="0"/>
        <w:ind w:left="567" w:right="0" w:firstLine="567"/>
        <w:jc w:val="left"/>
        <w:rPr>
          <w:rFonts w:ascii="Times New Roman" w:hAnsi="Times New Roman"/>
          <w:b/>
          <w:i/>
          <w:color w:val="000000"/>
          <w:sz w:val="20"/>
          <w:shd w:fill="FFFFFF" w:val="clear"/>
        </w:rPr>
      </w:pPr>
      <w:r>
        <w:rPr>
          <w:rFonts w:ascii="Times New Roman" w:hAnsi="Times New Roman"/>
          <w:b/>
          <w:i/>
          <w:color w:val="000000"/>
          <w:sz w:val="20"/>
          <w:shd w:fill="FFFFFF" w:val="clear"/>
        </w:rPr>
        <w:t>Commercial Commitments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1134" w:right="0" w:hanging="0"/>
        <w:jc w:val="both"/>
        <w:rPr>
          <w:rFonts w:ascii="Times New Roman" w:hAnsi="Times New Roman"/>
          <w:color w:val="000000"/>
          <w:sz w:val="20"/>
          <w:shd w:fill="FFFFFF" w:val="clear"/>
        </w:rPr>
      </w:pPr>
      <w:r>
        <w:rPr>
          <w:rFonts w:ascii="Times New Roman" w:hAnsi="Times New Roman"/>
          <w:color w:val="000000"/>
          <w:sz w:val="20"/>
          <w:shd w:fill="FFFFFF" w:val="clear"/>
        </w:rPr>
        <w:t>In the ordinary course of the business, the Company enters into agreements with certain digital properties, under which, in some cases it agrees to pay them a guaranteed amount, generally per thousand page views on a monthly basis. These agreements could cause a gross loss on digital property accounts in which the guarantee is higher than the actual revenue generated. These contracts generally range in duration from 2 to 5 years, though some can be shorter or longer.</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540" w:right="0" w:firstLine="567"/>
        <w:jc w:val="both"/>
        <w:rPr>
          <w:rFonts w:ascii="Times New Roman" w:hAnsi="Times New Roman"/>
          <w:b/>
          <w:i/>
          <w:color w:val="000000"/>
          <w:sz w:val="20"/>
          <w:shd w:fill="FFFFFF" w:val="clear"/>
        </w:rPr>
      </w:pPr>
      <w:r>
        <w:rPr>
          <w:rFonts w:ascii="Times New Roman" w:hAnsi="Times New Roman"/>
          <w:b/>
          <w:i/>
          <w:color w:val="000000"/>
          <w:sz w:val="20"/>
          <w:shd w:fill="FFFFFF" w:val="clear"/>
        </w:rPr>
        <w:t>Non-cancelable Purchase Obligations</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r>
    </w:p>
    <w:p>
      <w:pPr>
        <w:pStyle w:val="TextBody"/>
        <w:bidi w:val="0"/>
        <w:spacing w:before="0" w:after="0"/>
        <w:ind w:left="1080" w:right="0" w:hanging="0"/>
        <w:jc w:val="both"/>
        <w:rPr>
          <w:rFonts w:ascii="Times New Roman" w:hAnsi="Times New Roman"/>
          <w:color w:val="000000"/>
          <w:sz w:val="20"/>
          <w:shd w:fill="FFFFFF" w:val="clear"/>
        </w:rPr>
      </w:pPr>
      <w:r>
        <w:rPr>
          <w:rFonts w:ascii="Times New Roman" w:hAnsi="Times New Roman"/>
          <w:color w:val="000000"/>
          <w:sz w:val="20"/>
          <w:shd w:fill="FFFFFF" w:val="clear"/>
        </w:rPr>
        <w:t>In the normal course of business, the Company enters into non-cancelable purchase commitments with various parties to purchase primarily software and IT related-based services. As of September 30, 2023, the Company had outstanding non-cancelable purchase obligations in the amount of $18,961.</w:t>
      </w:r>
    </w:p>
    <w:p>
      <w:pPr>
        <w:pStyle w:val="TextBody"/>
        <w:bidi w:val="0"/>
        <w:spacing w:before="0" w:after="0"/>
        <w:ind w:left="1080" w:right="0" w:hanging="0"/>
        <w:jc w:val="left"/>
        <w:rPr>
          <w:rFonts w:ascii="Times New Roman" w:hAnsi="Times New Roman"/>
          <w:color w:val="000000"/>
          <w:sz w:val="20"/>
        </w:rPr>
      </w:pPr>
      <w:r>
        <w:rPr>
          <w:rFonts w:ascii="Times New Roman" w:hAnsi="Times New Roman"/>
          <w:color w:val="000000"/>
          <w:sz w:val="20"/>
        </w:rPr>
      </w:r>
    </w:p>
    <w:p>
      <w:pPr>
        <w:pStyle w:val="TextBody"/>
        <w:bidi w:val="0"/>
        <w:spacing w:before="0" w:after="0"/>
        <w:ind w:left="1080" w:right="0" w:hanging="0"/>
        <w:jc w:val="left"/>
        <w:rPr>
          <w:rFonts w:ascii="Times New Roman" w:hAnsi="Times New Roman"/>
          <w:b/>
          <w:i/>
          <w:color w:val="000000"/>
          <w:sz w:val="20"/>
          <w:shd w:fill="FFFFFF" w:val="clear"/>
        </w:rPr>
      </w:pPr>
      <w:r>
        <w:rPr>
          <w:rFonts w:ascii="Times New Roman" w:hAnsi="Times New Roman"/>
          <w:b/>
          <w:i/>
          <w:color w:val="000000"/>
          <w:sz w:val="20"/>
          <w:shd w:fill="FFFFFF" w:val="clear"/>
        </w:rPr>
        <w:t>Legal Proceedings</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r>
    </w:p>
    <w:tbl>
      <w:tblPr>
        <w:tblW w:w="10205" w:type="dxa"/>
        <w:jc w:val="left"/>
        <w:tblInd w:w="0" w:type="dxa"/>
        <w:tblLayout w:type="fixed"/>
        <w:tblCellMar>
          <w:top w:w="0" w:type="dxa"/>
          <w:left w:w="0" w:type="dxa"/>
          <w:bottom w:w="0" w:type="dxa"/>
          <w:right w:w="0" w:type="dxa"/>
        </w:tblCellMar>
      </w:tblPr>
      <w:tblGrid>
        <w:gridCol w:w="75"/>
        <w:gridCol w:w="155"/>
        <w:gridCol w:w="9975"/>
      </w:tblGrid>
      <w:tr>
        <w:trPr/>
        <w:tc>
          <w:tcPr>
            <w:tcW w:w="75"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ind w:left="360" w:right="0" w:hanging="0"/>
              <w:jc w:val="left"/>
              <w:rPr>
                <w:rFonts w:ascii="Times New Roman" w:hAnsi="Times New Roman"/>
                <w:color w:val="000000"/>
                <w:sz w:val="20"/>
              </w:rPr>
            </w:pPr>
            <w:r>
              <w:rPr>
                <w:rFonts w:ascii="Times New Roman" w:hAnsi="Times New Roman"/>
                <w:color w:val="000000"/>
                <w:sz w:val="20"/>
              </w:rPr>
              <w:t>a.</w:t>
            </w:r>
          </w:p>
        </w:tc>
        <w:tc>
          <w:tcPr>
            <w:tcW w:w="9975" w:type="dxa"/>
            <w:tcBorders/>
            <w:vAlign w:val="center"/>
          </w:tcPr>
          <w:p>
            <w:pPr>
              <w:pStyle w:val="TableContents"/>
              <w:bidi w:val="0"/>
              <w:spacing w:before="0" w:after="0"/>
              <w:jc w:val="both"/>
              <w:rPr>
                <w:rFonts w:ascii="Times New Roman" w:hAnsi="Times New Roman"/>
                <w:color w:val="000000"/>
                <w:sz w:val="20"/>
              </w:rPr>
            </w:pPr>
            <w:r>
              <w:rPr>
                <w:rFonts w:ascii="Times New Roman" w:hAnsi="Times New Roman"/>
                <w:color w:val="000000"/>
                <w:sz w:val="20"/>
              </w:rPr>
              <w:t>In April 2021, the Company became aware that the Antitrust Division of the U.S. Department of Justice is conducting a criminal investigation of hiring activities in the Company’s industry, including the Company. The Company cooperated with the Antitrust Division.</w:t>
            </w:r>
          </w:p>
        </w:tc>
      </w:tr>
    </w:tbl>
    <w:p>
      <w:pPr>
        <w:pStyle w:val="TextBody"/>
        <w:bidi w:val="0"/>
        <w:spacing w:before="0" w:after="0"/>
        <w:jc w:val="left"/>
        <w:rPr/>
      </w:pPr>
      <w:r>
        <w:rPr/>
      </w:r>
    </w:p>
    <w:p>
      <w:pPr>
        <w:pStyle w:val="TextBody"/>
        <w:bidi w:val="0"/>
        <w:spacing w:before="0" w:after="0"/>
        <w:ind w:left="1080" w:right="0" w:hanging="0"/>
        <w:jc w:val="both"/>
        <w:rPr>
          <w:rFonts w:ascii="Times New Roman" w:hAnsi="Times New Roman"/>
          <w:color w:val="000000"/>
          <w:sz w:val="20"/>
          <w:shd w:fill="FFFFFF" w:val="clear"/>
        </w:rPr>
      </w:pPr>
      <w:r>
        <w:rPr>
          <w:rFonts w:ascii="Times New Roman" w:hAnsi="Times New Roman"/>
          <w:color w:val="000000"/>
          <w:sz w:val="20"/>
          <w:shd w:fill="FFFFFF" w:val="clear"/>
        </w:rPr>
        <w:t>In July 2023, the Company was notified in writing by the Antitrust Division of the U.S. Department of Justice that it was no longer a subject or target of the previously disclosed criminal investigation of hiring activities in the Company’s industry, including the Company.</w:t>
      </w:r>
    </w:p>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360" w:right="0" w:hanging="0"/>
              <w:jc w:val="left"/>
              <w:rPr>
                <w:rFonts w:ascii="Times New Roman" w:hAnsi="Times New Roman"/>
                <w:color w:val="000000"/>
                <w:sz w:val="20"/>
              </w:rPr>
            </w:pPr>
            <w:r>
              <w:rPr>
                <w:rFonts w:ascii="Times New Roman" w:hAnsi="Times New Roman"/>
                <w:color w:val="000000"/>
                <w:sz w:val="20"/>
              </w:rPr>
              <w:t>b.</w:t>
            </w:r>
          </w:p>
        </w:tc>
        <w:tc>
          <w:tcPr>
            <w:tcW w:w="9960" w:type="dxa"/>
            <w:tcBorders/>
            <w:vAlign w:val="center"/>
          </w:tcPr>
          <w:p>
            <w:pPr>
              <w:pStyle w:val="TableContents"/>
              <w:bidi w:val="0"/>
              <w:spacing w:before="0" w:after="0"/>
              <w:jc w:val="both"/>
              <w:rPr>
                <w:rFonts w:ascii="Times New Roman" w:hAnsi="Times New Roman"/>
                <w:color w:val="000000"/>
                <w:sz w:val="20"/>
              </w:rPr>
            </w:pPr>
            <w:r>
              <w:rPr>
                <w:rFonts w:ascii="Times New Roman" w:hAnsi="Times New Roman"/>
                <w:color w:val="000000"/>
                <w:sz w:val="20"/>
              </w:rPr>
              <w:t>In the ordinary course of business, the Company may be subject from time to time to various proceedings, lawsuits, disputes, or claims. The Company investigates these claims as they arise and records a provision, as necessary. Provisions are reviewed and adjusted to reflect the impact of negotiations, estimated settlements, legal rulings, advice of legal counsel and other information and events pertaining to a particular matter. Although claims are inherently unpredictable, the Company is currently not aware of any matters that, it believes would individually or taken together, have a material adverse effect on its business, financial position, results of operations, or cash flows.</w:t>
            </w:r>
          </w:p>
        </w:tc>
      </w:tr>
    </w:tbl>
    <w:p>
      <w:pPr>
        <w:pStyle w:val="TextBody"/>
        <w:bidi w:val="0"/>
        <w:spacing w:before="0" w:after="0"/>
        <w:jc w:val="left"/>
        <w:rPr/>
      </w:pPr>
      <w:r>
        <w:rPr/>
      </w:r>
    </w:p>
    <w:tbl>
      <w:tblPr>
        <w:tblW w:w="4210" w:type="dxa"/>
        <w:jc w:val="left"/>
        <w:tblInd w:w="0" w:type="dxa"/>
        <w:tblLayout w:type="fixed"/>
        <w:tblCellMar>
          <w:top w:w="0" w:type="dxa"/>
          <w:left w:w="0" w:type="dxa"/>
          <w:bottom w:w="0" w:type="dxa"/>
          <w:right w:w="0" w:type="dxa"/>
        </w:tblCellMar>
      </w:tblPr>
      <w:tblGrid>
        <w:gridCol w:w="965"/>
        <w:gridCol w:w="3245"/>
      </w:tblGrid>
      <w:tr>
        <w:trPr/>
        <w:tc>
          <w:tcPr>
            <w:tcW w:w="965" w:type="dxa"/>
            <w:tcBorders/>
            <w:vAlign w:val="center"/>
          </w:tcPr>
          <w:p>
            <w:pPr>
              <w:pStyle w:val="TableContents"/>
              <w:bidi w:val="0"/>
              <w:spacing w:before="0" w:after="283"/>
              <w:jc w:val="left"/>
              <w:rPr>
                <w:b/>
                <w:sz w:val="20"/>
              </w:rPr>
            </w:pPr>
            <w:r>
              <w:rPr>
                <w:b/>
                <w:sz w:val="20"/>
              </w:rPr>
              <w:t>NOTE 13:-</w:t>
            </w:r>
          </w:p>
        </w:tc>
        <w:tc>
          <w:tcPr>
            <w:tcW w:w="3245" w:type="dxa"/>
            <w:tcBorders/>
            <w:vAlign w:val="center"/>
          </w:tcPr>
          <w:p>
            <w:pPr>
              <w:pStyle w:val="TableContents"/>
              <w:bidi w:val="0"/>
              <w:spacing w:before="0" w:after="0"/>
              <w:jc w:val="left"/>
              <w:rPr>
                <w:b/>
                <w:sz w:val="20"/>
              </w:rPr>
            </w:pPr>
            <w:r>
              <w:rPr>
                <w:b/>
                <w:sz w:val="20"/>
              </w:rPr>
              <w:t>RELATED PARTY TRANSACTIONS</w:t>
            </w:r>
          </w:p>
        </w:tc>
      </w:tr>
    </w:tbl>
    <w:p>
      <w:pPr>
        <w:pStyle w:val="TextBody"/>
        <w:bidi w:val="0"/>
        <w:spacing w:before="0" w:after="0"/>
        <w:jc w:val="left"/>
        <w:rPr>
          <w:sz w:val="20"/>
        </w:rPr>
      </w:pPr>
      <w:r>
        <w:rPr>
          <w:sz w:val="20"/>
        </w:rPr>
      </w:r>
    </w:p>
    <w:p>
      <w:pPr>
        <w:pStyle w:val="TextBody"/>
        <w:bidi w:val="0"/>
        <w:spacing w:before="0" w:after="0"/>
        <w:ind w:left="1170" w:right="0" w:hanging="0"/>
        <w:jc w:val="both"/>
        <w:rPr>
          <w:rFonts w:ascii="Times New Roman" w:hAnsi="Times New Roman"/>
          <w:color w:val="000000"/>
          <w:sz w:val="20"/>
          <w:shd w:fill="FFFFFF" w:val="clear"/>
        </w:rPr>
      </w:pPr>
      <w:r>
        <w:rPr>
          <w:rFonts w:ascii="Times New Roman" w:hAnsi="Times New Roman"/>
          <w:color w:val="000000"/>
          <w:sz w:val="20"/>
          <w:shd w:fill="FFFFFF" w:val="clear"/>
        </w:rPr>
        <w:t>The Company is a party to certain transaction-related agreements with Yahoo, pursuant to which the Company issued 39,525,691 Ordinary shares and 45,198,702 Non-voting Ordinary shares to Yahoo, and  granting Yahoo the right to appoint one representative to the Company’s board of directors, resulting in Yahoo to become a principal shareholder effective the Transaction closing on January 17, 2023 (see Note 1b).</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1170" w:right="0" w:hanging="0"/>
        <w:jc w:val="both"/>
        <w:rPr>
          <w:rFonts w:ascii="Times New Roman" w:hAnsi="Times New Roman"/>
          <w:color w:val="000000"/>
          <w:sz w:val="20"/>
          <w:shd w:fill="FFFFFF" w:val="clear"/>
        </w:rPr>
      </w:pPr>
      <w:r>
        <w:rPr>
          <w:rFonts w:ascii="Times New Roman" w:hAnsi="Times New Roman"/>
          <w:color w:val="000000"/>
          <w:sz w:val="20"/>
          <w:shd w:fill="FFFFFF" w:val="clear"/>
        </w:rPr>
        <w:t>The Company and its affiliates are parties to several agreements in the ordinary course of business with Yahoo and its affiliates. In connection with these agreements, for the three and nine months ended September 30, 2023 the Company recorded  revenues from Yahoo in the amount of $12,307 and $26,611, respectively. In addition, the Company recorded traffic acquisition costs related to Yahoo for the three and nine months ended September 30, 2023 in the amount of $9,869. Traffic acquisition costs noted herein are unaffiliated with the Yahoo revenues recorded for this period.</w:t>
      </w:r>
    </w:p>
    <w:p>
      <w:pPr>
        <w:pStyle w:val="TextBody"/>
        <w:bidi w:val="0"/>
        <w:spacing w:before="0" w:after="0"/>
        <w:ind w:left="1170" w:right="0" w:hanging="0"/>
        <w:jc w:val="both"/>
        <w:rPr>
          <w:rFonts w:ascii="Times New Roman" w:hAnsi="Times New Roman"/>
          <w:sz w:val="20"/>
        </w:rPr>
      </w:pPr>
      <w:r>
        <w:rPr>
          <w:rFonts w:ascii="Times New Roman" w:hAnsi="Times New Roman"/>
          <w:sz w:val="20"/>
        </w:rPr>
      </w:r>
    </w:p>
    <w:p>
      <w:pPr>
        <w:pStyle w:val="TextBody"/>
        <w:bidi w:val="0"/>
        <w:spacing w:before="0" w:after="0"/>
        <w:ind w:left="1170" w:right="0" w:hanging="0"/>
        <w:jc w:val="both"/>
        <w:rPr>
          <w:rFonts w:ascii="Times New Roman" w:hAnsi="Times New Roman"/>
          <w:color w:val="000000"/>
          <w:sz w:val="20"/>
          <w:shd w:fill="FFFFFF" w:val="clear"/>
        </w:rPr>
      </w:pPr>
      <w:r>
        <w:rPr>
          <w:rFonts w:ascii="Times New Roman" w:hAnsi="Times New Roman"/>
          <w:color w:val="000000"/>
          <w:sz w:val="20"/>
          <w:shd w:fill="FFFFFF" w:val="clear"/>
        </w:rPr>
        <w:t>As of September 30, 2023, in regards to Yahoo, the Company’s balances of trade receivables were $9,454, and its balances of trade payables were $15,564, associated with the revenues including that presented on a gross and net basis.</w:t>
      </w:r>
    </w:p>
    <w:p>
      <w:pPr>
        <w:pStyle w:val="TextBody"/>
        <w:bidi w:val="0"/>
        <w:spacing w:before="0" w:after="0"/>
        <w:ind w:left="1170" w:right="0" w:hanging="0"/>
        <w:jc w:val="both"/>
        <w:rPr>
          <w:rFonts w:ascii="Times New Roman" w:hAnsi="Times New Roman"/>
          <w:sz w:val="20"/>
        </w:rPr>
      </w:pPr>
      <w:r>
        <w:rPr>
          <w:rFonts w:ascii="Times New Roman" w:hAnsi="Times New Roman"/>
          <w:sz w:val="20"/>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25</w:t>
      </w:r>
    </w:p>
    <w:p>
      <w:pPr>
        <w:pStyle w:val="HorizontalLine"/>
        <w:bidi w:val="0"/>
        <w:spacing w:before="200" w:after="200"/>
        <w:jc w:val="left"/>
        <w:rPr/>
      </w:pPr>
      <w:r>
        <w:rPr/>
      </w:r>
    </w:p>
    <w:p>
      <w:pPr>
        <w:pStyle w:val="TextBody"/>
        <w:bidi w:val="0"/>
        <w:spacing w:before="200" w:after="200"/>
        <w:jc w:val="left"/>
        <w:rPr/>
      </w:pPr>
      <w:hyperlink w:anchor="Contents">
        <w:r>
          <w:rPr>
            <w:rStyle w:val="InternetLink"/>
            <w:rFonts w:ascii="Times New Roman" w:hAnsi="Times New Roman"/>
            <w:i/>
            <w:color w:val="000000"/>
            <w:sz w:val="16"/>
            <w:shd w:fill="FFFFFF" w:val="clear"/>
          </w:rPr>
          <w:t>Table of Contents</w:t>
        </w:r>
      </w:hyperlink>
    </w:p>
    <w:p>
      <w:pPr>
        <w:pStyle w:val="TextBody"/>
        <w:bidi w:val="0"/>
        <w:spacing w:before="200" w:after="200"/>
        <w:jc w:val="right"/>
        <w:rPr>
          <w:rFonts w:ascii="Times New Roman" w:hAnsi="Times New Roman"/>
          <w:b/>
          <w:color w:val="000000"/>
          <w:sz w:val="18"/>
          <w:bdr w:val="single" w:sz="12" w:space="1" w:color="000000"/>
          <w:shd w:fill="FFFFFF" w:val="clear"/>
        </w:rPr>
      </w:pPr>
      <w:r>
        <w:rPr>
          <w:rFonts w:ascii="Times New Roman" w:hAnsi="Times New Roman"/>
          <w:b/>
          <w:color w:val="000000"/>
          <w:sz w:val="18"/>
          <w:bdr w:val="single" w:sz="12" w:space="1" w:color="000000"/>
          <w:shd w:fill="FFFFFF" w:val="clear"/>
        </w:rPr>
        <w:t>TABOOLA.COM LTD.</w:t>
      </w:r>
    </w:p>
    <w:p>
      <w:pPr>
        <w:pStyle w:val="TextBody"/>
        <w:bidi w:val="0"/>
        <w:spacing w:before="200" w:after="200"/>
        <w:jc w:val="right"/>
        <w:rPr>
          <w:b/>
        </w:rPr>
      </w:pPr>
      <w:r>
        <w:rPr>
          <w:b/>
        </w:rPr>
      </w:r>
    </w:p>
    <w:p>
      <w:pPr>
        <w:pStyle w:val="TextBody"/>
        <w:bidi w:val="0"/>
        <w:spacing w:before="200" w:after="200"/>
        <w:jc w:val="left"/>
        <w:rPr>
          <w:rFonts w:ascii="Times New Roman" w:hAnsi="Times New Roman"/>
          <w:b/>
          <w:color w:val="000000"/>
          <w:sz w:val="18"/>
          <w:bdr w:val="single" w:sz="12" w:space="1" w:color="000000"/>
          <w:shd w:fill="FFFFFF" w:val="clear"/>
        </w:rPr>
      </w:pPr>
      <w:r>
        <w:rPr>
          <w:rFonts w:ascii="Times New Roman" w:hAnsi="Times New Roman"/>
          <w:b/>
          <w:color w:val="000000"/>
          <w:sz w:val="18"/>
          <w:bdr w:val="single" w:sz="12" w:space="1" w:color="000000"/>
          <w:shd w:fill="FFFFFF" w:val="clear"/>
        </w:rPr>
        <w:t>NOTES TO THE CONSOLIDATED INTERIM FINANCIAL STATEMENTS</w:t>
      </w:r>
    </w:p>
    <w:p>
      <w:pPr>
        <w:pStyle w:val="TextBody"/>
        <w:bidi w:val="0"/>
        <w:spacing w:before="200" w:after="200"/>
        <w:jc w:val="left"/>
        <w:rPr>
          <w:rFonts w:ascii="Times New Roman" w:hAnsi="Times New Roman"/>
          <w:b/>
          <w:color w:val="000000"/>
          <w:sz w:val="18"/>
          <w:shd w:fill="FFFFFF" w:val="clear"/>
        </w:rPr>
      </w:pPr>
      <w:r>
        <w:rPr>
          <w:rFonts w:ascii="Times New Roman" w:hAnsi="Times New Roman"/>
          <w:b/>
          <w:color w:val="000000"/>
          <w:sz w:val="18"/>
          <w:shd w:fill="FFFFFF" w:val="clear"/>
        </w:rPr>
        <w:t>U.S. dollars in thousands, except share and per share data</w:t>
      </w:r>
    </w:p>
    <w:tbl>
      <w:tblPr>
        <w:tblW w:w="4825" w:type="dxa"/>
        <w:jc w:val="left"/>
        <w:tblInd w:w="0" w:type="dxa"/>
        <w:tblLayout w:type="fixed"/>
        <w:tblCellMar>
          <w:top w:w="0" w:type="dxa"/>
          <w:left w:w="0" w:type="dxa"/>
          <w:bottom w:w="0" w:type="dxa"/>
          <w:right w:w="0" w:type="dxa"/>
        </w:tblCellMar>
      </w:tblPr>
      <w:tblGrid>
        <w:gridCol w:w="965"/>
        <w:gridCol w:w="3860"/>
      </w:tblGrid>
      <w:tr>
        <w:trPr/>
        <w:tc>
          <w:tcPr>
            <w:tcW w:w="965" w:type="dxa"/>
            <w:tcBorders/>
            <w:vAlign w:val="center"/>
          </w:tcPr>
          <w:p>
            <w:pPr>
              <w:pStyle w:val="TableContents"/>
              <w:bidi w:val="0"/>
              <w:spacing w:before="0" w:after="283"/>
              <w:jc w:val="left"/>
              <w:rPr>
                <w:b/>
                <w:sz w:val="20"/>
              </w:rPr>
            </w:pPr>
            <w:r>
              <w:rPr>
                <w:b/>
                <w:sz w:val="20"/>
              </w:rPr>
              <w:t>NOTE 13:-</w:t>
            </w:r>
          </w:p>
        </w:tc>
        <w:tc>
          <w:tcPr>
            <w:tcW w:w="3860" w:type="dxa"/>
            <w:tcBorders/>
            <w:vAlign w:val="center"/>
          </w:tcPr>
          <w:p>
            <w:pPr>
              <w:pStyle w:val="TableContents"/>
              <w:bidi w:val="0"/>
              <w:spacing w:before="0" w:after="0"/>
              <w:jc w:val="left"/>
              <w:rPr>
                <w:b/>
                <w:sz w:val="20"/>
              </w:rPr>
            </w:pPr>
            <w:r>
              <w:rPr>
                <w:b/>
                <w:sz w:val="20"/>
              </w:rPr>
              <w:t>RELATED PARTY TRANSACTIONS (Cont.)</w:t>
            </w:r>
          </w:p>
        </w:tc>
      </w:tr>
    </w:tbl>
    <w:p>
      <w:pPr>
        <w:pStyle w:val="TextBody"/>
        <w:bidi w:val="0"/>
        <w:spacing w:before="0" w:after="0"/>
        <w:jc w:val="left"/>
        <w:rPr>
          <w:sz w:val="20"/>
        </w:rPr>
      </w:pPr>
      <w:r>
        <w:rPr>
          <w:sz w:val="20"/>
        </w:rPr>
      </w:r>
    </w:p>
    <w:p>
      <w:pPr>
        <w:pStyle w:val="TextBody"/>
        <w:bidi w:val="0"/>
        <w:spacing w:before="0" w:after="0"/>
        <w:ind w:left="1170" w:right="0" w:hanging="0"/>
        <w:jc w:val="both"/>
        <w:rPr>
          <w:rFonts w:ascii="Times New Roman" w:hAnsi="Times New Roman"/>
          <w:color w:val="000000"/>
          <w:sz w:val="20"/>
          <w:shd w:fill="FFFFFF" w:val="clear"/>
        </w:rPr>
      </w:pPr>
      <w:r>
        <w:rPr>
          <w:rFonts w:ascii="Times New Roman" w:hAnsi="Times New Roman"/>
          <w:color w:val="000000"/>
          <w:sz w:val="20"/>
          <w:shd w:fill="FFFFFF" w:val="clear"/>
        </w:rPr>
        <w:t>The Company and Yahoo, pursuant to the Omnibus Agreement entered into on November 28, 2022, each agreed to pay certain expenses in connection with the transaction and each party agreed to reimburse the other for some or all of these expenses. Under these arrangements, the Company recognized $1,297 and $3,920, of expenses, net in the three and nine months ended September 30, 2023, respectively.</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pPr>
      <w:r>
        <w:rPr/>
      </w:r>
    </w:p>
    <w:tbl>
      <w:tblPr>
        <w:tblW w:w="3805" w:type="dxa"/>
        <w:jc w:val="left"/>
        <w:tblInd w:w="0" w:type="dxa"/>
        <w:tblLayout w:type="fixed"/>
        <w:tblCellMar>
          <w:top w:w="0" w:type="dxa"/>
          <w:left w:w="0" w:type="dxa"/>
          <w:bottom w:w="0" w:type="dxa"/>
          <w:right w:w="0" w:type="dxa"/>
        </w:tblCellMar>
      </w:tblPr>
      <w:tblGrid>
        <w:gridCol w:w="965"/>
        <w:gridCol w:w="2840"/>
      </w:tblGrid>
      <w:tr>
        <w:trPr/>
        <w:tc>
          <w:tcPr>
            <w:tcW w:w="965" w:type="dxa"/>
            <w:tcBorders/>
            <w:vAlign w:val="center"/>
          </w:tcPr>
          <w:p>
            <w:pPr>
              <w:pStyle w:val="TableContents"/>
              <w:bidi w:val="0"/>
              <w:spacing w:before="0" w:after="283"/>
              <w:jc w:val="left"/>
              <w:rPr/>
            </w:pPr>
            <w:r>
              <w:rPr>
                <w:b/>
                <w:color w:val="000000"/>
                <w:sz w:val="20"/>
              </w:rPr>
              <w:t xml:space="preserve">NOTE </w:t>
            </w:r>
            <w:r>
              <w:rPr>
                <w:b/>
                <w:sz w:val="20"/>
              </w:rPr>
              <w:t>14</w:t>
            </w:r>
            <w:r>
              <w:rPr>
                <w:b/>
                <w:color w:val="000000"/>
                <w:sz w:val="20"/>
              </w:rPr>
              <w:t>:-</w:t>
            </w:r>
          </w:p>
        </w:tc>
        <w:tc>
          <w:tcPr>
            <w:tcW w:w="2840" w:type="dxa"/>
            <w:tcBorders/>
            <w:vAlign w:val="center"/>
          </w:tcPr>
          <w:p>
            <w:pPr>
              <w:pStyle w:val="TableContents"/>
              <w:bidi w:val="0"/>
              <w:spacing w:before="0" w:after="0"/>
              <w:jc w:val="both"/>
              <w:rPr>
                <w:b/>
                <w:sz w:val="20"/>
              </w:rPr>
            </w:pPr>
            <w:r>
              <w:rPr>
                <w:b/>
                <w:sz w:val="20"/>
              </w:rPr>
              <w:t xml:space="preserve">GEOGRAPHIC </w:t>
            </w:r>
            <w:r>
              <w:rPr>
                <w:b/>
                <w:color w:val="000000"/>
                <w:sz w:val="20"/>
              </w:rPr>
              <w:t>INFORMATION</w:t>
            </w:r>
          </w:p>
        </w:tc>
      </w:tr>
    </w:tbl>
    <w:p>
      <w:pPr>
        <w:pStyle w:val="TextBody"/>
        <w:bidi w:val="0"/>
        <w:spacing w:before="0" w:after="0"/>
        <w:jc w:val="left"/>
        <w:rPr>
          <w:sz w:val="20"/>
        </w:rPr>
      </w:pPr>
      <w:r>
        <w:rPr>
          <w:sz w:val="20"/>
        </w:rPr>
      </w:r>
    </w:p>
    <w:p>
      <w:pPr>
        <w:pStyle w:val="TextBody"/>
        <w:bidi w:val="0"/>
        <w:spacing w:before="0" w:after="0"/>
        <w:ind w:left="1134" w:right="0" w:hanging="0"/>
        <w:jc w:val="both"/>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The following table represents total revenue by geographic area based on the Advertisers’ billing address:</w:t>
      </w:r>
    </w:p>
    <w:p>
      <w:pPr>
        <w:pStyle w:val="TextBody"/>
        <w:bidi w:val="0"/>
        <w:spacing w:before="0" w:after="0"/>
        <w:jc w:val="left"/>
        <w:rPr>
          <w:sz w:val="20"/>
        </w:rPr>
      </w:pPr>
      <w:r>
        <w:rPr>
          <w:sz w:val="20"/>
        </w:rPr>
      </w:r>
    </w:p>
    <w:tbl>
      <w:tblPr>
        <w:tblW w:w="5496" w:type="dxa"/>
        <w:jc w:val="left"/>
        <w:tblInd w:w="1170" w:type="dxa"/>
        <w:tblLayout w:type="fixed"/>
        <w:tblCellMar>
          <w:top w:w="0" w:type="dxa"/>
          <w:left w:w="0" w:type="dxa"/>
          <w:bottom w:w="0" w:type="dxa"/>
          <w:right w:w="0" w:type="dxa"/>
        </w:tblCellMar>
      </w:tblPr>
      <w:tblGrid>
        <w:gridCol w:w="1430"/>
        <w:gridCol w:w="60"/>
        <w:gridCol w:w="125"/>
        <w:gridCol w:w="698"/>
        <w:gridCol w:w="60"/>
        <w:gridCol w:w="60"/>
        <w:gridCol w:w="125"/>
        <w:gridCol w:w="698"/>
        <w:gridCol w:w="60"/>
        <w:gridCol w:w="60"/>
        <w:gridCol w:w="125"/>
        <w:gridCol w:w="845"/>
        <w:gridCol w:w="60"/>
        <w:gridCol w:w="60"/>
        <w:gridCol w:w="125"/>
        <w:gridCol w:w="845"/>
        <w:gridCol w:w="60"/>
      </w:tblGrid>
      <w:tr>
        <w:trPr/>
        <w:tc>
          <w:tcPr>
            <w:tcW w:w="14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66" w:type="dxa"/>
            <w:gridSpan w:val="6"/>
            <w:tcBorders>
              <w:bottom w:val="single" w:sz="12" w:space="0" w:color="000000"/>
            </w:tcBorders>
            <w:tcMar>
              <w:bottom w:w="28" w:type="dxa"/>
            </w:tcMar>
            <w:vAlign w:val="bottom"/>
          </w:tcPr>
          <w:p>
            <w:pPr>
              <w:pStyle w:val="TableContents"/>
              <w:bidi w:val="0"/>
              <w:spacing w:before="0" w:after="0"/>
              <w:ind w:left="0" w:right="0" w:firstLine="40"/>
              <w:jc w:val="center"/>
              <w:rPr>
                <w:b/>
                <w:color w:val="000000"/>
                <w:sz w:val="20"/>
              </w:rPr>
            </w:pPr>
            <w:r>
              <w:rPr>
                <w:b/>
                <w:color w:val="000000"/>
                <w:sz w:val="20"/>
              </w:rPr>
              <w:t>Three months ended</w:t>
            </w:r>
          </w:p>
          <w:p>
            <w:pPr>
              <w:pStyle w:val="TableContents"/>
              <w:bidi w:val="0"/>
              <w:spacing w:before="0" w:after="0"/>
              <w:ind w:left="0" w:right="0" w:hanging="0"/>
              <w:jc w:val="center"/>
              <w:rPr>
                <w:b/>
                <w:color w:val="000000"/>
                <w:sz w:val="20"/>
              </w:rPr>
            </w:pPr>
            <w:r>
              <w:rPr>
                <w:b/>
                <w:color w:val="000000"/>
                <w:sz w:val="20"/>
              </w:rPr>
              <w:t>September 30,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60" w:type="dxa"/>
            <w:gridSpan w:val="6"/>
            <w:tcBorders>
              <w:bottom w:val="single" w:sz="12" w:space="0" w:color="000000"/>
            </w:tcBorders>
            <w:tcMar>
              <w:bottom w:w="28" w:type="dxa"/>
            </w:tcMar>
            <w:vAlign w:val="bottom"/>
          </w:tcPr>
          <w:p>
            <w:pPr>
              <w:pStyle w:val="TableContents"/>
              <w:bidi w:val="0"/>
              <w:spacing w:before="0" w:after="0"/>
              <w:ind w:left="0" w:right="0" w:hanging="0"/>
              <w:jc w:val="center"/>
              <w:rPr>
                <w:b/>
                <w:color w:val="000000"/>
                <w:sz w:val="20"/>
              </w:rPr>
            </w:pPr>
            <w:r>
              <w:rPr>
                <w:b/>
                <w:color w:val="000000"/>
                <w:sz w:val="20"/>
              </w:rPr>
              <w:t>Nine months ended</w:t>
            </w:r>
          </w:p>
          <w:p>
            <w:pPr>
              <w:pStyle w:val="TableContents"/>
              <w:bidi w:val="0"/>
              <w:spacing w:before="0" w:after="0"/>
              <w:ind w:left="0" w:right="0" w:hanging="0"/>
              <w:jc w:val="center"/>
              <w:rPr>
                <w:b/>
                <w:color w:val="000000"/>
                <w:sz w:val="20"/>
              </w:rPr>
            </w:pPr>
            <w:r>
              <w:rPr>
                <w:b/>
                <w:color w:val="000000"/>
                <w:sz w:val="20"/>
              </w:rPr>
              <w:t>September 30,</w:t>
            </w:r>
          </w:p>
        </w:tc>
        <w:tc>
          <w:tcPr>
            <w:tcW w:w="60" w:type="dxa"/>
            <w:tcBorders/>
            <w:vAlign w:val="bottom"/>
          </w:tcPr>
          <w:p>
            <w:pPr>
              <w:pStyle w:val="TableContents"/>
              <w:bidi w:val="0"/>
              <w:spacing w:before="0" w:after="283"/>
              <w:jc w:val="left"/>
              <w:rPr/>
            </w:pPr>
            <w:r>
              <w:rPr/>
              <w:t> </w:t>
            </w:r>
          </w:p>
        </w:tc>
      </w:tr>
      <w:tr>
        <w:trPr/>
        <w:tc>
          <w:tcPr>
            <w:tcW w:w="14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3" w:type="dxa"/>
            <w:gridSpan w:val="2"/>
            <w:tcBorders>
              <w:bottom w:val="single" w:sz="12" w:space="0" w:color="000000"/>
            </w:tcBorders>
            <w:tcMar>
              <w:bottom w:w="28" w:type="dxa"/>
            </w:tcMar>
            <w:vAlign w:val="bottom"/>
          </w:tcPr>
          <w:p>
            <w:pPr>
              <w:pStyle w:val="TableContents"/>
              <w:bidi w:val="0"/>
              <w:spacing w:before="0" w:after="0"/>
              <w:ind w:left="0" w:right="0" w:hanging="0"/>
              <w:jc w:val="center"/>
              <w:rPr>
                <w:b/>
                <w:color w:val="000000"/>
                <w:sz w:val="20"/>
              </w:rPr>
            </w:pPr>
            <w:r>
              <w:rPr>
                <w:b/>
                <w:color w:val="000000"/>
                <w:sz w:val="20"/>
              </w:rPr>
              <w:t>2023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3" w:type="dxa"/>
            <w:gridSpan w:val="2"/>
            <w:tcBorders>
              <w:bottom w:val="single" w:sz="12" w:space="0" w:color="000000"/>
            </w:tcBorders>
            <w:tcMar>
              <w:bottom w:w="28" w:type="dxa"/>
            </w:tcMar>
            <w:vAlign w:val="bottom"/>
          </w:tcPr>
          <w:p>
            <w:pPr>
              <w:pStyle w:val="TableContents"/>
              <w:bidi w:val="0"/>
              <w:spacing w:before="0" w:after="0"/>
              <w:ind w:left="0" w:right="0" w:hanging="0"/>
              <w:jc w:val="center"/>
              <w:rPr>
                <w:b/>
                <w:color w:val="000000"/>
                <w:sz w:val="20"/>
              </w:rPr>
            </w:pPr>
            <w:r>
              <w:rPr>
                <w:b/>
                <w:color w:val="000000"/>
                <w:sz w:val="20"/>
              </w:rPr>
              <w:t>2022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70" w:type="dxa"/>
            <w:gridSpan w:val="2"/>
            <w:tcBorders>
              <w:bottom w:val="single" w:sz="12" w:space="0" w:color="000000"/>
            </w:tcBorders>
            <w:tcMar>
              <w:bottom w:w="28" w:type="dxa"/>
            </w:tcMar>
            <w:vAlign w:val="center"/>
          </w:tcPr>
          <w:p>
            <w:pPr>
              <w:pStyle w:val="TableContents"/>
              <w:bidi w:val="0"/>
              <w:spacing w:before="0" w:after="283"/>
              <w:jc w:val="center"/>
              <w:rPr>
                <w:b/>
                <w:sz w:val="20"/>
              </w:rPr>
            </w:pPr>
            <w:r>
              <w:rPr>
                <w:b/>
                <w:sz w:val="20"/>
              </w:rPr>
              <w:t>2023</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70" w:type="dxa"/>
            <w:gridSpan w:val="2"/>
            <w:tcBorders>
              <w:bottom w:val="single" w:sz="12" w:space="0" w:color="000000"/>
            </w:tcBorders>
            <w:tcMar>
              <w:bottom w:w="28" w:type="dxa"/>
            </w:tcMar>
            <w:vAlign w:val="center"/>
          </w:tcPr>
          <w:p>
            <w:pPr>
              <w:pStyle w:val="TableContents"/>
              <w:bidi w:val="0"/>
              <w:spacing w:before="0" w:after="283"/>
              <w:jc w:val="center"/>
              <w:rPr>
                <w:b/>
                <w:sz w:val="20"/>
              </w:rPr>
            </w:pPr>
            <w:r>
              <w:rPr>
                <w:b/>
                <w:sz w:val="20"/>
              </w:rPr>
              <w:t>2022</w:t>
            </w:r>
          </w:p>
        </w:tc>
        <w:tc>
          <w:tcPr>
            <w:tcW w:w="60" w:type="dxa"/>
            <w:tcBorders/>
            <w:vAlign w:val="bottom"/>
          </w:tcPr>
          <w:p>
            <w:pPr>
              <w:pStyle w:val="TableContents"/>
              <w:bidi w:val="0"/>
              <w:spacing w:before="0" w:after="283"/>
              <w:jc w:val="left"/>
              <w:rPr/>
            </w:pPr>
            <w:r>
              <w:rPr/>
              <w:t> </w:t>
            </w:r>
          </w:p>
        </w:tc>
      </w:tr>
      <w:tr>
        <w:trPr/>
        <w:tc>
          <w:tcPr>
            <w:tcW w:w="14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946" w:type="dxa"/>
            <w:gridSpan w:val="14"/>
            <w:tcBorders>
              <w:bottom w:val="single" w:sz="12" w:space="0" w:color="000000"/>
            </w:tcBorders>
            <w:tcMar>
              <w:bottom w:w="28" w:type="dxa"/>
            </w:tcMar>
            <w:vAlign w:val="bottom"/>
          </w:tcPr>
          <w:p>
            <w:pPr>
              <w:pStyle w:val="TableContents"/>
              <w:bidi w:val="0"/>
              <w:spacing w:before="0" w:after="0"/>
              <w:ind w:left="0" w:right="0" w:firstLine="40"/>
              <w:jc w:val="center"/>
              <w:rPr>
                <w:b/>
                <w:color w:val="000000"/>
                <w:sz w:val="20"/>
              </w:rPr>
            </w:pPr>
            <w:r>
              <w:rPr>
                <w:b/>
                <w:color w:val="000000"/>
                <w:sz w:val="20"/>
              </w:rPr>
              <w:t>Unaudited</w:t>
            </w:r>
          </w:p>
        </w:tc>
        <w:tc>
          <w:tcPr>
            <w:tcW w:w="60" w:type="dxa"/>
            <w:tcBorders/>
            <w:vAlign w:val="bottom"/>
          </w:tcPr>
          <w:p>
            <w:pPr>
              <w:pStyle w:val="TableContents"/>
              <w:bidi w:val="0"/>
              <w:spacing w:before="0" w:after="283"/>
              <w:jc w:val="left"/>
              <w:rPr/>
            </w:pPr>
            <w:r>
              <w:rPr/>
              <w:t> </w:t>
            </w:r>
          </w:p>
        </w:tc>
      </w:tr>
      <w:tr>
        <w:trPr/>
        <w:tc>
          <w:tcPr>
            <w:tcW w:w="1430" w:type="dxa"/>
            <w:tcBorders/>
            <w:shd w:fill="CCEEFF" w:val="clear"/>
            <w:vAlign w:val="bottom"/>
          </w:tcPr>
          <w:p>
            <w:pPr>
              <w:pStyle w:val="TableContents"/>
              <w:bidi w:val="0"/>
              <w:spacing w:before="0" w:after="0"/>
              <w:ind w:left="227" w:right="0" w:hanging="227"/>
              <w:jc w:val="left"/>
              <w:rPr>
                <w:color w:val="000000"/>
                <w:sz w:val="20"/>
              </w:rPr>
            </w:pPr>
            <w:r>
              <w:rPr>
                <w:color w:val="000000"/>
                <w:sz w:val="20"/>
              </w:rPr>
              <w:t>Israel</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color w:val="000000"/>
                <w:sz w:val="20"/>
              </w:rPr>
            </w:pPr>
            <w:r>
              <w:rPr>
                <w:color w:val="000000"/>
                <w:sz w:val="20"/>
              </w:rPr>
              <w:t>$</w:t>
            </w:r>
          </w:p>
        </w:tc>
        <w:tc>
          <w:tcPr>
            <w:tcW w:w="698" w:type="dxa"/>
            <w:tcBorders/>
            <w:shd w:fill="CCEEFF" w:val="clear"/>
            <w:vAlign w:val="bottom"/>
          </w:tcPr>
          <w:p>
            <w:pPr>
              <w:pStyle w:val="TableContents"/>
              <w:bidi w:val="0"/>
              <w:spacing w:before="0" w:after="0"/>
              <w:jc w:val="right"/>
              <w:rPr>
                <w:color w:val="000000"/>
                <w:sz w:val="20"/>
              </w:rPr>
            </w:pPr>
            <w:r>
              <w:rPr>
                <w:color w:val="000000"/>
                <w:sz w:val="20"/>
              </w:rPr>
              <w:t>34,878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color w:val="000000"/>
                <w:sz w:val="20"/>
              </w:rPr>
            </w:pPr>
            <w:r>
              <w:rPr>
                <w:color w:val="000000"/>
                <w:sz w:val="20"/>
              </w:rPr>
              <w:t>$</w:t>
            </w:r>
          </w:p>
        </w:tc>
        <w:tc>
          <w:tcPr>
            <w:tcW w:w="698" w:type="dxa"/>
            <w:tcBorders/>
            <w:shd w:fill="CCEEFF" w:val="clear"/>
            <w:vAlign w:val="bottom"/>
          </w:tcPr>
          <w:p>
            <w:pPr>
              <w:pStyle w:val="TableContents"/>
              <w:bidi w:val="0"/>
              <w:spacing w:before="0" w:after="0"/>
              <w:jc w:val="right"/>
              <w:rPr>
                <w:color w:val="000000"/>
                <w:sz w:val="20"/>
              </w:rPr>
            </w:pPr>
            <w:r>
              <w:rPr>
                <w:color w:val="000000"/>
                <w:sz w:val="20"/>
              </w:rPr>
              <w:t>34,347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sz w:val="20"/>
              </w:rPr>
            </w:pPr>
            <w:r>
              <w:rPr>
                <w:sz w:val="20"/>
              </w:rPr>
              <w:t>$</w:t>
            </w:r>
          </w:p>
        </w:tc>
        <w:tc>
          <w:tcPr>
            <w:tcW w:w="845" w:type="dxa"/>
            <w:tcBorders/>
            <w:shd w:fill="CCEEFF" w:val="clear"/>
            <w:vAlign w:val="bottom"/>
          </w:tcPr>
          <w:p>
            <w:pPr>
              <w:pStyle w:val="TableContents"/>
              <w:bidi w:val="0"/>
              <w:spacing w:before="0" w:after="283"/>
              <w:jc w:val="right"/>
              <w:rPr>
                <w:sz w:val="20"/>
              </w:rPr>
            </w:pPr>
            <w:r>
              <w:rPr>
                <w:sz w:val="20"/>
              </w:rPr>
              <w:t>112,128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sz w:val="20"/>
              </w:rPr>
            </w:pPr>
            <w:r>
              <w:rPr>
                <w:sz w:val="20"/>
              </w:rPr>
              <w:t>$</w:t>
            </w:r>
          </w:p>
        </w:tc>
        <w:tc>
          <w:tcPr>
            <w:tcW w:w="845" w:type="dxa"/>
            <w:tcBorders/>
            <w:shd w:fill="CCEEFF" w:val="clear"/>
            <w:vAlign w:val="bottom"/>
          </w:tcPr>
          <w:p>
            <w:pPr>
              <w:pStyle w:val="TableContents"/>
              <w:bidi w:val="0"/>
              <w:spacing w:before="0" w:after="283"/>
              <w:jc w:val="right"/>
              <w:rPr>
                <w:sz w:val="20"/>
              </w:rPr>
            </w:pPr>
            <w:r>
              <w:rPr>
                <w:sz w:val="20"/>
              </w:rPr>
              <w:t>115,605</w:t>
            </w:r>
          </w:p>
        </w:tc>
        <w:tc>
          <w:tcPr>
            <w:tcW w:w="60" w:type="dxa"/>
            <w:tcBorders/>
            <w:shd w:fill="CCEEFF" w:val="clear"/>
            <w:vAlign w:val="bottom"/>
          </w:tcPr>
          <w:p>
            <w:pPr>
              <w:pStyle w:val="TableContents"/>
              <w:bidi w:val="0"/>
              <w:spacing w:before="0" w:after="283"/>
              <w:jc w:val="left"/>
              <w:rPr/>
            </w:pPr>
            <w:r>
              <w:rPr/>
              <w:t> </w:t>
            </w:r>
          </w:p>
        </w:tc>
      </w:tr>
      <w:tr>
        <w:trPr/>
        <w:tc>
          <w:tcPr>
            <w:tcW w:w="1430" w:type="dxa"/>
            <w:tcBorders/>
            <w:vAlign w:val="bottom"/>
          </w:tcPr>
          <w:p>
            <w:pPr>
              <w:pStyle w:val="TableContents"/>
              <w:bidi w:val="0"/>
              <w:spacing w:before="0" w:after="0"/>
              <w:ind w:left="227" w:right="0" w:hanging="227"/>
              <w:jc w:val="left"/>
              <w:rPr>
                <w:color w:val="000000"/>
                <w:sz w:val="20"/>
              </w:rPr>
            </w:pPr>
            <w:r>
              <w:rPr>
                <w:color w:val="000000"/>
                <w:sz w:val="20"/>
              </w:rPr>
              <w:t>United States</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8" w:type="dxa"/>
            <w:tcBorders/>
            <w:vAlign w:val="bottom"/>
          </w:tcPr>
          <w:p>
            <w:pPr>
              <w:pStyle w:val="TableContents"/>
              <w:bidi w:val="0"/>
              <w:spacing w:before="0" w:after="0"/>
              <w:jc w:val="right"/>
              <w:rPr>
                <w:color w:val="000000"/>
                <w:sz w:val="20"/>
              </w:rPr>
            </w:pPr>
            <w:r>
              <w:rPr>
                <w:color w:val="000000"/>
                <w:sz w:val="20"/>
              </w:rPr>
              <w:t>138,131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8" w:type="dxa"/>
            <w:tcBorders/>
            <w:vAlign w:val="bottom"/>
          </w:tcPr>
          <w:p>
            <w:pPr>
              <w:pStyle w:val="TableContents"/>
              <w:bidi w:val="0"/>
              <w:spacing w:before="0" w:after="0"/>
              <w:jc w:val="right"/>
              <w:rPr>
                <w:color w:val="000000"/>
                <w:sz w:val="20"/>
              </w:rPr>
            </w:pPr>
            <w:r>
              <w:rPr>
                <w:color w:val="000000"/>
                <w:sz w:val="20"/>
              </w:rPr>
              <w:t>131,937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283"/>
              <w:jc w:val="right"/>
              <w:rPr>
                <w:sz w:val="20"/>
              </w:rPr>
            </w:pPr>
            <w:r>
              <w:rPr>
                <w:sz w:val="20"/>
              </w:rPr>
              <w:t>380,426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283"/>
              <w:jc w:val="right"/>
              <w:rPr>
                <w:sz w:val="20"/>
              </w:rPr>
            </w:pPr>
            <w:r>
              <w:rPr>
                <w:sz w:val="20"/>
              </w:rPr>
              <w:t>400,610</w:t>
            </w:r>
          </w:p>
        </w:tc>
        <w:tc>
          <w:tcPr>
            <w:tcW w:w="60" w:type="dxa"/>
            <w:tcBorders/>
            <w:vAlign w:val="bottom"/>
          </w:tcPr>
          <w:p>
            <w:pPr>
              <w:pStyle w:val="TableContents"/>
              <w:bidi w:val="0"/>
              <w:spacing w:before="0" w:after="283"/>
              <w:jc w:val="left"/>
              <w:rPr/>
            </w:pPr>
            <w:r>
              <w:rPr/>
              <w:t> </w:t>
            </w:r>
          </w:p>
        </w:tc>
      </w:tr>
      <w:tr>
        <w:trPr/>
        <w:tc>
          <w:tcPr>
            <w:tcW w:w="1430" w:type="dxa"/>
            <w:tcBorders/>
            <w:shd w:fill="CCEEFF" w:val="clear"/>
            <w:vAlign w:val="bottom"/>
          </w:tcPr>
          <w:p>
            <w:pPr>
              <w:pStyle w:val="TableContents"/>
              <w:bidi w:val="0"/>
              <w:spacing w:before="0" w:after="0"/>
              <w:ind w:left="227" w:right="0" w:hanging="227"/>
              <w:jc w:val="left"/>
              <w:rPr>
                <w:color w:val="000000"/>
                <w:sz w:val="20"/>
              </w:rPr>
            </w:pPr>
            <w:r>
              <w:rPr>
                <w:color w:val="000000"/>
                <w:sz w:val="20"/>
              </w:rPr>
              <w:t>Germany</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98" w:type="dxa"/>
            <w:tcBorders/>
            <w:shd w:fill="CCEEFF" w:val="clear"/>
            <w:vAlign w:val="bottom"/>
          </w:tcPr>
          <w:p>
            <w:pPr>
              <w:pStyle w:val="TableContents"/>
              <w:bidi w:val="0"/>
              <w:spacing w:before="0" w:after="0"/>
              <w:jc w:val="right"/>
              <w:rPr>
                <w:color w:val="000000"/>
                <w:sz w:val="20"/>
              </w:rPr>
            </w:pPr>
            <w:r>
              <w:rPr>
                <w:color w:val="000000"/>
                <w:sz w:val="20"/>
              </w:rPr>
              <w:t>33,392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98" w:type="dxa"/>
            <w:tcBorders/>
            <w:shd w:fill="CCEEFF" w:val="clear"/>
            <w:vAlign w:val="bottom"/>
          </w:tcPr>
          <w:p>
            <w:pPr>
              <w:pStyle w:val="TableContents"/>
              <w:bidi w:val="0"/>
              <w:spacing w:before="0" w:after="0"/>
              <w:jc w:val="right"/>
              <w:rPr>
                <w:color w:val="000000"/>
                <w:sz w:val="20"/>
              </w:rPr>
            </w:pPr>
            <w:r>
              <w:rPr>
                <w:color w:val="000000"/>
                <w:sz w:val="20"/>
              </w:rPr>
              <w:t>25,757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283"/>
              <w:jc w:val="right"/>
              <w:rPr>
                <w:sz w:val="20"/>
              </w:rPr>
            </w:pPr>
            <w:r>
              <w:rPr>
                <w:sz w:val="20"/>
              </w:rPr>
              <w:t>96,361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283"/>
              <w:jc w:val="right"/>
              <w:rPr>
                <w:sz w:val="20"/>
              </w:rPr>
            </w:pPr>
            <w:r>
              <w:rPr>
                <w:sz w:val="20"/>
              </w:rPr>
              <w:t>94,092</w:t>
            </w:r>
          </w:p>
        </w:tc>
        <w:tc>
          <w:tcPr>
            <w:tcW w:w="60" w:type="dxa"/>
            <w:tcBorders/>
            <w:shd w:fill="CCEEFF" w:val="clear"/>
            <w:vAlign w:val="bottom"/>
          </w:tcPr>
          <w:p>
            <w:pPr>
              <w:pStyle w:val="TableContents"/>
              <w:bidi w:val="0"/>
              <w:spacing w:before="0" w:after="283"/>
              <w:jc w:val="left"/>
              <w:rPr/>
            </w:pPr>
            <w:r>
              <w:rPr/>
              <w:t> </w:t>
            </w:r>
          </w:p>
        </w:tc>
      </w:tr>
      <w:tr>
        <w:trPr/>
        <w:tc>
          <w:tcPr>
            <w:tcW w:w="1430" w:type="dxa"/>
            <w:tcBorders/>
            <w:vAlign w:val="bottom"/>
          </w:tcPr>
          <w:p>
            <w:pPr>
              <w:pStyle w:val="TableContents"/>
              <w:bidi w:val="0"/>
              <w:spacing w:before="0" w:after="283"/>
              <w:jc w:val="left"/>
              <w:rPr>
                <w:sz w:val="20"/>
              </w:rPr>
            </w:pPr>
            <w:r>
              <w:rPr>
                <w:sz w:val="20"/>
              </w:rPr>
              <w:t xml:space="preserve">United Kingdom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8" w:type="dxa"/>
            <w:tcBorders/>
            <w:vAlign w:val="bottom"/>
          </w:tcPr>
          <w:p>
            <w:pPr>
              <w:pStyle w:val="TableContents"/>
              <w:bidi w:val="0"/>
              <w:spacing w:before="0" w:after="283"/>
              <w:jc w:val="right"/>
              <w:rPr>
                <w:sz w:val="20"/>
              </w:rPr>
            </w:pPr>
            <w:r>
              <w:rPr>
                <w:sz w:val="20"/>
              </w:rPr>
              <w:t>19,739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8" w:type="dxa"/>
            <w:tcBorders/>
            <w:vAlign w:val="bottom"/>
          </w:tcPr>
          <w:p>
            <w:pPr>
              <w:pStyle w:val="TableContents"/>
              <w:bidi w:val="0"/>
              <w:spacing w:before="0" w:after="283"/>
              <w:jc w:val="right"/>
              <w:rPr>
                <w:sz w:val="20"/>
              </w:rPr>
            </w:pPr>
            <w:r>
              <w:rPr>
                <w:sz w:val="20"/>
              </w:rPr>
              <w:t>16,352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283"/>
              <w:jc w:val="right"/>
              <w:rPr>
                <w:sz w:val="20"/>
              </w:rPr>
            </w:pPr>
            <w:r>
              <w:rPr>
                <w:sz w:val="20"/>
              </w:rPr>
              <w:t>55,522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283"/>
              <w:jc w:val="right"/>
              <w:rPr>
                <w:sz w:val="20"/>
              </w:rPr>
            </w:pPr>
            <w:r>
              <w:rPr>
                <w:sz w:val="20"/>
              </w:rPr>
              <w:t>54,517</w:t>
            </w:r>
          </w:p>
        </w:tc>
        <w:tc>
          <w:tcPr>
            <w:tcW w:w="60" w:type="dxa"/>
            <w:tcBorders/>
            <w:vAlign w:val="bottom"/>
          </w:tcPr>
          <w:p>
            <w:pPr>
              <w:pStyle w:val="TableContents"/>
              <w:bidi w:val="0"/>
              <w:spacing w:before="0" w:after="283"/>
              <w:jc w:val="left"/>
              <w:rPr/>
            </w:pPr>
            <w:r>
              <w:rPr/>
              <w:t> </w:t>
            </w:r>
          </w:p>
        </w:tc>
      </w:tr>
      <w:tr>
        <w:trPr/>
        <w:tc>
          <w:tcPr>
            <w:tcW w:w="1430" w:type="dxa"/>
            <w:tcBorders/>
            <w:shd w:fill="CCEEFF" w:val="clear"/>
            <w:vAlign w:val="bottom"/>
          </w:tcPr>
          <w:p>
            <w:pPr>
              <w:pStyle w:val="TableContents"/>
              <w:bidi w:val="0"/>
              <w:spacing w:before="0" w:after="0"/>
              <w:ind w:left="227" w:right="0" w:hanging="227"/>
              <w:jc w:val="left"/>
              <w:rPr>
                <w:color w:val="000000"/>
                <w:sz w:val="20"/>
              </w:rPr>
            </w:pPr>
            <w:r>
              <w:rPr>
                <w:color w:val="000000"/>
                <w:sz w:val="20"/>
              </w:rPr>
              <w:t>Rest of the world</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98" w:type="dxa"/>
            <w:tcBorders>
              <w:bottom w:val="single" w:sz="12" w:space="0" w:color="000000"/>
            </w:tcBorders>
            <w:shd w:fill="CCEEFF" w:val="clear"/>
            <w:tcMar>
              <w:bottom w:w="28" w:type="dxa"/>
            </w:tcMar>
            <w:vAlign w:val="bottom"/>
          </w:tcPr>
          <w:p>
            <w:pPr>
              <w:pStyle w:val="TableContents"/>
              <w:bidi w:val="0"/>
              <w:spacing w:before="0" w:after="0"/>
              <w:jc w:val="right"/>
              <w:rPr>
                <w:color w:val="000000"/>
                <w:sz w:val="20"/>
              </w:rPr>
            </w:pPr>
            <w:r>
              <w:rPr>
                <w:color w:val="000000"/>
                <w:sz w:val="20"/>
              </w:rPr>
              <w:t>134,081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98" w:type="dxa"/>
            <w:tcBorders>
              <w:bottom w:val="single" w:sz="12" w:space="0" w:color="000000"/>
            </w:tcBorders>
            <w:shd w:fill="CCEEFF" w:val="clear"/>
            <w:tcMar>
              <w:bottom w:w="28" w:type="dxa"/>
            </w:tcMar>
            <w:vAlign w:val="bottom"/>
          </w:tcPr>
          <w:p>
            <w:pPr>
              <w:pStyle w:val="TableContents"/>
              <w:bidi w:val="0"/>
              <w:spacing w:before="0" w:after="0"/>
              <w:jc w:val="right"/>
              <w:rPr>
                <w:color w:val="000000"/>
                <w:sz w:val="20"/>
              </w:rPr>
            </w:pPr>
            <w:r>
              <w:rPr>
                <w:color w:val="000000"/>
                <w:sz w:val="20"/>
              </w:rPr>
              <w:t>124,069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shd w:fill="CCEEFF" w:val="clear"/>
            <w:tcMar>
              <w:bottom w:w="28" w:type="dxa"/>
            </w:tcMar>
            <w:vAlign w:val="bottom"/>
          </w:tcPr>
          <w:p>
            <w:pPr>
              <w:pStyle w:val="TableContents"/>
              <w:bidi w:val="0"/>
              <w:spacing w:before="0" w:after="283"/>
              <w:jc w:val="right"/>
              <w:rPr>
                <w:sz w:val="20"/>
              </w:rPr>
            </w:pPr>
            <w:r>
              <w:rPr>
                <w:sz w:val="20"/>
              </w:rPr>
              <w:t>375,474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shd w:fill="CCEEFF" w:val="clear"/>
            <w:tcMar>
              <w:bottom w:w="28" w:type="dxa"/>
            </w:tcMar>
            <w:vAlign w:val="bottom"/>
          </w:tcPr>
          <w:p>
            <w:pPr>
              <w:pStyle w:val="TableContents"/>
              <w:bidi w:val="0"/>
              <w:spacing w:before="0" w:after="283"/>
              <w:jc w:val="right"/>
              <w:rPr>
                <w:sz w:val="20"/>
              </w:rPr>
            </w:pPr>
            <w:r>
              <w:rPr>
                <w:sz w:val="20"/>
              </w:rPr>
              <w:t>365,059</w:t>
            </w:r>
          </w:p>
        </w:tc>
        <w:tc>
          <w:tcPr>
            <w:tcW w:w="60" w:type="dxa"/>
            <w:tcBorders/>
            <w:shd w:fill="CCEEFF" w:val="clear"/>
            <w:vAlign w:val="bottom"/>
          </w:tcPr>
          <w:p>
            <w:pPr>
              <w:pStyle w:val="TableContents"/>
              <w:bidi w:val="0"/>
              <w:spacing w:before="0" w:after="283"/>
              <w:jc w:val="left"/>
              <w:rPr/>
            </w:pPr>
            <w:r>
              <w:rPr/>
              <w:t> </w:t>
            </w:r>
          </w:p>
        </w:tc>
      </w:tr>
      <w:tr>
        <w:trPr/>
        <w:tc>
          <w:tcPr>
            <w:tcW w:w="1430" w:type="dxa"/>
            <w:tcBorders/>
            <w:vAlign w:val="bottom"/>
          </w:tcPr>
          <w:p>
            <w:pPr>
              <w:pStyle w:val="TableContents"/>
              <w:bidi w:val="0"/>
              <w:spacing w:before="0" w:after="0"/>
              <w:ind w:left="227" w:right="0" w:hanging="227"/>
              <w:jc w:val="left"/>
              <w:rPr>
                <w:color w:val="000000"/>
                <w:sz w:val="20"/>
              </w:rPr>
            </w:pPr>
            <w:r>
              <w:rPr>
                <w:color w:val="000000"/>
                <w:sz w:val="20"/>
              </w:rPr>
              <w:t>Total</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0"/>
              <w:jc w:val="left"/>
              <w:rPr>
                <w:color w:val="000000"/>
                <w:sz w:val="20"/>
              </w:rPr>
            </w:pPr>
            <w:r>
              <w:rPr>
                <w:color w:val="000000"/>
                <w:sz w:val="20"/>
              </w:rPr>
              <w:t>$</w:t>
            </w:r>
          </w:p>
        </w:tc>
        <w:tc>
          <w:tcPr>
            <w:tcW w:w="698" w:type="dxa"/>
            <w:tcBorders>
              <w:bottom w:val="single" w:sz="12" w:space="0" w:color="000000"/>
            </w:tcBorders>
            <w:tcMar>
              <w:bottom w:w="28" w:type="dxa"/>
            </w:tcMar>
            <w:vAlign w:val="bottom"/>
          </w:tcPr>
          <w:p>
            <w:pPr>
              <w:pStyle w:val="TableContents"/>
              <w:bidi w:val="0"/>
              <w:spacing w:before="0" w:after="0"/>
              <w:jc w:val="right"/>
              <w:rPr>
                <w:color w:val="000000"/>
                <w:sz w:val="20"/>
              </w:rPr>
            </w:pPr>
            <w:r>
              <w:rPr>
                <w:color w:val="000000"/>
                <w:sz w:val="20"/>
              </w:rPr>
              <w:t>360,221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0"/>
              <w:jc w:val="left"/>
              <w:rPr>
                <w:color w:val="000000"/>
                <w:sz w:val="20"/>
              </w:rPr>
            </w:pPr>
            <w:r>
              <w:rPr>
                <w:color w:val="000000"/>
                <w:sz w:val="20"/>
              </w:rPr>
              <w:t>$</w:t>
            </w:r>
          </w:p>
        </w:tc>
        <w:tc>
          <w:tcPr>
            <w:tcW w:w="698" w:type="dxa"/>
            <w:tcBorders>
              <w:bottom w:val="single" w:sz="12" w:space="0" w:color="000000"/>
            </w:tcBorders>
            <w:tcMar>
              <w:bottom w:w="28" w:type="dxa"/>
            </w:tcMar>
            <w:vAlign w:val="bottom"/>
          </w:tcPr>
          <w:p>
            <w:pPr>
              <w:pStyle w:val="TableContents"/>
              <w:bidi w:val="0"/>
              <w:spacing w:before="0" w:after="0"/>
              <w:jc w:val="right"/>
              <w:rPr>
                <w:color w:val="000000"/>
                <w:sz w:val="20"/>
              </w:rPr>
            </w:pPr>
            <w:r>
              <w:rPr>
                <w:color w:val="000000"/>
                <w:sz w:val="20"/>
              </w:rPr>
              <w:t>332,462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sz w:val="20"/>
              </w:rPr>
            </w:pPr>
            <w:r>
              <w:rPr>
                <w:sz w:val="20"/>
              </w:rPr>
              <w:t>$</w:t>
            </w:r>
          </w:p>
        </w:tc>
        <w:tc>
          <w:tcPr>
            <w:tcW w:w="845" w:type="dxa"/>
            <w:tcBorders>
              <w:bottom w:val="single" w:sz="12" w:space="0" w:color="000000"/>
            </w:tcBorders>
            <w:tcMar>
              <w:bottom w:w="28" w:type="dxa"/>
            </w:tcMar>
            <w:vAlign w:val="bottom"/>
          </w:tcPr>
          <w:p>
            <w:pPr>
              <w:pStyle w:val="TableContents"/>
              <w:bidi w:val="0"/>
              <w:spacing w:before="0" w:after="283"/>
              <w:jc w:val="right"/>
              <w:rPr>
                <w:sz w:val="20"/>
              </w:rPr>
            </w:pPr>
            <w:r>
              <w:rPr>
                <w:sz w:val="20"/>
              </w:rPr>
              <w:t>1,019,911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sz w:val="20"/>
              </w:rPr>
            </w:pPr>
            <w:r>
              <w:rPr>
                <w:sz w:val="20"/>
              </w:rPr>
              <w:t>$</w:t>
            </w:r>
          </w:p>
        </w:tc>
        <w:tc>
          <w:tcPr>
            <w:tcW w:w="845" w:type="dxa"/>
            <w:tcBorders>
              <w:bottom w:val="single" w:sz="12" w:space="0" w:color="000000"/>
            </w:tcBorders>
            <w:tcMar>
              <w:bottom w:w="28" w:type="dxa"/>
            </w:tcMar>
            <w:vAlign w:val="bottom"/>
          </w:tcPr>
          <w:p>
            <w:pPr>
              <w:pStyle w:val="TableContents"/>
              <w:bidi w:val="0"/>
              <w:spacing w:before="0" w:after="283"/>
              <w:jc w:val="right"/>
              <w:rPr>
                <w:sz w:val="20"/>
              </w:rPr>
            </w:pPr>
            <w:r>
              <w:rPr>
                <w:sz w:val="20"/>
              </w:rPr>
              <w:t>1,029,883</w:t>
            </w:r>
          </w:p>
        </w:tc>
        <w:tc>
          <w:tcPr>
            <w:tcW w:w="60" w:type="dxa"/>
            <w:tcBorders/>
            <w:vAlign w:val="bottom"/>
          </w:tcPr>
          <w:p>
            <w:pPr>
              <w:pStyle w:val="TableContents"/>
              <w:bidi w:val="0"/>
              <w:spacing w:before="0" w:after="283"/>
              <w:jc w:val="left"/>
              <w:rPr/>
            </w:pPr>
            <w:r>
              <w:rPr/>
              <w:t> </w:t>
            </w:r>
          </w:p>
        </w:tc>
      </w:tr>
    </w:tbl>
    <w:p>
      <w:pPr>
        <w:pStyle w:val="TextBody"/>
        <w:bidi w:val="0"/>
        <w:spacing w:before="0" w:after="0"/>
        <w:ind w:left="1170" w:right="0" w:hanging="0"/>
        <w:jc w:val="left"/>
        <w:rPr/>
      </w:pPr>
      <w:r>
        <w:rPr/>
      </w:r>
    </w:p>
    <w:tbl>
      <w:tblPr>
        <w:tblW w:w="7720" w:type="dxa"/>
        <w:jc w:val="left"/>
        <w:tblInd w:w="0" w:type="dxa"/>
        <w:tblLayout w:type="fixed"/>
        <w:tblCellMar>
          <w:top w:w="0" w:type="dxa"/>
          <w:left w:w="0" w:type="dxa"/>
          <w:bottom w:w="0" w:type="dxa"/>
          <w:right w:w="0" w:type="dxa"/>
        </w:tblCellMar>
      </w:tblPr>
      <w:tblGrid>
        <w:gridCol w:w="950"/>
        <w:gridCol w:w="6770"/>
      </w:tblGrid>
      <w:tr>
        <w:trPr/>
        <w:tc>
          <w:tcPr>
            <w:tcW w:w="950" w:type="dxa"/>
            <w:tcBorders/>
            <w:vAlign w:val="center"/>
          </w:tcPr>
          <w:p>
            <w:pPr>
              <w:pStyle w:val="TableContents"/>
              <w:bidi w:val="0"/>
              <w:spacing w:before="0" w:after="283"/>
              <w:jc w:val="left"/>
              <w:rPr>
                <w:rFonts w:ascii="Times New Roman" w:hAnsi="Times New Roman"/>
                <w:b/>
                <w:sz w:val="20"/>
              </w:rPr>
            </w:pPr>
            <w:r>
              <w:rPr>
                <w:rFonts w:ascii="Times New Roman" w:hAnsi="Times New Roman"/>
                <w:b/>
                <w:sz w:val="20"/>
              </w:rPr>
              <w:t>NOTE 15:-</w:t>
            </w:r>
          </w:p>
        </w:tc>
        <w:tc>
          <w:tcPr>
            <w:tcW w:w="6770" w:type="dxa"/>
            <w:tcBorders/>
            <w:vAlign w:val="center"/>
          </w:tcPr>
          <w:p>
            <w:pPr>
              <w:pStyle w:val="TableContents"/>
              <w:bidi w:val="0"/>
              <w:spacing w:before="0" w:after="0"/>
              <w:jc w:val="left"/>
              <w:rPr>
                <w:b/>
                <w:sz w:val="20"/>
              </w:rPr>
            </w:pPr>
            <w:r>
              <w:rPr>
                <w:rFonts w:ascii="Times New Roman" w:hAnsi="Times New Roman"/>
                <w:b/>
                <w:color w:val="000000"/>
                <w:sz w:val="20"/>
              </w:rPr>
              <w:t xml:space="preserve">NET </w:t>
            </w:r>
            <w:r>
              <w:rPr>
                <w:rFonts w:ascii="Times New Roman" w:hAnsi="Times New Roman"/>
                <w:b/>
                <w:sz w:val="20"/>
              </w:rPr>
              <w:t>LOSS</w:t>
            </w:r>
            <w:r>
              <w:rPr>
                <w:rFonts w:ascii="Times New Roman" w:hAnsi="Times New Roman"/>
                <w:b/>
                <w:color w:val="000000"/>
                <w:sz w:val="20"/>
              </w:rPr>
              <w:t xml:space="preserve"> PER SHARE ATTRIBUTABLE TO ORDINARY SHAREHOLDERS</w:t>
            </w:r>
          </w:p>
        </w:tc>
      </w:tr>
    </w:tbl>
    <w:p>
      <w:pPr>
        <w:pStyle w:val="TextBody"/>
        <w:bidi w:val="0"/>
        <w:spacing w:before="0" w:after="0"/>
        <w:jc w:val="left"/>
        <w:rPr/>
      </w:pPr>
      <w:r>
        <w:rPr/>
      </w:r>
    </w:p>
    <w:tbl>
      <w:tblPr>
        <w:tblW w:w="12915" w:type="dxa"/>
        <w:jc w:val="left"/>
        <w:tblInd w:w="1170" w:type="dxa"/>
        <w:tblLayout w:type="fixed"/>
        <w:tblCellMar>
          <w:top w:w="0" w:type="dxa"/>
          <w:left w:w="0" w:type="dxa"/>
          <w:bottom w:w="0" w:type="dxa"/>
          <w:right w:w="0" w:type="dxa"/>
        </w:tblCellMar>
      </w:tblPr>
      <w:tblGrid>
        <w:gridCol w:w="1505"/>
        <w:gridCol w:w="60"/>
        <w:gridCol w:w="140"/>
        <w:gridCol w:w="1220"/>
        <w:gridCol w:w="95"/>
        <w:gridCol w:w="60"/>
        <w:gridCol w:w="140"/>
        <w:gridCol w:w="1100"/>
        <w:gridCol w:w="95"/>
        <w:gridCol w:w="60"/>
        <w:gridCol w:w="140"/>
        <w:gridCol w:w="1220"/>
        <w:gridCol w:w="95"/>
        <w:gridCol w:w="60"/>
        <w:gridCol w:w="406"/>
        <w:gridCol w:w="754"/>
        <w:gridCol w:w="60"/>
        <w:gridCol w:w="60"/>
        <w:gridCol w:w="140"/>
        <w:gridCol w:w="1220"/>
        <w:gridCol w:w="95"/>
        <w:gridCol w:w="60"/>
        <w:gridCol w:w="140"/>
        <w:gridCol w:w="1100"/>
        <w:gridCol w:w="95"/>
        <w:gridCol w:w="60"/>
        <w:gridCol w:w="140"/>
        <w:gridCol w:w="1220"/>
        <w:gridCol w:w="95"/>
        <w:gridCol w:w="60"/>
        <w:gridCol w:w="406"/>
        <w:gridCol w:w="754"/>
        <w:gridCol w:w="60"/>
      </w:tblGrid>
      <w:tr>
        <w:trPr/>
        <w:tc>
          <w:tcPr>
            <w:tcW w:w="150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center"/>
              <w:rPr/>
            </w:pPr>
            <w:r>
              <w:rPr/>
              <w:t> </w:t>
            </w:r>
          </w:p>
        </w:tc>
        <w:tc>
          <w:tcPr>
            <w:tcW w:w="5585" w:type="dxa"/>
            <w:gridSpan w:val="14"/>
            <w:tcBorders>
              <w:bottom w:val="single" w:sz="12" w:space="0" w:color="000000"/>
            </w:tcBorders>
            <w:tcMar>
              <w:bottom w:w="28" w:type="dxa"/>
            </w:tcMar>
            <w:vAlign w:val="bottom"/>
          </w:tcPr>
          <w:p>
            <w:pPr>
              <w:pStyle w:val="TableContents"/>
              <w:bidi w:val="0"/>
              <w:spacing w:before="0" w:after="0"/>
              <w:jc w:val="center"/>
              <w:rPr>
                <w:b/>
              </w:rPr>
            </w:pPr>
            <w:r>
              <w:rPr>
                <w:b/>
              </w:rPr>
              <w:t>Three months ended</w:t>
            </w:r>
          </w:p>
          <w:p>
            <w:pPr>
              <w:pStyle w:val="TableContents"/>
              <w:bidi w:val="0"/>
              <w:spacing w:before="0" w:after="0"/>
              <w:jc w:val="center"/>
              <w:rPr>
                <w:b/>
              </w:rPr>
            </w:pPr>
            <w:r>
              <w:rPr>
                <w:b/>
              </w:rPr>
              <w:t>September 30,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center"/>
              <w:rPr/>
            </w:pPr>
            <w:r>
              <w:rPr/>
              <w:t> </w:t>
            </w:r>
          </w:p>
        </w:tc>
        <w:tc>
          <w:tcPr>
            <w:tcW w:w="5585" w:type="dxa"/>
            <w:gridSpan w:val="14"/>
            <w:tcBorders>
              <w:bottom w:val="single" w:sz="12" w:space="0" w:color="000000"/>
            </w:tcBorders>
            <w:tcMar>
              <w:bottom w:w="28" w:type="dxa"/>
            </w:tcMar>
            <w:vAlign w:val="bottom"/>
          </w:tcPr>
          <w:p>
            <w:pPr>
              <w:pStyle w:val="TableContents"/>
              <w:bidi w:val="0"/>
              <w:spacing w:before="0" w:after="0"/>
              <w:jc w:val="center"/>
              <w:rPr>
                <w:b/>
              </w:rPr>
            </w:pPr>
            <w:r>
              <w:rPr>
                <w:b/>
              </w:rPr>
              <w:t>Nine months ended</w:t>
            </w:r>
          </w:p>
          <w:p>
            <w:pPr>
              <w:pStyle w:val="TableContents"/>
              <w:bidi w:val="0"/>
              <w:spacing w:before="0" w:after="0"/>
              <w:jc w:val="center"/>
              <w:rPr>
                <w:b/>
              </w:rPr>
            </w:pPr>
            <w:r>
              <w:rPr>
                <w:b/>
              </w:rPr>
              <w:t>September 30,</w:t>
            </w:r>
          </w:p>
        </w:tc>
        <w:tc>
          <w:tcPr>
            <w:tcW w:w="60" w:type="dxa"/>
            <w:tcBorders/>
            <w:vAlign w:val="bottom"/>
          </w:tcPr>
          <w:p>
            <w:pPr>
              <w:pStyle w:val="TableContents"/>
              <w:bidi w:val="0"/>
              <w:spacing w:before="0" w:after="283"/>
              <w:jc w:val="left"/>
              <w:rPr/>
            </w:pPr>
            <w:r>
              <w:rPr/>
              <w:t> </w:t>
            </w:r>
          </w:p>
        </w:tc>
      </w:tr>
      <w:tr>
        <w:trPr/>
        <w:tc>
          <w:tcPr>
            <w:tcW w:w="150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center"/>
              <w:rPr/>
            </w:pPr>
            <w:r>
              <w:rPr/>
              <w:t> </w:t>
            </w:r>
          </w:p>
        </w:tc>
        <w:tc>
          <w:tcPr>
            <w:tcW w:w="2755" w:type="dxa"/>
            <w:gridSpan w:val="6"/>
            <w:tcBorders>
              <w:bottom w:val="single" w:sz="12" w:space="0" w:color="000000"/>
            </w:tcBorders>
            <w:tcMar>
              <w:bottom w:w="28" w:type="dxa"/>
            </w:tcMar>
            <w:vAlign w:val="bottom"/>
          </w:tcPr>
          <w:p>
            <w:pPr>
              <w:pStyle w:val="TableContents"/>
              <w:bidi w:val="0"/>
              <w:spacing w:before="0" w:after="283"/>
              <w:jc w:val="center"/>
              <w:rPr>
                <w:b/>
              </w:rPr>
            </w:pPr>
            <w:r>
              <w:rPr>
                <w:b/>
              </w:rPr>
              <w:t>2023</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center"/>
              <w:rPr/>
            </w:pPr>
            <w:r>
              <w:rPr/>
              <w:t> </w:t>
            </w:r>
          </w:p>
        </w:tc>
        <w:tc>
          <w:tcPr>
            <w:tcW w:w="2675" w:type="dxa"/>
            <w:gridSpan w:val="6"/>
            <w:tcBorders>
              <w:bottom w:val="single" w:sz="12" w:space="0" w:color="000000"/>
            </w:tcBorders>
            <w:tcMar>
              <w:bottom w:w="28" w:type="dxa"/>
            </w:tcMar>
            <w:vAlign w:val="bottom"/>
          </w:tcPr>
          <w:p>
            <w:pPr>
              <w:pStyle w:val="TableContents"/>
              <w:bidi w:val="0"/>
              <w:spacing w:before="0" w:after="283"/>
              <w:jc w:val="center"/>
              <w:rPr>
                <w:b/>
              </w:rPr>
            </w:pPr>
            <w:r>
              <w:rPr>
                <w:b/>
              </w:rPr>
              <w:t>2022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center"/>
              <w:rPr/>
            </w:pPr>
            <w:r>
              <w:rPr/>
              <w:t> </w:t>
            </w:r>
          </w:p>
        </w:tc>
        <w:tc>
          <w:tcPr>
            <w:tcW w:w="2755" w:type="dxa"/>
            <w:gridSpan w:val="6"/>
            <w:tcBorders>
              <w:bottom w:val="single" w:sz="12" w:space="0" w:color="000000"/>
            </w:tcBorders>
            <w:tcMar>
              <w:bottom w:w="28" w:type="dxa"/>
            </w:tcMar>
            <w:vAlign w:val="bottom"/>
          </w:tcPr>
          <w:p>
            <w:pPr>
              <w:pStyle w:val="TableContents"/>
              <w:bidi w:val="0"/>
              <w:spacing w:before="0" w:after="283"/>
              <w:jc w:val="center"/>
              <w:rPr>
                <w:b/>
              </w:rPr>
            </w:pPr>
            <w:r>
              <w:rPr>
                <w:b/>
              </w:rPr>
              <w:t>2023</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center"/>
              <w:rPr/>
            </w:pPr>
            <w:r>
              <w:rPr/>
              <w:t> </w:t>
            </w:r>
          </w:p>
        </w:tc>
        <w:tc>
          <w:tcPr>
            <w:tcW w:w="2675" w:type="dxa"/>
            <w:gridSpan w:val="6"/>
            <w:tcBorders>
              <w:bottom w:val="single" w:sz="12" w:space="0" w:color="000000"/>
            </w:tcBorders>
            <w:tcMar>
              <w:bottom w:w="28" w:type="dxa"/>
            </w:tcMar>
            <w:vAlign w:val="bottom"/>
          </w:tcPr>
          <w:p>
            <w:pPr>
              <w:pStyle w:val="TableContents"/>
              <w:bidi w:val="0"/>
              <w:spacing w:before="0" w:after="283"/>
              <w:jc w:val="center"/>
              <w:rPr>
                <w:b/>
              </w:rPr>
            </w:pPr>
            <w:r>
              <w:rPr>
                <w:b/>
              </w:rPr>
              <w:t>2022</w:t>
            </w:r>
          </w:p>
        </w:tc>
        <w:tc>
          <w:tcPr>
            <w:tcW w:w="60" w:type="dxa"/>
            <w:tcBorders/>
            <w:vAlign w:val="bottom"/>
          </w:tcPr>
          <w:p>
            <w:pPr>
              <w:pStyle w:val="TableContents"/>
              <w:bidi w:val="0"/>
              <w:spacing w:before="0" w:after="283"/>
              <w:jc w:val="left"/>
              <w:rPr/>
            </w:pPr>
            <w:r>
              <w:rPr/>
              <w:t> </w:t>
            </w:r>
          </w:p>
        </w:tc>
      </w:tr>
      <w:tr>
        <w:trPr/>
        <w:tc>
          <w:tcPr>
            <w:tcW w:w="150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center"/>
              <w:rPr/>
            </w:pPr>
            <w:r>
              <w:rPr/>
              <w:t> </w:t>
            </w:r>
          </w:p>
        </w:tc>
        <w:tc>
          <w:tcPr>
            <w:tcW w:w="1360" w:type="dxa"/>
            <w:gridSpan w:val="2"/>
            <w:tcBorders>
              <w:bottom w:val="single" w:sz="12" w:space="0" w:color="000000"/>
            </w:tcBorders>
            <w:tcMar>
              <w:bottom w:w="28" w:type="dxa"/>
            </w:tcMar>
            <w:vAlign w:val="bottom"/>
          </w:tcPr>
          <w:p>
            <w:pPr>
              <w:pStyle w:val="TableContents"/>
              <w:bidi w:val="0"/>
              <w:spacing w:before="0" w:after="0"/>
              <w:jc w:val="center"/>
              <w:rPr>
                <w:b/>
              </w:rPr>
            </w:pPr>
            <w:r>
              <w:rPr>
                <w:b/>
              </w:rPr>
              <w:t xml:space="preserve">Ordinary </w:t>
            </w:r>
          </w:p>
          <w:p>
            <w:pPr>
              <w:pStyle w:val="TableContents"/>
              <w:bidi w:val="0"/>
              <w:spacing w:before="0" w:after="0"/>
              <w:jc w:val="center"/>
              <w:rPr>
                <w:b/>
              </w:rPr>
            </w:pPr>
            <w:r>
              <w:rPr>
                <w:b/>
              </w:rPr>
              <w:t>shares</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center"/>
              <w:rPr/>
            </w:pPr>
            <w:r>
              <w:rPr/>
              <w:t> </w:t>
            </w:r>
          </w:p>
        </w:tc>
        <w:tc>
          <w:tcPr>
            <w:tcW w:w="1240" w:type="dxa"/>
            <w:gridSpan w:val="2"/>
            <w:tcBorders>
              <w:bottom w:val="single" w:sz="12" w:space="0" w:color="000000"/>
            </w:tcBorders>
            <w:tcMar>
              <w:bottom w:w="28" w:type="dxa"/>
            </w:tcMar>
            <w:vAlign w:val="bottom"/>
          </w:tcPr>
          <w:p>
            <w:pPr>
              <w:pStyle w:val="TableContents"/>
              <w:bidi w:val="0"/>
              <w:spacing w:before="0" w:after="0"/>
              <w:jc w:val="center"/>
              <w:rPr>
                <w:b/>
              </w:rPr>
            </w:pPr>
            <w:r>
              <w:rPr>
                <w:b/>
              </w:rPr>
              <w:t>Non-voting</w:t>
            </w:r>
          </w:p>
          <w:p>
            <w:pPr>
              <w:pStyle w:val="TableContents"/>
              <w:bidi w:val="0"/>
              <w:spacing w:before="0" w:after="0"/>
              <w:jc w:val="center"/>
              <w:rPr>
                <w:b/>
              </w:rPr>
            </w:pPr>
            <w:r>
              <w:rPr>
                <w:b/>
              </w:rPr>
              <w:t xml:space="preserve">Ordinary </w:t>
            </w:r>
          </w:p>
          <w:p>
            <w:pPr>
              <w:pStyle w:val="TableContents"/>
              <w:bidi w:val="0"/>
              <w:spacing w:before="0" w:after="0"/>
              <w:jc w:val="center"/>
              <w:rPr>
                <w:b/>
              </w:rPr>
            </w:pPr>
            <w:r>
              <w:rPr>
                <w:b/>
              </w:rPr>
              <w:t>shares</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center"/>
              <w:rPr/>
            </w:pPr>
            <w:r>
              <w:rPr/>
              <w:t> </w:t>
            </w:r>
          </w:p>
        </w:tc>
        <w:tc>
          <w:tcPr>
            <w:tcW w:w="1360" w:type="dxa"/>
            <w:gridSpan w:val="2"/>
            <w:tcBorders>
              <w:bottom w:val="single" w:sz="12" w:space="0" w:color="000000"/>
            </w:tcBorders>
            <w:tcMar>
              <w:bottom w:w="28" w:type="dxa"/>
            </w:tcMar>
            <w:vAlign w:val="bottom"/>
          </w:tcPr>
          <w:p>
            <w:pPr>
              <w:pStyle w:val="TableContents"/>
              <w:bidi w:val="0"/>
              <w:spacing w:before="0" w:after="0"/>
              <w:jc w:val="center"/>
              <w:rPr>
                <w:b/>
              </w:rPr>
            </w:pPr>
            <w:r>
              <w:rPr>
                <w:b/>
              </w:rPr>
              <w:t>Ordinary</w:t>
            </w:r>
          </w:p>
          <w:p>
            <w:pPr>
              <w:pStyle w:val="TableContents"/>
              <w:bidi w:val="0"/>
              <w:spacing w:before="0" w:after="0"/>
              <w:jc w:val="center"/>
              <w:rPr>
                <w:b/>
              </w:rPr>
            </w:pPr>
            <w:r>
              <w:rPr>
                <w:b/>
              </w:rPr>
              <w:t>shares</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center"/>
              <w:rPr/>
            </w:pPr>
            <w:r>
              <w:rPr/>
              <w:t> </w:t>
            </w:r>
          </w:p>
        </w:tc>
        <w:tc>
          <w:tcPr>
            <w:tcW w:w="1160" w:type="dxa"/>
            <w:gridSpan w:val="2"/>
            <w:tcBorders>
              <w:bottom w:val="single" w:sz="12" w:space="0" w:color="000000"/>
            </w:tcBorders>
            <w:tcMar>
              <w:bottom w:w="28" w:type="dxa"/>
            </w:tcMar>
            <w:vAlign w:val="bottom"/>
          </w:tcPr>
          <w:p>
            <w:pPr>
              <w:pStyle w:val="TableContents"/>
              <w:bidi w:val="0"/>
              <w:spacing w:before="0" w:after="0"/>
              <w:jc w:val="center"/>
              <w:rPr>
                <w:b/>
              </w:rPr>
            </w:pPr>
            <w:r>
              <w:rPr>
                <w:b/>
              </w:rPr>
              <w:t xml:space="preserve">Non-voting </w:t>
            </w:r>
          </w:p>
          <w:p>
            <w:pPr>
              <w:pStyle w:val="TableContents"/>
              <w:bidi w:val="0"/>
              <w:spacing w:before="0" w:after="0"/>
              <w:jc w:val="center"/>
              <w:rPr>
                <w:b/>
              </w:rPr>
            </w:pPr>
            <w:r>
              <w:rPr>
                <w:b/>
              </w:rPr>
              <w:t xml:space="preserve">Ordinary </w:t>
            </w:r>
          </w:p>
          <w:p>
            <w:pPr>
              <w:pStyle w:val="TableContents"/>
              <w:bidi w:val="0"/>
              <w:spacing w:before="0" w:after="0"/>
              <w:jc w:val="center"/>
              <w:rPr>
                <w:b/>
              </w:rPr>
            </w:pPr>
            <w:r>
              <w:rPr>
                <w:b/>
              </w:rPr>
              <w:t>shares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center"/>
              <w:rPr/>
            </w:pPr>
            <w:r>
              <w:rPr/>
              <w:t> </w:t>
            </w:r>
          </w:p>
        </w:tc>
        <w:tc>
          <w:tcPr>
            <w:tcW w:w="1360" w:type="dxa"/>
            <w:gridSpan w:val="2"/>
            <w:tcBorders>
              <w:bottom w:val="single" w:sz="12" w:space="0" w:color="000000"/>
            </w:tcBorders>
            <w:tcMar>
              <w:bottom w:w="28" w:type="dxa"/>
            </w:tcMar>
            <w:vAlign w:val="bottom"/>
          </w:tcPr>
          <w:p>
            <w:pPr>
              <w:pStyle w:val="TableContents"/>
              <w:bidi w:val="0"/>
              <w:spacing w:before="0" w:after="0"/>
              <w:jc w:val="center"/>
              <w:rPr>
                <w:b/>
              </w:rPr>
            </w:pPr>
            <w:r>
              <w:rPr>
                <w:b/>
              </w:rPr>
              <w:t xml:space="preserve">Ordinary </w:t>
            </w:r>
          </w:p>
          <w:p>
            <w:pPr>
              <w:pStyle w:val="TableContents"/>
              <w:bidi w:val="0"/>
              <w:spacing w:before="0" w:after="0"/>
              <w:jc w:val="center"/>
              <w:rPr>
                <w:b/>
              </w:rPr>
            </w:pPr>
            <w:r>
              <w:rPr>
                <w:b/>
              </w:rPr>
              <w:t>shares</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40" w:type="dxa"/>
            <w:gridSpan w:val="2"/>
            <w:tcBorders>
              <w:bottom w:val="single" w:sz="12" w:space="0" w:color="000000"/>
            </w:tcBorders>
            <w:tcMar>
              <w:bottom w:w="28" w:type="dxa"/>
            </w:tcMar>
            <w:vAlign w:val="bottom"/>
          </w:tcPr>
          <w:p>
            <w:pPr>
              <w:pStyle w:val="TableContents"/>
              <w:bidi w:val="0"/>
              <w:spacing w:before="0" w:after="0"/>
              <w:jc w:val="center"/>
              <w:rPr>
                <w:b/>
              </w:rPr>
            </w:pPr>
            <w:r>
              <w:rPr>
                <w:b/>
              </w:rPr>
              <w:t>Non-voting</w:t>
            </w:r>
          </w:p>
          <w:p>
            <w:pPr>
              <w:pStyle w:val="TableContents"/>
              <w:bidi w:val="0"/>
              <w:spacing w:before="0" w:after="0"/>
              <w:jc w:val="center"/>
              <w:rPr>
                <w:b/>
              </w:rPr>
            </w:pPr>
            <w:r>
              <w:rPr>
                <w:b/>
              </w:rPr>
              <w:t xml:space="preserve">Ordinary </w:t>
            </w:r>
          </w:p>
          <w:p>
            <w:pPr>
              <w:pStyle w:val="TableContents"/>
              <w:bidi w:val="0"/>
              <w:spacing w:before="0" w:after="0"/>
              <w:jc w:val="center"/>
              <w:rPr>
                <w:b/>
              </w:rPr>
            </w:pPr>
            <w:r>
              <w:rPr>
                <w:b/>
              </w:rPr>
              <w:t>shares</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center"/>
              <w:rPr/>
            </w:pPr>
            <w:r>
              <w:rPr/>
              <w:t> </w:t>
            </w:r>
          </w:p>
        </w:tc>
        <w:tc>
          <w:tcPr>
            <w:tcW w:w="1360" w:type="dxa"/>
            <w:gridSpan w:val="2"/>
            <w:tcBorders>
              <w:bottom w:val="single" w:sz="12" w:space="0" w:color="000000"/>
            </w:tcBorders>
            <w:tcMar>
              <w:bottom w:w="28" w:type="dxa"/>
            </w:tcMar>
            <w:vAlign w:val="bottom"/>
          </w:tcPr>
          <w:p>
            <w:pPr>
              <w:pStyle w:val="TableContents"/>
              <w:bidi w:val="0"/>
              <w:spacing w:before="0" w:after="0"/>
              <w:jc w:val="center"/>
              <w:rPr>
                <w:b/>
              </w:rPr>
            </w:pPr>
            <w:r>
              <w:rPr>
                <w:b/>
              </w:rPr>
              <w:t>Ordinary</w:t>
            </w:r>
          </w:p>
          <w:p>
            <w:pPr>
              <w:pStyle w:val="TableContents"/>
              <w:bidi w:val="0"/>
              <w:spacing w:before="0" w:after="0"/>
              <w:jc w:val="center"/>
              <w:rPr>
                <w:b/>
              </w:rPr>
            </w:pPr>
            <w:r>
              <w:rPr>
                <w:b/>
              </w:rPr>
              <w:t>shares</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center"/>
              <w:rPr/>
            </w:pPr>
            <w:r>
              <w:rPr/>
              <w:t> </w:t>
            </w:r>
          </w:p>
        </w:tc>
        <w:tc>
          <w:tcPr>
            <w:tcW w:w="1160" w:type="dxa"/>
            <w:gridSpan w:val="2"/>
            <w:tcBorders>
              <w:bottom w:val="single" w:sz="12" w:space="0" w:color="000000"/>
            </w:tcBorders>
            <w:tcMar>
              <w:bottom w:w="28" w:type="dxa"/>
            </w:tcMar>
            <w:vAlign w:val="bottom"/>
          </w:tcPr>
          <w:p>
            <w:pPr>
              <w:pStyle w:val="TableContents"/>
              <w:bidi w:val="0"/>
              <w:spacing w:before="0" w:after="0"/>
              <w:jc w:val="center"/>
              <w:rPr>
                <w:b/>
              </w:rPr>
            </w:pPr>
            <w:r>
              <w:rPr>
                <w:b/>
              </w:rPr>
              <w:t>Non-voting</w:t>
            </w:r>
          </w:p>
          <w:p>
            <w:pPr>
              <w:pStyle w:val="TableContents"/>
              <w:bidi w:val="0"/>
              <w:spacing w:before="0" w:after="0"/>
              <w:jc w:val="center"/>
              <w:rPr>
                <w:b/>
              </w:rPr>
            </w:pPr>
            <w:r>
              <w:rPr>
                <w:b/>
              </w:rPr>
              <w:t xml:space="preserve">Ordinary </w:t>
            </w:r>
          </w:p>
          <w:p>
            <w:pPr>
              <w:pStyle w:val="TableContents"/>
              <w:bidi w:val="0"/>
              <w:spacing w:before="0" w:after="0"/>
              <w:jc w:val="center"/>
              <w:rPr>
                <w:b/>
              </w:rPr>
            </w:pPr>
            <w:r>
              <w:rPr>
                <w:b/>
              </w:rPr>
              <w:t>shares</w:t>
            </w:r>
          </w:p>
        </w:tc>
        <w:tc>
          <w:tcPr>
            <w:tcW w:w="60" w:type="dxa"/>
            <w:tcBorders/>
            <w:vAlign w:val="bottom"/>
          </w:tcPr>
          <w:p>
            <w:pPr>
              <w:pStyle w:val="TableContents"/>
              <w:bidi w:val="0"/>
              <w:spacing w:before="0" w:after="283"/>
              <w:jc w:val="left"/>
              <w:rPr/>
            </w:pPr>
            <w:r>
              <w:rPr/>
              <w:t> </w:t>
            </w:r>
          </w:p>
        </w:tc>
      </w:tr>
      <w:tr>
        <w:trPr/>
        <w:tc>
          <w:tcPr>
            <w:tcW w:w="150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center"/>
              <w:rPr/>
            </w:pPr>
            <w:r>
              <w:rPr/>
              <w:t> </w:t>
            </w:r>
          </w:p>
        </w:tc>
        <w:tc>
          <w:tcPr>
            <w:tcW w:w="11290" w:type="dxa"/>
            <w:gridSpan w:val="30"/>
            <w:tcBorders>
              <w:bottom w:val="single" w:sz="12" w:space="0" w:color="000000"/>
            </w:tcBorders>
            <w:tcMar>
              <w:bottom w:w="28" w:type="dxa"/>
            </w:tcMar>
            <w:vAlign w:val="bottom"/>
          </w:tcPr>
          <w:p>
            <w:pPr>
              <w:pStyle w:val="TableContents"/>
              <w:bidi w:val="0"/>
              <w:spacing w:before="0" w:after="283"/>
              <w:jc w:val="center"/>
              <w:rPr>
                <w:b/>
              </w:rPr>
            </w:pPr>
            <w:r>
              <w:rPr>
                <w:b/>
              </w:rPr>
              <w:t>Unaudited</w:t>
            </w:r>
          </w:p>
        </w:tc>
        <w:tc>
          <w:tcPr>
            <w:tcW w:w="60" w:type="dxa"/>
            <w:tcBorders/>
            <w:vAlign w:val="bottom"/>
          </w:tcPr>
          <w:p>
            <w:pPr>
              <w:pStyle w:val="TableContents"/>
              <w:bidi w:val="0"/>
              <w:spacing w:before="0" w:after="283"/>
              <w:jc w:val="left"/>
              <w:rPr/>
            </w:pPr>
            <w:r>
              <w:rPr/>
              <w:t> </w:t>
            </w:r>
          </w:p>
        </w:tc>
      </w:tr>
      <w:tr>
        <w:trPr/>
        <w:tc>
          <w:tcPr>
            <w:tcW w:w="1505" w:type="dxa"/>
            <w:tcBorders/>
            <w:vAlign w:val="bottom"/>
          </w:tcPr>
          <w:p>
            <w:pPr>
              <w:pStyle w:val="TableContents"/>
              <w:bidi w:val="0"/>
              <w:spacing w:before="0" w:after="0"/>
              <w:jc w:val="left"/>
              <w:rPr>
                <w:b w:val="false"/>
              </w:rPr>
            </w:pPr>
            <w:r>
              <w:rPr>
                <w:b w:val="false"/>
              </w:rPr>
              <w:t>Numerator:</w:t>
            </w:r>
          </w:p>
        </w:tc>
        <w:tc>
          <w:tcPr>
            <w:tcW w:w="60" w:type="dxa"/>
            <w:tcBorders/>
            <w:vAlign w:val="bottom"/>
          </w:tcPr>
          <w:p>
            <w:pPr>
              <w:pStyle w:val="TableContents"/>
              <w:bidi w:val="0"/>
              <w:spacing w:before="0" w:after="283"/>
              <w:jc w:val="left"/>
              <w:rPr/>
            </w:pPr>
            <w:r>
              <w:rPr/>
              <w:t> </w:t>
            </w:r>
          </w:p>
        </w:tc>
        <w:tc>
          <w:tcPr>
            <w:tcW w:w="1360" w:type="dxa"/>
            <w:gridSpan w:val="2"/>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40" w:type="dxa"/>
            <w:gridSpan w:val="2"/>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60" w:type="dxa"/>
            <w:gridSpan w:val="2"/>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6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60" w:type="dxa"/>
            <w:gridSpan w:val="2"/>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40" w:type="dxa"/>
            <w:gridSpan w:val="2"/>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60" w:type="dxa"/>
            <w:gridSpan w:val="2"/>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6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r>
      <w:tr>
        <w:trPr/>
        <w:tc>
          <w:tcPr>
            <w:tcW w:w="150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Net loss attributable to Ordinary shareholders, basic and diluted</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0"/>
              <w:jc w:val="left"/>
              <w:rPr/>
            </w:pPr>
            <w:r>
              <w:rPr/>
              <w:t>$</w:t>
            </w:r>
          </w:p>
        </w:tc>
        <w:tc>
          <w:tcPr>
            <w:tcW w:w="1220" w:type="dxa"/>
            <w:tcBorders>
              <w:bottom w:val="single" w:sz="12" w:space="0" w:color="000000"/>
            </w:tcBorders>
            <w:shd w:fill="CCEEFF" w:val="clear"/>
            <w:tcMar>
              <w:bottom w:w="28" w:type="dxa"/>
            </w:tcMar>
            <w:vAlign w:val="bottom"/>
          </w:tcPr>
          <w:p>
            <w:pPr>
              <w:pStyle w:val="TableContents"/>
              <w:bidi w:val="0"/>
              <w:spacing w:before="0" w:after="0"/>
              <w:jc w:val="right"/>
              <w:rPr/>
            </w:pPr>
            <w:r>
              <w:rPr/>
              <w:t>(20,170</w:t>
            </w:r>
          </w:p>
        </w:tc>
        <w:tc>
          <w:tcPr>
            <w:tcW w:w="95" w:type="dxa"/>
            <w:tcBorders/>
            <w:shd w:fill="CCEEFF" w:val="clear"/>
            <w:vAlign w:val="bottom"/>
          </w:tcPr>
          <w:p>
            <w:pPr>
              <w:pStyle w:val="TableContents"/>
              <w:bidi w:val="0"/>
              <w:spacing w:before="0" w:after="0"/>
              <w:jc w:val="left"/>
              <w:rPr/>
            </w:pPr>
            <w:r>
              <w:rPr/>
              <w:t>)</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w:t>
            </w:r>
          </w:p>
        </w:tc>
        <w:tc>
          <w:tcPr>
            <w:tcW w:w="1100" w:type="dxa"/>
            <w:tcBorders>
              <w:bottom w:val="single" w:sz="12" w:space="0" w:color="000000"/>
            </w:tcBorders>
            <w:shd w:fill="CCEEFF" w:val="clear"/>
            <w:tcMar>
              <w:bottom w:w="28" w:type="dxa"/>
            </w:tcMar>
            <w:vAlign w:val="bottom"/>
          </w:tcPr>
          <w:p>
            <w:pPr>
              <w:pStyle w:val="TableContents"/>
              <w:bidi w:val="0"/>
              <w:spacing w:before="0" w:after="283"/>
              <w:jc w:val="right"/>
              <w:rPr/>
            </w:pPr>
            <w:r>
              <w:rPr/>
              <w:t>(2,966</w:t>
            </w:r>
          </w:p>
        </w:tc>
        <w:tc>
          <w:tcPr>
            <w:tcW w:w="95" w:type="dxa"/>
            <w:tcBorders/>
            <w:shd w:fill="CCEEFF" w:val="clear"/>
            <w:vAlign w:val="bottom"/>
          </w:tcPr>
          <w:p>
            <w:pPr>
              <w:pStyle w:val="TableContents"/>
              <w:bidi w:val="0"/>
              <w:spacing w:before="0" w:after="283"/>
              <w:jc w:val="left"/>
              <w:rPr/>
            </w:pPr>
            <w:r>
              <w:rPr/>
              <w:t>)</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0"/>
              <w:jc w:val="left"/>
              <w:rPr/>
            </w:pPr>
            <w:r>
              <w:rPr/>
              <w:t>$</w:t>
            </w:r>
          </w:p>
        </w:tc>
        <w:tc>
          <w:tcPr>
            <w:tcW w:w="1220" w:type="dxa"/>
            <w:tcBorders>
              <w:bottom w:val="single" w:sz="12" w:space="0" w:color="000000"/>
            </w:tcBorders>
            <w:shd w:fill="CCEEFF" w:val="clear"/>
            <w:tcMar>
              <w:bottom w:w="28" w:type="dxa"/>
            </w:tcMar>
            <w:vAlign w:val="bottom"/>
          </w:tcPr>
          <w:p>
            <w:pPr>
              <w:pStyle w:val="TableContents"/>
              <w:bidi w:val="0"/>
              <w:spacing w:before="0" w:after="0"/>
              <w:jc w:val="right"/>
              <w:rPr/>
            </w:pPr>
            <w:r>
              <w:rPr/>
              <w:t>(26,026</w:t>
            </w:r>
          </w:p>
        </w:tc>
        <w:tc>
          <w:tcPr>
            <w:tcW w:w="95" w:type="dxa"/>
            <w:tcBorders/>
            <w:shd w:fill="CCEEFF" w:val="clear"/>
            <w:vAlign w:val="bottom"/>
          </w:tcPr>
          <w:p>
            <w:pPr>
              <w:pStyle w:val="TableContents"/>
              <w:bidi w:val="0"/>
              <w:spacing w:before="0" w:after="0"/>
              <w:jc w:val="left"/>
              <w:rPr/>
            </w:pPr>
            <w:r>
              <w:rPr/>
              <w:t>)</w:t>
            </w:r>
          </w:p>
        </w:tc>
        <w:tc>
          <w:tcPr>
            <w:tcW w:w="60" w:type="dxa"/>
            <w:tcBorders/>
            <w:shd w:fill="CCEEFF" w:val="clear"/>
            <w:vAlign w:val="bottom"/>
          </w:tcPr>
          <w:p>
            <w:pPr>
              <w:pStyle w:val="TableContents"/>
              <w:bidi w:val="0"/>
              <w:spacing w:before="0" w:after="283"/>
              <w:jc w:val="right"/>
              <w:rPr/>
            </w:pPr>
            <w:r>
              <w:rPr/>
              <w:t> </w:t>
            </w:r>
          </w:p>
        </w:tc>
        <w:tc>
          <w:tcPr>
            <w:tcW w:w="406" w:type="dxa"/>
            <w:tcBorders>
              <w:bottom w:val="single" w:sz="12" w:space="0" w:color="000000"/>
            </w:tcBorders>
            <w:shd w:fill="CCEEFF" w:val="clear"/>
            <w:tcMar>
              <w:bottom w:w="28" w:type="dxa"/>
            </w:tcMar>
            <w:vAlign w:val="bottom"/>
          </w:tcPr>
          <w:p>
            <w:pPr>
              <w:pStyle w:val="TableContents"/>
              <w:bidi w:val="0"/>
              <w:spacing w:before="0" w:after="0"/>
              <w:jc w:val="left"/>
              <w:rPr/>
            </w:pPr>
            <w:r>
              <w:rPr/>
              <w:t>$</w:t>
            </w:r>
          </w:p>
        </w:tc>
        <w:tc>
          <w:tcPr>
            <w:tcW w:w="754" w:type="dxa"/>
            <w:tcBorders>
              <w:bottom w:val="single" w:sz="12" w:space="0" w:color="000000"/>
            </w:tcBorders>
            <w:shd w:fill="CCEEFF" w:val="clear"/>
            <w:tcMar>
              <w:bottom w:w="28" w:type="dxa"/>
            </w:tcMar>
            <w:vAlign w:val="bottom"/>
          </w:tcPr>
          <w:p>
            <w:pPr>
              <w:pStyle w:val="TableContents"/>
              <w:bidi w:val="0"/>
              <w:spacing w:before="0" w:after="0"/>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w:t>
            </w:r>
          </w:p>
        </w:tc>
        <w:tc>
          <w:tcPr>
            <w:tcW w:w="1220" w:type="dxa"/>
            <w:tcBorders>
              <w:bottom w:val="single" w:sz="12" w:space="0" w:color="000000"/>
            </w:tcBorders>
            <w:shd w:fill="CCEEFF" w:val="clear"/>
            <w:tcMar>
              <w:bottom w:w="28" w:type="dxa"/>
            </w:tcMar>
            <w:vAlign w:val="bottom"/>
          </w:tcPr>
          <w:p>
            <w:pPr>
              <w:pStyle w:val="TableContents"/>
              <w:bidi w:val="0"/>
              <w:spacing w:before="0" w:after="283"/>
              <w:jc w:val="right"/>
              <w:rPr/>
            </w:pPr>
            <w:r>
              <w:rPr/>
              <w:t>(75,246</w:t>
            </w:r>
          </w:p>
        </w:tc>
        <w:tc>
          <w:tcPr>
            <w:tcW w:w="95" w:type="dxa"/>
            <w:tcBorders/>
            <w:shd w:fill="CCEEFF" w:val="clear"/>
            <w:vAlign w:val="bottom"/>
          </w:tcPr>
          <w:p>
            <w:pPr>
              <w:pStyle w:val="TableContents"/>
              <w:bidi w:val="0"/>
              <w:spacing w:before="0" w:after="283"/>
              <w:jc w:val="left"/>
              <w:rPr/>
            </w:pPr>
            <w:r>
              <w:rPr/>
              <w:t>)</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w:t>
            </w:r>
          </w:p>
        </w:tc>
        <w:tc>
          <w:tcPr>
            <w:tcW w:w="1100" w:type="dxa"/>
            <w:tcBorders>
              <w:bottom w:val="single" w:sz="12" w:space="0" w:color="000000"/>
            </w:tcBorders>
            <w:shd w:fill="CCEEFF" w:val="clear"/>
            <w:tcMar>
              <w:bottom w:w="28" w:type="dxa"/>
            </w:tcMar>
            <w:vAlign w:val="bottom"/>
          </w:tcPr>
          <w:p>
            <w:pPr>
              <w:pStyle w:val="TableContents"/>
              <w:bidi w:val="0"/>
              <w:spacing w:before="0" w:after="283"/>
              <w:jc w:val="right"/>
              <w:rPr/>
            </w:pPr>
            <w:r>
              <w:rPr/>
              <w:t>(10,517</w:t>
            </w:r>
          </w:p>
        </w:tc>
        <w:tc>
          <w:tcPr>
            <w:tcW w:w="95" w:type="dxa"/>
            <w:tcBorders/>
            <w:shd w:fill="CCEEFF" w:val="clear"/>
            <w:vAlign w:val="bottom"/>
          </w:tcPr>
          <w:p>
            <w:pPr>
              <w:pStyle w:val="TableContents"/>
              <w:bidi w:val="0"/>
              <w:spacing w:before="0" w:after="283"/>
              <w:jc w:val="left"/>
              <w:rPr/>
            </w:pPr>
            <w:r>
              <w:rPr/>
              <w:t>)</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w:t>
            </w:r>
          </w:p>
        </w:tc>
        <w:tc>
          <w:tcPr>
            <w:tcW w:w="1220" w:type="dxa"/>
            <w:tcBorders>
              <w:bottom w:val="single" w:sz="12" w:space="0" w:color="000000"/>
            </w:tcBorders>
            <w:shd w:fill="CCEEFF" w:val="clear"/>
            <w:tcMar>
              <w:bottom w:w="28" w:type="dxa"/>
            </w:tcMar>
            <w:vAlign w:val="bottom"/>
          </w:tcPr>
          <w:p>
            <w:pPr>
              <w:pStyle w:val="TableContents"/>
              <w:bidi w:val="0"/>
              <w:spacing w:before="0" w:after="283"/>
              <w:jc w:val="right"/>
              <w:rPr/>
            </w:pPr>
            <w:r>
              <w:rPr/>
              <w:t>(27,159</w:t>
            </w:r>
          </w:p>
        </w:tc>
        <w:tc>
          <w:tcPr>
            <w:tcW w:w="95" w:type="dxa"/>
            <w:tcBorders/>
            <w:shd w:fill="CCEEFF" w:val="clear"/>
            <w:vAlign w:val="bottom"/>
          </w:tcPr>
          <w:p>
            <w:pPr>
              <w:pStyle w:val="TableContents"/>
              <w:bidi w:val="0"/>
              <w:spacing w:before="0" w:after="283"/>
              <w:jc w:val="left"/>
              <w:rPr/>
            </w:pPr>
            <w:r>
              <w:rPr/>
              <w:t>)</w:t>
            </w:r>
          </w:p>
        </w:tc>
        <w:tc>
          <w:tcPr>
            <w:tcW w:w="60" w:type="dxa"/>
            <w:tcBorders/>
            <w:shd w:fill="CCEEFF" w:val="clear"/>
            <w:vAlign w:val="bottom"/>
          </w:tcPr>
          <w:p>
            <w:pPr>
              <w:pStyle w:val="TableContents"/>
              <w:bidi w:val="0"/>
              <w:spacing w:before="0" w:after="283"/>
              <w:jc w:val="right"/>
              <w:rPr/>
            </w:pPr>
            <w:r>
              <w:rPr/>
              <w:t> </w:t>
            </w:r>
          </w:p>
        </w:tc>
        <w:tc>
          <w:tcPr>
            <w:tcW w:w="406" w:type="dxa"/>
            <w:tcBorders>
              <w:bottom w:val="single" w:sz="12" w:space="0" w:color="000000"/>
            </w:tcBorders>
            <w:shd w:fill="CCEEFF" w:val="clear"/>
            <w:tcMar>
              <w:bottom w:w="28" w:type="dxa"/>
            </w:tcMar>
            <w:vAlign w:val="bottom"/>
          </w:tcPr>
          <w:p>
            <w:pPr>
              <w:pStyle w:val="TableContents"/>
              <w:bidi w:val="0"/>
              <w:spacing w:before="0" w:after="283"/>
              <w:jc w:val="left"/>
              <w:rPr/>
            </w:pPr>
            <w:r>
              <w:rPr/>
              <w:t>$</w:t>
            </w:r>
          </w:p>
        </w:tc>
        <w:tc>
          <w:tcPr>
            <w:tcW w:w="754" w:type="dxa"/>
            <w:tcBorders>
              <w:bottom w:val="single" w:sz="12" w:space="0" w:color="000000"/>
            </w:tcBorders>
            <w:shd w:fill="CCEEFF" w:val="clear"/>
            <w:tcMar>
              <w:bottom w:w="28" w:type="dxa"/>
            </w:tcM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r>
      <w:tr>
        <w:trPr/>
        <w:tc>
          <w:tcPr>
            <w:tcW w:w="1505" w:type="dxa"/>
            <w:tcBorders/>
            <w:vAlign w:val="bottom"/>
          </w:tcPr>
          <w:p>
            <w:pPr>
              <w:pStyle w:val="TableContents"/>
              <w:bidi w:val="0"/>
              <w:spacing w:before="0" w:after="0"/>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406" w:type="dxa"/>
            <w:tcBorders/>
            <w:vAlign w:val="bottom"/>
          </w:tcPr>
          <w:p>
            <w:pPr>
              <w:pStyle w:val="TableContents"/>
              <w:bidi w:val="0"/>
              <w:spacing w:before="0" w:after="283"/>
              <w:jc w:val="left"/>
              <w:rPr/>
            </w:pPr>
            <w:r>
              <w:rPr/>
              <w:t> </w:t>
            </w:r>
          </w:p>
        </w:tc>
        <w:tc>
          <w:tcPr>
            <w:tcW w:w="75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406" w:type="dxa"/>
            <w:tcBorders/>
            <w:vAlign w:val="bottom"/>
          </w:tcPr>
          <w:p>
            <w:pPr>
              <w:pStyle w:val="TableContents"/>
              <w:bidi w:val="0"/>
              <w:spacing w:before="0" w:after="283"/>
              <w:jc w:val="left"/>
              <w:rPr/>
            </w:pPr>
            <w:r>
              <w:rPr/>
              <w:t> </w:t>
            </w:r>
          </w:p>
        </w:tc>
        <w:tc>
          <w:tcPr>
            <w:tcW w:w="75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r>
        <w:trPr/>
        <w:tc>
          <w:tcPr>
            <w:tcW w:w="1505" w:type="dxa"/>
            <w:tcBorders/>
            <w:shd w:fill="CCEEFF" w:val="clear"/>
            <w:vAlign w:val="bottom"/>
          </w:tcPr>
          <w:p>
            <w:pPr>
              <w:pStyle w:val="TableContents"/>
              <w:bidi w:val="0"/>
              <w:spacing w:before="0" w:after="0"/>
              <w:jc w:val="left"/>
              <w:rPr>
                <w:b w:val="false"/>
              </w:rPr>
            </w:pPr>
            <w:r>
              <w:rPr>
                <w:b w:val="false"/>
              </w:rPr>
              <w:t>Denominator:</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406" w:type="dxa"/>
            <w:tcBorders/>
            <w:shd w:fill="CCEEFF" w:val="clear"/>
            <w:vAlign w:val="bottom"/>
          </w:tcPr>
          <w:p>
            <w:pPr>
              <w:pStyle w:val="TableContents"/>
              <w:bidi w:val="0"/>
              <w:spacing w:before="0" w:after="283"/>
              <w:jc w:val="left"/>
              <w:rPr/>
            </w:pPr>
            <w:r>
              <w:rPr/>
              <w:t> </w:t>
            </w:r>
          </w:p>
        </w:tc>
        <w:tc>
          <w:tcPr>
            <w:tcW w:w="75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406" w:type="dxa"/>
            <w:tcBorders/>
            <w:shd w:fill="CCEEFF" w:val="clear"/>
            <w:vAlign w:val="bottom"/>
          </w:tcPr>
          <w:p>
            <w:pPr>
              <w:pStyle w:val="TableContents"/>
              <w:bidi w:val="0"/>
              <w:spacing w:before="0" w:after="283"/>
              <w:jc w:val="left"/>
              <w:rPr/>
            </w:pPr>
            <w:r>
              <w:rPr/>
              <w:t> </w:t>
            </w:r>
          </w:p>
        </w:tc>
        <w:tc>
          <w:tcPr>
            <w:tcW w:w="75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150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Weighted-average shares used in computing net loss per share attributable to Ordinary shareholders, basic and diluted</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1220" w:type="dxa"/>
            <w:tcBorders>
              <w:bottom w:val="single" w:sz="12" w:space="0" w:color="000000"/>
            </w:tcBorders>
            <w:tcMar>
              <w:bottom w:w="28" w:type="dxa"/>
            </w:tcMar>
            <w:vAlign w:val="bottom"/>
          </w:tcPr>
          <w:p>
            <w:pPr>
              <w:pStyle w:val="TableContents"/>
              <w:bidi w:val="0"/>
              <w:spacing w:before="0" w:after="0"/>
              <w:jc w:val="right"/>
              <w:rPr/>
            </w:pPr>
            <w:r>
              <w:rPr/>
              <w:t>307,392,341</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1100" w:type="dxa"/>
            <w:tcBorders>
              <w:bottom w:val="single" w:sz="12" w:space="0" w:color="000000"/>
            </w:tcBorders>
            <w:tcMar>
              <w:bottom w:w="28" w:type="dxa"/>
            </w:tcMar>
            <w:vAlign w:val="bottom"/>
          </w:tcPr>
          <w:p>
            <w:pPr>
              <w:pStyle w:val="TableContents"/>
              <w:bidi w:val="0"/>
              <w:spacing w:before="0" w:after="283"/>
              <w:jc w:val="right"/>
              <w:rPr/>
            </w:pPr>
            <w:r>
              <w:rPr/>
              <w:t>45,198,702</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1220" w:type="dxa"/>
            <w:tcBorders>
              <w:bottom w:val="single" w:sz="12" w:space="0" w:color="000000"/>
            </w:tcBorders>
            <w:tcMar>
              <w:bottom w:w="28" w:type="dxa"/>
            </w:tcMar>
            <w:vAlign w:val="bottom"/>
          </w:tcPr>
          <w:p>
            <w:pPr>
              <w:pStyle w:val="TableContents"/>
              <w:bidi w:val="0"/>
              <w:spacing w:before="0" w:after="0"/>
              <w:jc w:val="right"/>
              <w:rPr/>
            </w:pPr>
            <w:r>
              <w:rPr/>
              <w:t>255,160,597</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406" w:type="dxa"/>
            <w:tcBorders>
              <w:bottom w:val="single" w:sz="12" w:space="0" w:color="000000"/>
            </w:tcBorders>
            <w:tcMar>
              <w:bottom w:w="28" w:type="dxa"/>
            </w:tcMar>
            <w:vAlign w:val="bottom"/>
          </w:tcPr>
          <w:p>
            <w:pPr>
              <w:pStyle w:val="TableContents"/>
              <w:bidi w:val="0"/>
              <w:spacing w:before="0" w:after="283"/>
              <w:jc w:val="left"/>
              <w:rPr/>
            </w:pPr>
            <w:r>
              <w:rPr/>
              <w:t> </w:t>
            </w:r>
          </w:p>
        </w:tc>
        <w:tc>
          <w:tcPr>
            <w:tcW w:w="754" w:type="dxa"/>
            <w:tcBorders>
              <w:bottom w:val="single" w:sz="12" w:space="0" w:color="000000"/>
            </w:tcBorders>
            <w:tcMar>
              <w:bottom w:w="28" w:type="dxa"/>
            </w:tcMar>
            <w:vAlign w:val="bottom"/>
          </w:tcPr>
          <w:p>
            <w:pPr>
              <w:pStyle w:val="TableContents"/>
              <w:bidi w:val="0"/>
              <w:spacing w:before="0" w:after="0"/>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1220" w:type="dxa"/>
            <w:tcBorders>
              <w:bottom w:val="single" w:sz="12" w:space="0" w:color="000000"/>
            </w:tcBorders>
            <w:tcMar>
              <w:bottom w:w="28" w:type="dxa"/>
            </w:tcMar>
            <w:vAlign w:val="bottom"/>
          </w:tcPr>
          <w:p>
            <w:pPr>
              <w:pStyle w:val="TableContents"/>
              <w:bidi w:val="0"/>
              <w:spacing w:before="0" w:after="283"/>
              <w:jc w:val="right"/>
              <w:rPr/>
            </w:pPr>
            <w:r>
              <w:rPr/>
              <w:t>303,246,891</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1100" w:type="dxa"/>
            <w:tcBorders>
              <w:bottom w:val="single" w:sz="12" w:space="0" w:color="000000"/>
            </w:tcBorders>
            <w:tcMar>
              <w:bottom w:w="28" w:type="dxa"/>
            </w:tcMar>
            <w:vAlign w:val="bottom"/>
          </w:tcPr>
          <w:p>
            <w:pPr>
              <w:pStyle w:val="TableContents"/>
              <w:bidi w:val="0"/>
              <w:spacing w:before="0" w:after="283"/>
              <w:jc w:val="right"/>
              <w:rPr/>
            </w:pPr>
            <w:r>
              <w:rPr/>
              <w:t>42,384,131</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1220" w:type="dxa"/>
            <w:tcBorders>
              <w:bottom w:val="single" w:sz="12" w:space="0" w:color="000000"/>
            </w:tcBorders>
            <w:tcMar>
              <w:bottom w:w="28" w:type="dxa"/>
            </w:tcMar>
            <w:vAlign w:val="bottom"/>
          </w:tcPr>
          <w:p>
            <w:pPr>
              <w:pStyle w:val="TableContents"/>
              <w:bidi w:val="0"/>
              <w:spacing w:before="0" w:after="283"/>
              <w:jc w:val="right"/>
              <w:rPr/>
            </w:pPr>
            <w:r>
              <w:rPr/>
              <w:t>251,865,831</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406" w:type="dxa"/>
            <w:tcBorders>
              <w:bottom w:val="single" w:sz="12" w:space="0" w:color="000000"/>
            </w:tcBorders>
            <w:tcMar>
              <w:bottom w:w="28" w:type="dxa"/>
            </w:tcMar>
            <w:vAlign w:val="bottom"/>
          </w:tcPr>
          <w:p>
            <w:pPr>
              <w:pStyle w:val="TableContents"/>
              <w:bidi w:val="0"/>
              <w:spacing w:before="0" w:after="283"/>
              <w:jc w:val="left"/>
              <w:rPr/>
            </w:pPr>
            <w:r>
              <w:rPr/>
              <w:t> </w:t>
            </w:r>
          </w:p>
        </w:tc>
        <w:tc>
          <w:tcPr>
            <w:tcW w:w="754" w:type="dxa"/>
            <w:tcBorders>
              <w:bottom w:val="single" w:sz="12" w:space="0" w:color="000000"/>
            </w:tcBorders>
            <w:tcMar>
              <w:bottom w:w="28" w:type="dxa"/>
            </w:tcMar>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r>
      <w:tr>
        <w:trPr/>
        <w:tc>
          <w:tcPr>
            <w:tcW w:w="1505" w:type="dxa"/>
            <w:tcBorders/>
            <w:shd w:fill="CCEEFF" w:val="clear"/>
            <w:vAlign w:val="bottom"/>
          </w:tcPr>
          <w:p>
            <w:pPr>
              <w:pStyle w:val="TableContents"/>
              <w:bidi w:val="0"/>
              <w:spacing w:before="0" w:after="0"/>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406" w:type="dxa"/>
            <w:tcBorders/>
            <w:shd w:fill="CCEEFF" w:val="clear"/>
            <w:vAlign w:val="bottom"/>
          </w:tcPr>
          <w:p>
            <w:pPr>
              <w:pStyle w:val="TableContents"/>
              <w:bidi w:val="0"/>
              <w:spacing w:before="0" w:after="283"/>
              <w:jc w:val="left"/>
              <w:rPr/>
            </w:pPr>
            <w:r>
              <w:rPr/>
              <w:t> </w:t>
            </w:r>
          </w:p>
        </w:tc>
        <w:tc>
          <w:tcPr>
            <w:tcW w:w="75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406" w:type="dxa"/>
            <w:tcBorders/>
            <w:shd w:fill="CCEEFF" w:val="clear"/>
            <w:vAlign w:val="bottom"/>
          </w:tcPr>
          <w:p>
            <w:pPr>
              <w:pStyle w:val="TableContents"/>
              <w:bidi w:val="0"/>
              <w:spacing w:before="0" w:after="283"/>
              <w:jc w:val="left"/>
              <w:rPr/>
            </w:pPr>
            <w:r>
              <w:rPr/>
              <w:t> </w:t>
            </w:r>
          </w:p>
        </w:tc>
        <w:tc>
          <w:tcPr>
            <w:tcW w:w="75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150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Net loss per share attributable to Ordinary and non-voting Ordinary shareholders, basic and diluted</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0"/>
              <w:jc w:val="left"/>
              <w:rPr/>
            </w:pPr>
            <w:r>
              <w:rPr/>
              <w:t>$</w:t>
            </w:r>
          </w:p>
        </w:tc>
        <w:tc>
          <w:tcPr>
            <w:tcW w:w="1220" w:type="dxa"/>
            <w:tcBorders>
              <w:bottom w:val="single" w:sz="12" w:space="0" w:color="000000"/>
            </w:tcBorders>
            <w:tcMar>
              <w:bottom w:w="28" w:type="dxa"/>
            </w:tcMar>
            <w:vAlign w:val="bottom"/>
          </w:tcPr>
          <w:p>
            <w:pPr>
              <w:pStyle w:val="TableContents"/>
              <w:bidi w:val="0"/>
              <w:spacing w:before="0" w:after="0"/>
              <w:jc w:val="right"/>
              <w:rPr/>
            </w:pPr>
            <w:r>
              <w:rPr/>
              <w:t>(0.07</w:t>
            </w:r>
          </w:p>
        </w:tc>
        <w:tc>
          <w:tcPr>
            <w:tcW w:w="95" w:type="dxa"/>
            <w:tcBorders/>
            <w:vAlign w:val="bottom"/>
          </w:tcPr>
          <w:p>
            <w:pPr>
              <w:pStyle w:val="TableContents"/>
              <w:bidi w:val="0"/>
              <w:spacing w:before="0" w:after="0"/>
              <w:jc w:val="left"/>
              <w:rPr/>
            </w:pPr>
            <w:r>
              <w:rPr/>
              <w:t>)</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w:t>
            </w:r>
          </w:p>
        </w:tc>
        <w:tc>
          <w:tcPr>
            <w:tcW w:w="1100" w:type="dxa"/>
            <w:tcBorders>
              <w:bottom w:val="single" w:sz="12" w:space="0" w:color="000000"/>
            </w:tcBorders>
            <w:tcMar>
              <w:bottom w:w="28" w:type="dxa"/>
            </w:tcMar>
            <w:vAlign w:val="bottom"/>
          </w:tcPr>
          <w:p>
            <w:pPr>
              <w:pStyle w:val="TableContents"/>
              <w:bidi w:val="0"/>
              <w:spacing w:before="0" w:after="283"/>
              <w:jc w:val="right"/>
              <w:rPr/>
            </w:pPr>
            <w:r>
              <w:rPr/>
              <w:t>(0.07</w:t>
            </w:r>
          </w:p>
        </w:tc>
        <w:tc>
          <w:tcPr>
            <w:tcW w:w="95" w:type="dxa"/>
            <w:tcBorders/>
            <w:vAlign w:val="bottom"/>
          </w:tcPr>
          <w:p>
            <w:pPr>
              <w:pStyle w:val="TableContents"/>
              <w:bidi w:val="0"/>
              <w:spacing w:before="0" w:after="283"/>
              <w:jc w:val="left"/>
              <w:rPr/>
            </w:pPr>
            <w:r>
              <w:rPr/>
              <w:t>)</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0"/>
              <w:jc w:val="left"/>
              <w:rPr/>
            </w:pPr>
            <w:r>
              <w:rPr/>
              <w:t>$</w:t>
            </w:r>
          </w:p>
        </w:tc>
        <w:tc>
          <w:tcPr>
            <w:tcW w:w="1220" w:type="dxa"/>
            <w:tcBorders>
              <w:bottom w:val="single" w:sz="12" w:space="0" w:color="000000"/>
            </w:tcBorders>
            <w:tcMar>
              <w:bottom w:w="28" w:type="dxa"/>
            </w:tcMar>
            <w:vAlign w:val="bottom"/>
          </w:tcPr>
          <w:p>
            <w:pPr>
              <w:pStyle w:val="TableContents"/>
              <w:bidi w:val="0"/>
              <w:spacing w:before="0" w:after="0"/>
              <w:jc w:val="right"/>
              <w:rPr/>
            </w:pPr>
            <w:r>
              <w:rPr/>
              <w:t>(0.10</w:t>
            </w:r>
          </w:p>
        </w:tc>
        <w:tc>
          <w:tcPr>
            <w:tcW w:w="95" w:type="dxa"/>
            <w:tcBorders/>
            <w:vAlign w:val="bottom"/>
          </w:tcPr>
          <w:p>
            <w:pPr>
              <w:pStyle w:val="TableContents"/>
              <w:bidi w:val="0"/>
              <w:spacing w:before="0" w:after="0"/>
              <w:jc w:val="left"/>
              <w:rPr/>
            </w:pPr>
            <w:r>
              <w:rPr/>
              <w:t>)</w:t>
            </w:r>
          </w:p>
        </w:tc>
        <w:tc>
          <w:tcPr>
            <w:tcW w:w="60" w:type="dxa"/>
            <w:tcBorders/>
            <w:vAlign w:val="bottom"/>
          </w:tcPr>
          <w:p>
            <w:pPr>
              <w:pStyle w:val="TableContents"/>
              <w:bidi w:val="0"/>
              <w:spacing w:before="0" w:after="283"/>
              <w:jc w:val="right"/>
              <w:rPr/>
            </w:pPr>
            <w:r>
              <w:rPr/>
              <w:t> </w:t>
            </w:r>
          </w:p>
        </w:tc>
        <w:tc>
          <w:tcPr>
            <w:tcW w:w="406" w:type="dxa"/>
            <w:tcBorders>
              <w:bottom w:val="single" w:sz="12" w:space="0" w:color="000000"/>
            </w:tcBorders>
            <w:tcMar>
              <w:bottom w:w="28" w:type="dxa"/>
            </w:tcMar>
            <w:vAlign w:val="bottom"/>
          </w:tcPr>
          <w:p>
            <w:pPr>
              <w:pStyle w:val="TableContents"/>
              <w:bidi w:val="0"/>
              <w:spacing w:before="0" w:after="0"/>
              <w:jc w:val="left"/>
              <w:rPr/>
            </w:pPr>
            <w:r>
              <w:rPr/>
              <w:t>$</w:t>
            </w:r>
          </w:p>
        </w:tc>
        <w:tc>
          <w:tcPr>
            <w:tcW w:w="754" w:type="dxa"/>
            <w:tcBorders>
              <w:bottom w:val="single" w:sz="12" w:space="0" w:color="000000"/>
            </w:tcBorders>
            <w:tcMar>
              <w:bottom w:w="28" w:type="dxa"/>
            </w:tcMar>
            <w:vAlign w:val="bottom"/>
          </w:tcPr>
          <w:p>
            <w:pPr>
              <w:pStyle w:val="TableContents"/>
              <w:bidi w:val="0"/>
              <w:spacing w:before="0" w:after="0"/>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w:t>
            </w:r>
          </w:p>
        </w:tc>
        <w:tc>
          <w:tcPr>
            <w:tcW w:w="1220" w:type="dxa"/>
            <w:tcBorders>
              <w:bottom w:val="single" w:sz="12" w:space="0" w:color="000000"/>
            </w:tcBorders>
            <w:tcMar>
              <w:bottom w:w="28" w:type="dxa"/>
            </w:tcMar>
            <w:vAlign w:val="bottom"/>
          </w:tcPr>
          <w:p>
            <w:pPr>
              <w:pStyle w:val="TableContents"/>
              <w:bidi w:val="0"/>
              <w:spacing w:before="0" w:after="283"/>
              <w:jc w:val="right"/>
              <w:rPr/>
            </w:pPr>
            <w:r>
              <w:rPr/>
              <w:t>(0.25</w:t>
            </w:r>
          </w:p>
        </w:tc>
        <w:tc>
          <w:tcPr>
            <w:tcW w:w="95" w:type="dxa"/>
            <w:tcBorders/>
            <w:vAlign w:val="bottom"/>
          </w:tcPr>
          <w:p>
            <w:pPr>
              <w:pStyle w:val="TableContents"/>
              <w:bidi w:val="0"/>
              <w:spacing w:before="0" w:after="283"/>
              <w:jc w:val="left"/>
              <w:rPr/>
            </w:pPr>
            <w:r>
              <w:rPr/>
              <w:t>)</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w:t>
            </w:r>
          </w:p>
        </w:tc>
        <w:tc>
          <w:tcPr>
            <w:tcW w:w="1100" w:type="dxa"/>
            <w:tcBorders>
              <w:bottom w:val="single" w:sz="12" w:space="0" w:color="000000"/>
            </w:tcBorders>
            <w:tcMar>
              <w:bottom w:w="28" w:type="dxa"/>
            </w:tcMar>
            <w:vAlign w:val="bottom"/>
          </w:tcPr>
          <w:p>
            <w:pPr>
              <w:pStyle w:val="TableContents"/>
              <w:bidi w:val="0"/>
              <w:spacing w:before="0" w:after="283"/>
              <w:jc w:val="right"/>
              <w:rPr/>
            </w:pPr>
            <w:r>
              <w:rPr/>
              <w:t>(0.25</w:t>
            </w:r>
          </w:p>
        </w:tc>
        <w:tc>
          <w:tcPr>
            <w:tcW w:w="95" w:type="dxa"/>
            <w:tcBorders/>
            <w:vAlign w:val="bottom"/>
          </w:tcPr>
          <w:p>
            <w:pPr>
              <w:pStyle w:val="TableContents"/>
              <w:bidi w:val="0"/>
              <w:spacing w:before="0" w:after="283"/>
              <w:jc w:val="left"/>
              <w:rPr/>
            </w:pPr>
            <w:r>
              <w:rPr/>
              <w:t>)</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w:t>
            </w:r>
          </w:p>
        </w:tc>
        <w:tc>
          <w:tcPr>
            <w:tcW w:w="1220" w:type="dxa"/>
            <w:tcBorders>
              <w:bottom w:val="single" w:sz="12" w:space="0" w:color="000000"/>
            </w:tcBorders>
            <w:tcMar>
              <w:bottom w:w="28" w:type="dxa"/>
            </w:tcMar>
            <w:vAlign w:val="bottom"/>
          </w:tcPr>
          <w:p>
            <w:pPr>
              <w:pStyle w:val="TableContents"/>
              <w:bidi w:val="0"/>
              <w:spacing w:before="0" w:after="283"/>
              <w:jc w:val="right"/>
              <w:rPr/>
            </w:pPr>
            <w:r>
              <w:rPr/>
              <w:t>(0.11</w:t>
            </w:r>
          </w:p>
        </w:tc>
        <w:tc>
          <w:tcPr>
            <w:tcW w:w="95" w:type="dxa"/>
            <w:tcBorders/>
            <w:vAlign w:val="bottom"/>
          </w:tcPr>
          <w:p>
            <w:pPr>
              <w:pStyle w:val="TableContents"/>
              <w:bidi w:val="0"/>
              <w:spacing w:before="0" w:after="283"/>
              <w:jc w:val="left"/>
              <w:rPr/>
            </w:pPr>
            <w:r>
              <w:rPr/>
              <w:t>)</w:t>
            </w:r>
          </w:p>
        </w:tc>
        <w:tc>
          <w:tcPr>
            <w:tcW w:w="60" w:type="dxa"/>
            <w:tcBorders/>
            <w:vAlign w:val="bottom"/>
          </w:tcPr>
          <w:p>
            <w:pPr>
              <w:pStyle w:val="TableContents"/>
              <w:bidi w:val="0"/>
              <w:spacing w:before="0" w:after="283"/>
              <w:jc w:val="right"/>
              <w:rPr/>
            </w:pPr>
            <w:r>
              <w:rPr/>
              <w:t> </w:t>
            </w:r>
          </w:p>
        </w:tc>
        <w:tc>
          <w:tcPr>
            <w:tcW w:w="406" w:type="dxa"/>
            <w:tcBorders>
              <w:bottom w:val="single" w:sz="12" w:space="0" w:color="000000"/>
            </w:tcBorders>
            <w:tcMar>
              <w:bottom w:w="28" w:type="dxa"/>
            </w:tcMar>
            <w:vAlign w:val="bottom"/>
          </w:tcPr>
          <w:p>
            <w:pPr>
              <w:pStyle w:val="TableContents"/>
              <w:bidi w:val="0"/>
              <w:spacing w:before="0" w:after="283"/>
              <w:jc w:val="left"/>
              <w:rPr/>
            </w:pPr>
            <w:r>
              <w:rPr/>
              <w:t>$</w:t>
            </w:r>
          </w:p>
        </w:tc>
        <w:tc>
          <w:tcPr>
            <w:tcW w:w="754" w:type="dxa"/>
            <w:tcBorders>
              <w:bottom w:val="single" w:sz="12" w:space="0" w:color="000000"/>
            </w:tcBorders>
            <w:tcMar>
              <w:bottom w:w="28" w:type="dxa"/>
            </w:tcMar>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r>
    </w:tbl>
    <w:p>
      <w:pPr>
        <w:pStyle w:val="TextBody"/>
        <w:bidi w:val="0"/>
        <w:spacing w:before="0" w:after="0"/>
        <w:ind w:left="1170" w:right="0" w:hanging="0"/>
        <w:jc w:val="left"/>
        <w:rPr/>
      </w:pPr>
      <w:r>
        <w:rPr/>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26</w:t>
      </w:r>
    </w:p>
    <w:p>
      <w:pPr>
        <w:pStyle w:val="HorizontalLine"/>
        <w:bidi w:val="0"/>
        <w:spacing w:before="200" w:after="200"/>
        <w:jc w:val="left"/>
        <w:rPr/>
      </w:pPr>
      <w:r>
        <w:rPr/>
      </w:r>
    </w:p>
    <w:p>
      <w:pPr>
        <w:pStyle w:val="TextBody"/>
        <w:bidi w:val="0"/>
        <w:spacing w:before="200" w:after="200"/>
        <w:jc w:val="left"/>
        <w:rPr/>
      </w:pPr>
      <w:hyperlink w:anchor="Contents">
        <w:r>
          <w:rPr>
            <w:rStyle w:val="InternetLink"/>
            <w:rFonts w:ascii="Times New Roman" w:hAnsi="Times New Roman"/>
            <w:i/>
            <w:color w:val="000000"/>
            <w:sz w:val="16"/>
            <w:shd w:fill="FFFFFF" w:val="clear"/>
          </w:rPr>
          <w:t>Table of Contents</w:t>
        </w:r>
      </w:hyperlink>
    </w:p>
    <w:p>
      <w:pPr>
        <w:pStyle w:val="TextBody"/>
        <w:bidi w:val="0"/>
        <w:spacing w:before="200" w:after="200"/>
        <w:jc w:val="right"/>
        <w:rPr>
          <w:rFonts w:ascii="Times New Roman" w:hAnsi="Times New Roman"/>
          <w:b/>
          <w:color w:val="000000"/>
          <w:sz w:val="18"/>
          <w:bdr w:val="single" w:sz="12" w:space="1" w:color="000000"/>
          <w:shd w:fill="FFFFFF" w:val="clear"/>
        </w:rPr>
      </w:pPr>
      <w:r>
        <w:rPr>
          <w:rFonts w:ascii="Times New Roman" w:hAnsi="Times New Roman"/>
          <w:b/>
          <w:color w:val="000000"/>
          <w:sz w:val="18"/>
          <w:bdr w:val="single" w:sz="12" w:space="1" w:color="000000"/>
          <w:shd w:fill="FFFFFF" w:val="clear"/>
        </w:rPr>
        <w:t>TABOOLA.COM LTD.</w:t>
      </w:r>
    </w:p>
    <w:p>
      <w:pPr>
        <w:pStyle w:val="TextBody"/>
        <w:bidi w:val="0"/>
        <w:spacing w:before="200" w:after="200"/>
        <w:jc w:val="right"/>
        <w:rPr>
          <w:b/>
        </w:rPr>
      </w:pPr>
      <w:r>
        <w:rPr>
          <w:b/>
        </w:rPr>
      </w:r>
    </w:p>
    <w:p>
      <w:pPr>
        <w:pStyle w:val="TextBody"/>
        <w:bidi w:val="0"/>
        <w:spacing w:before="200" w:after="200"/>
        <w:jc w:val="left"/>
        <w:rPr>
          <w:rFonts w:ascii="Times New Roman" w:hAnsi="Times New Roman"/>
          <w:b/>
          <w:color w:val="000000"/>
          <w:sz w:val="18"/>
          <w:bdr w:val="single" w:sz="12" w:space="1" w:color="000000"/>
          <w:shd w:fill="FFFFFF" w:val="clear"/>
        </w:rPr>
      </w:pPr>
      <w:r>
        <w:rPr>
          <w:rFonts w:ascii="Times New Roman" w:hAnsi="Times New Roman"/>
          <w:b/>
          <w:color w:val="000000"/>
          <w:sz w:val="18"/>
          <w:bdr w:val="single" w:sz="12" w:space="1" w:color="000000"/>
          <w:shd w:fill="FFFFFF" w:val="clear"/>
        </w:rPr>
        <w:t>NOTES TO THE CONSOLIDATED INTERIM FINANCIAL STATEMENTS</w:t>
      </w:r>
    </w:p>
    <w:p>
      <w:pPr>
        <w:pStyle w:val="TextBody"/>
        <w:bidi w:val="0"/>
        <w:spacing w:before="200" w:after="200"/>
        <w:jc w:val="left"/>
        <w:rPr>
          <w:rFonts w:ascii="Times New Roman" w:hAnsi="Times New Roman"/>
          <w:b/>
          <w:color w:val="000000"/>
          <w:sz w:val="18"/>
          <w:shd w:fill="FFFFFF" w:val="clear"/>
        </w:rPr>
      </w:pPr>
      <w:r>
        <w:rPr>
          <w:rFonts w:ascii="Times New Roman" w:hAnsi="Times New Roman"/>
          <w:b/>
          <w:color w:val="000000"/>
          <w:sz w:val="18"/>
          <w:shd w:fill="FFFFFF" w:val="clear"/>
        </w:rPr>
        <w:t>U.S. dollars in thousands, except share and per share data</w:t>
      </w:r>
    </w:p>
    <w:tbl>
      <w:tblPr>
        <w:tblW w:w="8335" w:type="dxa"/>
        <w:jc w:val="left"/>
        <w:tblInd w:w="0" w:type="dxa"/>
        <w:tblLayout w:type="fixed"/>
        <w:tblCellMar>
          <w:top w:w="0" w:type="dxa"/>
          <w:left w:w="0" w:type="dxa"/>
          <w:bottom w:w="0" w:type="dxa"/>
          <w:right w:w="0" w:type="dxa"/>
        </w:tblCellMar>
      </w:tblPr>
      <w:tblGrid>
        <w:gridCol w:w="950"/>
        <w:gridCol w:w="7385"/>
      </w:tblGrid>
      <w:tr>
        <w:trPr/>
        <w:tc>
          <w:tcPr>
            <w:tcW w:w="950" w:type="dxa"/>
            <w:tcBorders/>
            <w:vAlign w:val="center"/>
          </w:tcPr>
          <w:p>
            <w:pPr>
              <w:pStyle w:val="TableContents"/>
              <w:bidi w:val="0"/>
              <w:spacing w:before="0" w:after="283"/>
              <w:jc w:val="left"/>
              <w:rPr>
                <w:rFonts w:ascii="Times New Roman" w:hAnsi="Times New Roman"/>
                <w:b/>
                <w:sz w:val="20"/>
              </w:rPr>
            </w:pPr>
            <w:r>
              <w:rPr>
                <w:rFonts w:ascii="Times New Roman" w:hAnsi="Times New Roman"/>
                <w:b/>
                <w:sz w:val="20"/>
              </w:rPr>
              <w:t>NOTE 15:-</w:t>
            </w:r>
          </w:p>
        </w:tc>
        <w:tc>
          <w:tcPr>
            <w:tcW w:w="7385" w:type="dxa"/>
            <w:tcBorders/>
            <w:vAlign w:val="center"/>
          </w:tcPr>
          <w:p>
            <w:pPr>
              <w:pStyle w:val="TableContents"/>
              <w:bidi w:val="0"/>
              <w:spacing w:before="0" w:after="0"/>
              <w:jc w:val="left"/>
              <w:rPr>
                <w:b/>
                <w:sz w:val="20"/>
              </w:rPr>
            </w:pPr>
            <w:r>
              <w:rPr>
                <w:rFonts w:ascii="Times New Roman" w:hAnsi="Times New Roman"/>
                <w:b/>
                <w:color w:val="000000"/>
                <w:sz w:val="20"/>
              </w:rPr>
              <w:t xml:space="preserve">NET </w:t>
            </w:r>
            <w:r>
              <w:rPr>
                <w:rFonts w:ascii="Times New Roman" w:hAnsi="Times New Roman"/>
                <w:b/>
                <w:sz w:val="20"/>
              </w:rPr>
              <w:t>LOSS</w:t>
            </w:r>
            <w:r>
              <w:rPr>
                <w:rFonts w:ascii="Times New Roman" w:hAnsi="Times New Roman"/>
                <w:b/>
                <w:color w:val="000000"/>
                <w:sz w:val="20"/>
              </w:rPr>
              <w:t xml:space="preserve"> PER SHARE ATTRIBUTABLE TO ORDINARY SHAREHOLDERS (Cont.)</w:t>
            </w:r>
          </w:p>
        </w:tc>
      </w:tr>
    </w:tbl>
    <w:p>
      <w:pPr>
        <w:pStyle w:val="TextBody"/>
        <w:bidi w:val="0"/>
        <w:spacing w:before="0" w:after="0"/>
        <w:jc w:val="left"/>
        <w:rPr/>
      </w:pPr>
      <w:r>
        <w:rPr/>
      </w:r>
    </w:p>
    <w:p>
      <w:pPr>
        <w:pStyle w:val="TextBody"/>
        <w:bidi w:val="0"/>
        <w:spacing w:before="0" w:after="0"/>
        <w:ind w:left="1170" w:right="0" w:hanging="0"/>
        <w:jc w:val="both"/>
        <w:rPr>
          <w:rFonts w:ascii="Times New Roman" w:hAnsi="Times New Roman"/>
          <w:color w:val="000000"/>
          <w:sz w:val="20"/>
          <w:shd w:fill="FFFFFF" w:val="clear"/>
        </w:rPr>
      </w:pPr>
      <w:r>
        <w:rPr>
          <w:rFonts w:ascii="Times New Roman" w:hAnsi="Times New Roman"/>
          <w:color w:val="000000"/>
          <w:sz w:val="20"/>
          <w:shd w:fill="FFFFFF" w:val="clear"/>
        </w:rPr>
        <w:t>The potential shares of Ordinary shares that were excluded from the computation of diluted net loss per share attributable to Ordinary shareholders for the periods presented because including them would have been anti-dilutive are as follows:</w:t>
      </w:r>
    </w:p>
    <w:p>
      <w:pPr>
        <w:pStyle w:val="TextBody"/>
        <w:bidi w:val="0"/>
        <w:spacing w:before="0" w:after="0"/>
        <w:ind w:left="1170" w:right="0" w:hanging="0"/>
        <w:jc w:val="both"/>
        <w:rPr>
          <w:rFonts w:ascii="Times New Roman" w:hAnsi="Times New Roman"/>
          <w:color w:val="000000"/>
          <w:sz w:val="20"/>
        </w:rPr>
      </w:pPr>
      <w:r>
        <w:rPr>
          <w:rFonts w:ascii="Times New Roman" w:hAnsi="Times New Roman"/>
          <w:color w:val="000000"/>
          <w:sz w:val="20"/>
        </w:rPr>
      </w:r>
    </w:p>
    <w:tbl>
      <w:tblPr>
        <w:tblW w:w="9035" w:type="dxa"/>
        <w:jc w:val="left"/>
        <w:tblInd w:w="1170" w:type="dxa"/>
        <w:tblLayout w:type="fixed"/>
        <w:tblCellMar>
          <w:top w:w="0" w:type="dxa"/>
          <w:left w:w="0" w:type="dxa"/>
          <w:bottom w:w="0" w:type="dxa"/>
          <w:right w:w="0" w:type="dxa"/>
        </w:tblCellMar>
      </w:tblPr>
      <w:tblGrid>
        <w:gridCol w:w="4515"/>
        <w:gridCol w:w="60"/>
        <w:gridCol w:w="60"/>
        <w:gridCol w:w="950"/>
        <w:gridCol w:w="60"/>
        <w:gridCol w:w="60"/>
        <w:gridCol w:w="60"/>
        <w:gridCol w:w="950"/>
        <w:gridCol w:w="60"/>
        <w:gridCol w:w="60"/>
        <w:gridCol w:w="60"/>
        <w:gridCol w:w="950"/>
        <w:gridCol w:w="60"/>
        <w:gridCol w:w="60"/>
        <w:gridCol w:w="60"/>
        <w:gridCol w:w="950"/>
        <w:gridCol w:w="60"/>
      </w:tblGrid>
      <w:tr>
        <w:trPr/>
        <w:tc>
          <w:tcPr>
            <w:tcW w:w="45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0" w:type="dxa"/>
            <w:gridSpan w:val="6"/>
            <w:tcBorders>
              <w:bottom w:val="single" w:sz="12" w:space="0" w:color="000000"/>
            </w:tcBorders>
            <w:tcMar>
              <w:bottom w:w="28" w:type="dxa"/>
            </w:tcMar>
            <w:vAlign w:val="bottom"/>
          </w:tcPr>
          <w:p>
            <w:pPr>
              <w:pStyle w:val="TableContents"/>
              <w:bidi w:val="0"/>
              <w:spacing w:before="0" w:after="0"/>
              <w:ind w:left="0" w:right="0" w:firstLine="40"/>
              <w:jc w:val="center"/>
              <w:rPr>
                <w:rFonts w:ascii="Times New Roman" w:hAnsi="Times New Roman"/>
                <w:b/>
                <w:color w:val="000000"/>
                <w:sz w:val="20"/>
              </w:rPr>
            </w:pPr>
            <w:r>
              <w:rPr>
                <w:rFonts w:ascii="Times New Roman" w:hAnsi="Times New Roman"/>
                <w:b/>
                <w:color w:val="000000"/>
                <w:sz w:val="20"/>
              </w:rPr>
              <w:t>Three months ended</w:t>
            </w:r>
          </w:p>
          <w:p>
            <w:pPr>
              <w:pStyle w:val="TableContents"/>
              <w:bidi w:val="0"/>
              <w:spacing w:before="0" w:after="0"/>
              <w:ind w:left="0" w:right="0" w:hanging="0"/>
              <w:jc w:val="center"/>
              <w:rPr>
                <w:rFonts w:ascii="Times New Roman" w:hAnsi="Times New Roman"/>
                <w:b/>
                <w:color w:val="000000"/>
                <w:sz w:val="20"/>
              </w:rPr>
            </w:pPr>
            <w:r>
              <w:rPr>
                <w:rFonts w:ascii="Times New Roman" w:hAnsi="Times New Roman"/>
                <w:b/>
                <w:color w:val="000000"/>
                <w:sz w:val="20"/>
              </w:rPr>
              <w:t>September 30,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0" w:type="dxa"/>
            <w:gridSpan w:val="6"/>
            <w:tcBorders>
              <w:bottom w:val="single" w:sz="12" w:space="0" w:color="000000"/>
            </w:tcBorders>
            <w:tcMar>
              <w:bottom w:w="28" w:type="dxa"/>
            </w:tcMar>
            <w:vAlign w:val="bottom"/>
          </w:tcPr>
          <w:p>
            <w:pPr>
              <w:pStyle w:val="TableContents"/>
              <w:bidi w:val="0"/>
              <w:spacing w:before="0" w:after="0"/>
              <w:ind w:left="0" w:right="0" w:hanging="0"/>
              <w:jc w:val="center"/>
              <w:rPr>
                <w:rFonts w:ascii="Times New Roman" w:hAnsi="Times New Roman"/>
                <w:b/>
                <w:color w:val="000000"/>
                <w:sz w:val="20"/>
              </w:rPr>
            </w:pPr>
            <w:r>
              <w:rPr>
                <w:rFonts w:ascii="Times New Roman" w:hAnsi="Times New Roman"/>
                <w:b/>
                <w:color w:val="000000"/>
                <w:sz w:val="20"/>
              </w:rPr>
              <w:t>Nine months ended</w:t>
            </w:r>
          </w:p>
          <w:p>
            <w:pPr>
              <w:pStyle w:val="TableContents"/>
              <w:bidi w:val="0"/>
              <w:spacing w:before="0" w:after="0"/>
              <w:ind w:left="0" w:right="0" w:hanging="0"/>
              <w:jc w:val="center"/>
              <w:rPr>
                <w:rFonts w:ascii="Times New Roman" w:hAnsi="Times New Roman"/>
                <w:b/>
                <w:color w:val="000000"/>
                <w:sz w:val="20"/>
              </w:rPr>
            </w:pPr>
            <w:r>
              <w:rPr>
                <w:rFonts w:ascii="Times New Roman" w:hAnsi="Times New Roman"/>
                <w:b/>
                <w:color w:val="000000"/>
                <w:sz w:val="20"/>
              </w:rPr>
              <w:t>September 30,</w:t>
            </w:r>
          </w:p>
        </w:tc>
        <w:tc>
          <w:tcPr>
            <w:tcW w:w="60" w:type="dxa"/>
            <w:tcBorders/>
            <w:vAlign w:val="bottom"/>
          </w:tcPr>
          <w:p>
            <w:pPr>
              <w:pStyle w:val="TableContents"/>
              <w:bidi w:val="0"/>
              <w:spacing w:before="0" w:after="283"/>
              <w:jc w:val="left"/>
              <w:rPr/>
            </w:pPr>
            <w:r>
              <w:rPr/>
              <w:t> </w:t>
            </w:r>
          </w:p>
        </w:tc>
      </w:tr>
      <w:tr>
        <w:trPr/>
        <w:tc>
          <w:tcPr>
            <w:tcW w:w="45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10" w:type="dxa"/>
            <w:gridSpan w:val="2"/>
            <w:tcBorders>
              <w:bottom w:val="single" w:sz="12" w:space="0" w:color="000000"/>
            </w:tcBorders>
            <w:tcMar>
              <w:bottom w:w="28" w:type="dxa"/>
            </w:tcMar>
            <w:vAlign w:val="bottom"/>
          </w:tcPr>
          <w:p>
            <w:pPr>
              <w:pStyle w:val="TableContents"/>
              <w:bidi w:val="0"/>
              <w:spacing w:before="0" w:after="0"/>
              <w:ind w:left="0" w:right="0" w:hanging="0"/>
              <w:jc w:val="center"/>
              <w:rPr>
                <w:rFonts w:ascii="Times New Roman" w:hAnsi="Times New Roman"/>
                <w:b/>
                <w:color w:val="000000"/>
                <w:sz w:val="20"/>
              </w:rPr>
            </w:pPr>
            <w:r>
              <w:rPr>
                <w:rFonts w:ascii="Times New Roman" w:hAnsi="Times New Roman"/>
                <w:b/>
                <w:color w:val="000000"/>
                <w:sz w:val="20"/>
              </w:rPr>
              <w:t>2023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10" w:type="dxa"/>
            <w:gridSpan w:val="2"/>
            <w:tcBorders>
              <w:bottom w:val="single" w:sz="12" w:space="0" w:color="000000"/>
            </w:tcBorders>
            <w:tcMar>
              <w:bottom w:w="28" w:type="dxa"/>
            </w:tcMar>
            <w:vAlign w:val="bottom"/>
          </w:tcPr>
          <w:p>
            <w:pPr>
              <w:pStyle w:val="TableContents"/>
              <w:bidi w:val="0"/>
              <w:spacing w:before="0" w:after="0"/>
              <w:ind w:left="0" w:right="0" w:hanging="0"/>
              <w:jc w:val="center"/>
              <w:rPr>
                <w:rFonts w:ascii="Times New Roman" w:hAnsi="Times New Roman"/>
                <w:b/>
                <w:color w:val="000000"/>
                <w:sz w:val="20"/>
              </w:rPr>
            </w:pPr>
            <w:r>
              <w:rPr>
                <w:rFonts w:ascii="Times New Roman" w:hAnsi="Times New Roman"/>
                <w:b/>
                <w:color w:val="000000"/>
                <w:sz w:val="20"/>
              </w:rPr>
              <w:t>2022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10" w:type="dxa"/>
            <w:gridSpan w:val="2"/>
            <w:tcBorders>
              <w:bottom w:val="single" w:sz="12" w:space="0" w:color="000000"/>
            </w:tcBorders>
            <w:tcMar>
              <w:bottom w:w="28" w:type="dxa"/>
            </w:tcMar>
            <w:vAlign w:val="center"/>
          </w:tcPr>
          <w:p>
            <w:pPr>
              <w:pStyle w:val="TableContents"/>
              <w:bidi w:val="0"/>
              <w:spacing w:before="0" w:after="283"/>
              <w:jc w:val="center"/>
              <w:rPr>
                <w:rFonts w:ascii="Times New Roman" w:hAnsi="Times New Roman"/>
                <w:b/>
                <w:sz w:val="20"/>
              </w:rPr>
            </w:pPr>
            <w:r>
              <w:rPr>
                <w:rFonts w:ascii="Times New Roman" w:hAnsi="Times New Roman"/>
                <w:b/>
                <w:sz w:val="20"/>
              </w:rPr>
              <w:t>2023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10" w:type="dxa"/>
            <w:gridSpan w:val="2"/>
            <w:tcBorders>
              <w:bottom w:val="single" w:sz="12" w:space="0" w:color="000000"/>
            </w:tcBorders>
            <w:tcMar>
              <w:bottom w:w="28" w:type="dxa"/>
            </w:tcMar>
            <w:vAlign w:val="center"/>
          </w:tcPr>
          <w:p>
            <w:pPr>
              <w:pStyle w:val="TableContents"/>
              <w:bidi w:val="0"/>
              <w:spacing w:before="0" w:after="283"/>
              <w:jc w:val="center"/>
              <w:rPr>
                <w:rFonts w:ascii="Times New Roman" w:hAnsi="Times New Roman"/>
                <w:b/>
                <w:sz w:val="20"/>
              </w:rPr>
            </w:pPr>
            <w:r>
              <w:rPr>
                <w:rFonts w:ascii="Times New Roman" w:hAnsi="Times New Roman"/>
                <w:b/>
                <w:sz w:val="20"/>
              </w:rPr>
              <w:t>2022</w:t>
            </w:r>
          </w:p>
        </w:tc>
        <w:tc>
          <w:tcPr>
            <w:tcW w:w="60" w:type="dxa"/>
            <w:tcBorders/>
            <w:vAlign w:val="bottom"/>
          </w:tcPr>
          <w:p>
            <w:pPr>
              <w:pStyle w:val="TableContents"/>
              <w:bidi w:val="0"/>
              <w:spacing w:before="0" w:after="283"/>
              <w:jc w:val="left"/>
              <w:rPr/>
            </w:pPr>
            <w:r>
              <w:rPr/>
              <w:t> </w:t>
            </w:r>
          </w:p>
        </w:tc>
      </w:tr>
      <w:tr>
        <w:trPr/>
        <w:tc>
          <w:tcPr>
            <w:tcW w:w="45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0" w:type="dxa"/>
            <w:gridSpan w:val="14"/>
            <w:tcBorders>
              <w:bottom w:val="single" w:sz="12" w:space="0" w:color="000000"/>
            </w:tcBorders>
            <w:tcMar>
              <w:bottom w:w="28" w:type="dxa"/>
            </w:tcMar>
            <w:vAlign w:val="bottom"/>
          </w:tcPr>
          <w:p>
            <w:pPr>
              <w:pStyle w:val="TableContents"/>
              <w:bidi w:val="0"/>
              <w:spacing w:before="0" w:after="0"/>
              <w:ind w:left="0" w:right="0" w:firstLine="40"/>
              <w:jc w:val="center"/>
              <w:rPr>
                <w:rFonts w:ascii="Times New Roman" w:hAnsi="Times New Roman"/>
                <w:b/>
                <w:color w:val="000000"/>
                <w:sz w:val="20"/>
              </w:rPr>
            </w:pPr>
            <w:r>
              <w:rPr>
                <w:rFonts w:ascii="Times New Roman" w:hAnsi="Times New Roman"/>
                <w:b/>
                <w:color w:val="000000"/>
                <w:sz w:val="20"/>
              </w:rPr>
              <w:t>Unaudited</w:t>
            </w:r>
          </w:p>
        </w:tc>
        <w:tc>
          <w:tcPr>
            <w:tcW w:w="60" w:type="dxa"/>
            <w:tcBorders/>
            <w:vAlign w:val="bottom"/>
          </w:tcPr>
          <w:p>
            <w:pPr>
              <w:pStyle w:val="TableContents"/>
              <w:bidi w:val="0"/>
              <w:spacing w:before="0" w:after="283"/>
              <w:jc w:val="left"/>
              <w:rPr/>
            </w:pPr>
            <w:r>
              <w:rPr/>
              <w:t> </w:t>
            </w:r>
          </w:p>
        </w:tc>
      </w:tr>
      <w:tr>
        <w:trPr/>
        <w:tc>
          <w:tcPr>
            <w:tcW w:w="451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Warrants</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12,349,990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12,349,990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283"/>
              <w:jc w:val="right"/>
              <w:rPr>
                <w:rFonts w:ascii="Times New Roman" w:hAnsi="Times New Roman"/>
                <w:sz w:val="20"/>
              </w:rPr>
            </w:pPr>
            <w:r>
              <w:rPr>
                <w:rFonts w:ascii="Times New Roman" w:hAnsi="Times New Roman"/>
                <w:sz w:val="20"/>
              </w:rPr>
              <w:t>12,349,990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283"/>
              <w:jc w:val="right"/>
              <w:rPr>
                <w:rFonts w:ascii="Times New Roman" w:hAnsi="Times New Roman"/>
                <w:sz w:val="20"/>
              </w:rPr>
            </w:pPr>
            <w:r>
              <w:rPr>
                <w:rFonts w:ascii="Times New Roman" w:hAnsi="Times New Roman"/>
                <w:sz w:val="20"/>
              </w:rPr>
              <w:t>12,349,990</w:t>
            </w:r>
          </w:p>
        </w:tc>
        <w:tc>
          <w:tcPr>
            <w:tcW w:w="60" w:type="dxa"/>
            <w:tcBorders/>
            <w:shd w:fill="CCEEFF" w:val="clear"/>
            <w:vAlign w:val="bottom"/>
          </w:tcPr>
          <w:p>
            <w:pPr>
              <w:pStyle w:val="TableContents"/>
              <w:bidi w:val="0"/>
              <w:spacing w:before="0" w:after="283"/>
              <w:jc w:val="left"/>
              <w:rPr/>
            </w:pPr>
            <w:r>
              <w:rPr/>
              <w:t> </w:t>
            </w:r>
          </w:p>
        </w:tc>
      </w:tr>
      <w:tr>
        <w:trPr/>
        <w:tc>
          <w:tcPr>
            <w:tcW w:w="451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RSUs</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25,936,360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20,135,294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right"/>
              <w:rPr>
                <w:rFonts w:ascii="Times New Roman" w:hAnsi="Times New Roman"/>
                <w:sz w:val="20"/>
              </w:rPr>
            </w:pPr>
            <w:r>
              <w:rPr>
                <w:rFonts w:ascii="Times New Roman" w:hAnsi="Times New Roman"/>
                <w:sz w:val="20"/>
              </w:rPr>
              <w:t>26,166,672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right"/>
              <w:rPr>
                <w:rFonts w:ascii="Times New Roman" w:hAnsi="Times New Roman"/>
                <w:sz w:val="20"/>
              </w:rPr>
            </w:pPr>
            <w:r>
              <w:rPr>
                <w:rFonts w:ascii="Times New Roman" w:hAnsi="Times New Roman"/>
                <w:sz w:val="20"/>
              </w:rPr>
              <w:t>17,994,340</w:t>
            </w:r>
          </w:p>
        </w:tc>
        <w:tc>
          <w:tcPr>
            <w:tcW w:w="60" w:type="dxa"/>
            <w:tcBorders/>
            <w:vAlign w:val="bottom"/>
          </w:tcPr>
          <w:p>
            <w:pPr>
              <w:pStyle w:val="TableContents"/>
              <w:bidi w:val="0"/>
              <w:spacing w:before="0" w:after="283"/>
              <w:jc w:val="left"/>
              <w:rPr/>
            </w:pPr>
            <w:r>
              <w:rPr/>
              <w:t> </w:t>
            </w:r>
          </w:p>
        </w:tc>
      </w:tr>
      <w:tr>
        <w:trPr/>
        <w:tc>
          <w:tcPr>
            <w:tcW w:w="451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Outstanding share options</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31,565,977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34,666,838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283"/>
              <w:jc w:val="right"/>
              <w:rPr>
                <w:rFonts w:ascii="Times New Roman" w:hAnsi="Times New Roman"/>
                <w:sz w:val="20"/>
              </w:rPr>
            </w:pPr>
            <w:r>
              <w:rPr>
                <w:rFonts w:ascii="Times New Roman" w:hAnsi="Times New Roman"/>
                <w:sz w:val="20"/>
              </w:rPr>
              <w:t>28,164,922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283"/>
              <w:jc w:val="right"/>
              <w:rPr>
                <w:rFonts w:ascii="Times New Roman" w:hAnsi="Times New Roman"/>
                <w:sz w:val="20"/>
              </w:rPr>
            </w:pPr>
            <w:r>
              <w:rPr>
                <w:rFonts w:ascii="Times New Roman" w:hAnsi="Times New Roman"/>
                <w:sz w:val="20"/>
              </w:rPr>
              <w:t>34,666,838</w:t>
            </w:r>
          </w:p>
        </w:tc>
        <w:tc>
          <w:tcPr>
            <w:tcW w:w="60" w:type="dxa"/>
            <w:tcBorders/>
            <w:shd w:fill="CCEEFF" w:val="clear"/>
            <w:vAlign w:val="bottom"/>
          </w:tcPr>
          <w:p>
            <w:pPr>
              <w:pStyle w:val="TableContents"/>
              <w:bidi w:val="0"/>
              <w:spacing w:before="0" w:after="283"/>
              <w:jc w:val="left"/>
              <w:rPr/>
            </w:pPr>
            <w:r>
              <w:rPr/>
              <w:t> </w:t>
            </w:r>
          </w:p>
        </w:tc>
      </w:tr>
      <w:tr>
        <w:trPr/>
        <w:tc>
          <w:tcPr>
            <w:tcW w:w="451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Issuable Ordinary shares related to Business Combination under holdback arrangement</w:t>
            </w:r>
          </w:p>
        </w:tc>
        <w:tc>
          <w:tcPr>
            <w:tcW w:w="60" w:type="dxa"/>
            <w:tcBorders/>
            <w:vAlign w:val="bottom"/>
          </w:tcPr>
          <w:p>
            <w:pPr>
              <w:pStyle w:val="TableContents"/>
              <w:bidi w:val="0"/>
              <w:spacing w:before="0" w:after="283"/>
              <w:jc w:val="righ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95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1,356,592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95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2,454,020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950" w:type="dxa"/>
            <w:tcBorders>
              <w:bottom w:val="single" w:sz="12" w:space="0" w:color="000000"/>
            </w:tcBorders>
            <w:tcMar>
              <w:bottom w:w="28" w:type="dxa"/>
            </w:tcMar>
            <w:vAlign w:val="bottom"/>
          </w:tcPr>
          <w:p>
            <w:pPr>
              <w:pStyle w:val="TableContents"/>
              <w:bidi w:val="0"/>
              <w:spacing w:before="0" w:after="283"/>
              <w:jc w:val="right"/>
              <w:rPr>
                <w:rFonts w:ascii="Times New Roman" w:hAnsi="Times New Roman"/>
                <w:sz w:val="20"/>
              </w:rPr>
            </w:pPr>
            <w:r>
              <w:rPr>
                <w:rFonts w:ascii="Times New Roman" w:hAnsi="Times New Roman"/>
                <w:sz w:val="20"/>
              </w:rPr>
              <w:t>1,679,592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950" w:type="dxa"/>
            <w:tcBorders>
              <w:bottom w:val="single" w:sz="12" w:space="0" w:color="000000"/>
            </w:tcBorders>
            <w:tcMar>
              <w:bottom w:w="28" w:type="dxa"/>
            </w:tcMar>
            <w:vAlign w:val="bottom"/>
          </w:tcPr>
          <w:p>
            <w:pPr>
              <w:pStyle w:val="TableContents"/>
              <w:bidi w:val="0"/>
              <w:spacing w:before="0" w:after="283"/>
              <w:jc w:val="right"/>
              <w:rPr>
                <w:rFonts w:ascii="Times New Roman" w:hAnsi="Times New Roman"/>
                <w:sz w:val="20"/>
              </w:rPr>
            </w:pPr>
            <w:r>
              <w:rPr>
                <w:rFonts w:ascii="Times New Roman" w:hAnsi="Times New Roman"/>
                <w:sz w:val="20"/>
              </w:rPr>
              <w:t>2,454,020</w:t>
            </w:r>
          </w:p>
        </w:tc>
        <w:tc>
          <w:tcPr>
            <w:tcW w:w="60" w:type="dxa"/>
            <w:tcBorders/>
            <w:vAlign w:val="bottom"/>
          </w:tcPr>
          <w:p>
            <w:pPr>
              <w:pStyle w:val="TableContents"/>
              <w:bidi w:val="0"/>
              <w:spacing w:before="0" w:after="283"/>
              <w:jc w:val="left"/>
              <w:rPr/>
            </w:pPr>
            <w:r>
              <w:rPr/>
              <w:t> </w:t>
            </w:r>
          </w:p>
        </w:tc>
      </w:tr>
      <w:tr>
        <w:trPr/>
        <w:tc>
          <w:tcPr>
            <w:tcW w:w="4515" w:type="dxa"/>
            <w:tcBorders/>
            <w:shd w:fill="CCEEFF" w:val="clear"/>
            <w:vAlign w:val="bottom"/>
          </w:tcPr>
          <w:p>
            <w:pPr>
              <w:pStyle w:val="TableContents"/>
              <w:bidi w:val="0"/>
              <w:spacing w:before="0" w:after="0"/>
              <w:jc w:val="both"/>
              <w:rPr>
                <w:rFonts w:ascii="Times New Roman" w:hAnsi="Times New Roman"/>
                <w:color w:val="000000"/>
                <w:sz w:val="20"/>
              </w:rPr>
            </w:pPr>
            <w:r>
              <w:rPr>
                <w:rFonts w:ascii="Times New Roman" w:hAnsi="Times New Roman"/>
                <w:color w:val="000000"/>
                <w:sz w:val="20"/>
              </w:rPr>
              <w:t>Total</w:t>
            </w:r>
          </w:p>
        </w:tc>
        <w:tc>
          <w:tcPr>
            <w:tcW w:w="60" w:type="dxa"/>
            <w:tcBorders/>
            <w:shd w:fill="CCEEFF" w:val="clear"/>
            <w:vAlign w:val="bottom"/>
          </w:tcPr>
          <w:p>
            <w:pPr>
              <w:pStyle w:val="TableContents"/>
              <w:bidi w:val="0"/>
              <w:spacing w:before="0" w:after="283"/>
              <w:jc w:val="right"/>
              <w:rPr/>
            </w:pPr>
            <w:r>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5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71,208,919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5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69,606,142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50" w:type="dxa"/>
            <w:tcBorders>
              <w:bottom w:val="single" w:sz="12" w:space="0" w:color="000000"/>
            </w:tcBorders>
            <w:shd w:fill="CCEEFF" w:val="clear"/>
            <w:tcMar>
              <w:bottom w:w="28" w:type="dxa"/>
            </w:tcMar>
            <w:vAlign w:val="bottom"/>
          </w:tcPr>
          <w:p>
            <w:pPr>
              <w:pStyle w:val="TableContents"/>
              <w:bidi w:val="0"/>
              <w:spacing w:before="0" w:after="283"/>
              <w:jc w:val="right"/>
              <w:rPr>
                <w:rFonts w:ascii="Times New Roman" w:hAnsi="Times New Roman"/>
                <w:sz w:val="20"/>
              </w:rPr>
            </w:pPr>
            <w:r>
              <w:rPr>
                <w:rFonts w:ascii="Times New Roman" w:hAnsi="Times New Roman"/>
                <w:sz w:val="20"/>
              </w:rPr>
              <w:t>68,361,175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50" w:type="dxa"/>
            <w:tcBorders>
              <w:bottom w:val="single" w:sz="12" w:space="0" w:color="000000"/>
            </w:tcBorders>
            <w:shd w:fill="CCEEFF" w:val="clear"/>
            <w:tcMar>
              <w:bottom w:w="28" w:type="dxa"/>
            </w:tcMar>
            <w:vAlign w:val="bottom"/>
          </w:tcPr>
          <w:p>
            <w:pPr>
              <w:pStyle w:val="TableContents"/>
              <w:bidi w:val="0"/>
              <w:spacing w:before="0" w:after="283"/>
              <w:jc w:val="right"/>
              <w:rPr>
                <w:rFonts w:ascii="Times New Roman" w:hAnsi="Times New Roman"/>
                <w:sz w:val="20"/>
              </w:rPr>
            </w:pPr>
            <w:r>
              <w:rPr>
                <w:rFonts w:ascii="Times New Roman" w:hAnsi="Times New Roman"/>
                <w:sz w:val="20"/>
              </w:rPr>
              <w:t>67,465,188</w:t>
            </w:r>
          </w:p>
        </w:tc>
        <w:tc>
          <w:tcPr>
            <w:tcW w:w="60" w:type="dxa"/>
            <w:tcBorders/>
            <w:shd w:fill="CCEEFF" w:val="clear"/>
            <w:vAlign w:val="bottom"/>
          </w:tcPr>
          <w:p>
            <w:pPr>
              <w:pStyle w:val="TableContents"/>
              <w:bidi w:val="0"/>
              <w:spacing w:before="0" w:after="283"/>
              <w:jc w:val="left"/>
              <w:rPr/>
            </w:pPr>
            <w:r>
              <w:rPr/>
              <w:t> </w:t>
            </w:r>
          </w:p>
        </w:tc>
      </w:tr>
    </w:tbl>
    <w:p>
      <w:pPr>
        <w:pStyle w:val="TextBody"/>
        <w:bidi w:val="0"/>
        <w:spacing w:before="0" w:after="0"/>
        <w:ind w:left="1170" w:right="0" w:hanging="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27</w:t>
      </w:r>
    </w:p>
    <w:p>
      <w:pPr>
        <w:pStyle w:val="HorizontalLine"/>
        <w:bidi w:val="0"/>
        <w:spacing w:before="200" w:after="200"/>
        <w:jc w:val="left"/>
        <w:rPr/>
      </w:pPr>
      <w:r>
        <w:rPr/>
      </w:r>
    </w:p>
    <w:p>
      <w:pPr>
        <w:pStyle w:val="TextBody"/>
        <w:bidi w:val="0"/>
        <w:spacing w:before="200" w:after="200"/>
        <w:jc w:val="left"/>
        <w:rPr/>
      </w:pPr>
      <w:hyperlink w:anchor="Contents">
        <w:r>
          <w:rPr>
            <w:rStyle w:val="InternetLink"/>
            <w:rFonts w:ascii="Times New Roman" w:hAnsi="Times New Roman"/>
            <w:i/>
            <w:color w:val="000000"/>
            <w:sz w:val="16"/>
            <w:shd w:fill="FFFFFF" w:val="clear"/>
          </w:rPr>
          <w:t>Table of Contents</w:t>
        </w:r>
      </w:hyperlink>
    </w:p>
    <w:p>
      <w:pPr>
        <w:pStyle w:val="Normal"/>
        <w:bidi w:val="0"/>
        <w:spacing w:before="0" w:after="0"/>
        <w:jc w:val="left"/>
        <w:rPr>
          <w:sz w:val="4"/>
          <w:szCs w:val="4"/>
        </w:rPr>
      </w:pPr>
      <w:r>
        <w:rPr>
          <w:sz w:val="4"/>
          <w:szCs w:val="4"/>
        </w:rPr>
      </w:r>
      <w:bookmarkStart w:id="11" w:name="Management"/>
      <w:bookmarkStart w:id="12" w:name="Management"/>
      <w:bookmarkEnd w:id="12"/>
    </w:p>
    <w:tbl>
      <w:tblPr>
        <w:tblW w:w="9790" w:type="dxa"/>
        <w:jc w:val="left"/>
        <w:tblInd w:w="0" w:type="dxa"/>
        <w:tblLayout w:type="fixed"/>
        <w:tblCellMar>
          <w:top w:w="0" w:type="dxa"/>
          <w:left w:w="0" w:type="dxa"/>
          <w:bottom w:w="0" w:type="dxa"/>
          <w:right w:w="0" w:type="dxa"/>
        </w:tblCellMar>
      </w:tblPr>
      <w:tblGrid>
        <w:gridCol w:w="740"/>
        <w:gridCol w:w="9050"/>
      </w:tblGrid>
      <w:tr>
        <w:trPr/>
        <w:tc>
          <w:tcPr>
            <w:tcW w:w="740" w:type="dxa"/>
            <w:tcBorders/>
            <w:vAlign w:val="center"/>
          </w:tcPr>
          <w:p>
            <w:pPr>
              <w:pStyle w:val="TableContents"/>
              <w:bidi w:val="0"/>
              <w:spacing w:before="0" w:after="0"/>
              <w:jc w:val="both"/>
              <w:rPr>
                <w:b/>
                <w:color w:val="000000"/>
              </w:rPr>
            </w:pPr>
            <w:r>
              <w:rPr>
                <w:b/>
                <w:color w:val="000000"/>
              </w:rPr>
              <w:t>Item 2.</w:t>
            </w:r>
          </w:p>
        </w:tc>
        <w:tc>
          <w:tcPr>
            <w:tcW w:w="9050" w:type="dxa"/>
            <w:tcBorders/>
            <w:vAlign w:val="center"/>
          </w:tcPr>
          <w:p>
            <w:pPr>
              <w:pStyle w:val="TableContents"/>
              <w:bidi w:val="0"/>
              <w:spacing w:before="0" w:after="0"/>
              <w:jc w:val="both"/>
              <w:rPr>
                <w:b/>
                <w:color w:val="000000"/>
              </w:rPr>
            </w:pPr>
            <w:r>
              <w:rPr>
                <w:b/>
                <w:color w:val="000000"/>
              </w:rPr>
              <w:t>Management’s Discussion and Analysis of Financial Condition and Results of Operations</w:t>
            </w:r>
          </w:p>
        </w:tc>
      </w:tr>
    </w:tbl>
    <w:p>
      <w:pPr>
        <w:pStyle w:val="TextBody"/>
        <w:bidi w:val="0"/>
        <w:spacing w:before="0" w:after="0"/>
        <w:jc w:val="left"/>
        <w:rPr/>
      </w:pPr>
      <w:r>
        <w:rPr/>
      </w:r>
    </w:p>
    <w:p>
      <w:pPr>
        <w:pStyle w:val="TextBody"/>
        <w:bidi w:val="0"/>
        <w:spacing w:before="0" w:after="0"/>
        <w:jc w:val="both"/>
        <w:rPr>
          <w:rFonts w:ascii="Times New Roman" w:hAnsi="Times New Roman"/>
          <w:i/>
          <w:color w:val="000000"/>
          <w:sz w:val="20"/>
          <w:shd w:fill="FFFFFF" w:val="clear"/>
        </w:rPr>
      </w:pPr>
      <w:r>
        <w:rPr>
          <w:rFonts w:ascii="Times New Roman" w:hAnsi="Times New Roman"/>
          <w:i/>
          <w:color w:val="000000"/>
          <w:sz w:val="20"/>
          <w:shd w:fill="FFFFFF" w:val="clear"/>
        </w:rPr>
        <w:t>You should read the following discussion and analysis of our financial condition and results of operations together with Taboola’s accompanying unaudited consolidated interim financial statements and the related notes included elsewhere in this Quarterly Report on Form 10-Q for the three and nine months ended September 30, 2023 (the “Quarterly Report”) and audited consolidated financial statements and the related notes appearing in our Annual Report on Form 10-K for the year ended December 31, 2022 (the “2022 Form 10-K”) filed with the U.S. Securities and Exchange Commission (the “SEC”) on March 13, 2023. Some of the information contained in this discussion and analysis is set forth in our 2022 Form 10-K, including information with respect to Taboola’s plans and strategy for Taboola’s business, and includes forward-looking statements that involve risks and uncertainties. As a result of many factors, including those factors set forth in Part I, Item 1A “Risk Factors” in our 2022 Form 10-K and “Note Regarding Forward-Looking Statements” in our 2022 Form 10-K and elsewhere herein, Taboola’s actual results could differ materially from the results described in or implied by the forward-looking statements contained in the following discussion and analysis. Throughout this section, unless otherwise noted or the context requires otherwise, “we,” “us,” “our” and the “Company” refer to Taboola and its consolidated subsidiaries, and in references to monetary amounts, “dollars” and “$” refer to U.S. Dollars, and “NIS” refers to New Israeli Shekels.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Overview</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Taboola is a technology company that powers recommendations across the Open Web with an artificial intelligence, or AI-based, algorithmic engine that we have developed since the Company began operations in 2007. Taboola has also expanded more directly into e-Commerce, allowing its partners with digital properties the ability to use its platforms to display advertising suited to the audiences of those partners’ web sites or other digital services.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We think of ourselves as a search engine, but in reverse — instead of expecting people to search for information, we recommend information to people or enable our partners to use our technology. You’ve seen us before: we partner with websites, devices, and mobile apps, which we collectively refer to as digital properties, to recommend editorial content and advertisements on the Open Web, outside of the closed ecosystems of the walled gardens such as Facebook, Google, and Amazon.</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Digital properties use our technology platforms to achieve their business goals, such as driving new audiences to their sites and apps, or increasing engagement on site — and we don’t charge them for these services. We also provide a meaningful monetization opportunity to digital properties by surfacing paid recommendations by Advertisers. Unlike walled gardens, we are a business-to-business, or B2B, company with no competing consumer interests. We only interact with consumers through our partners’ digital properties, hence we do not compete with our partners for user attention. Our motivations are aligned. When our partners win, we win, and we grow together.</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We empower Advertisers to leverage our proprietary AI-powered recommendation platform to reach targeted audiences utilizing effective, native ad formats across digital properties. We generate revenues primarily when people (consumers) click on, purchase from or, in some cases, view the ads that appear within our partners’ digital experiences via our recommendation platform. Advertisers pay us for those clicks, purchases or impressions, and we share the resulting revenue with the digital properties who display those ads and generate those clicks and downstream consumer actions.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Our powerful recommendation platform was built to address a technology challenge of significant complexity: predicting which recommendations users would be interested in, without explicit intent data or social media profiles. Search advertising platforms have access, at a minimum, to users’ search queries which indicate intent, while social media advertising platforms have access to rich personal profiles created by users. In contrast, we base our recommendations on an extensive dataset of context and user behavior derived from the intersection of thousands of digital properties and millions of recommended items, including ads and editorial content.</w:t>
      </w:r>
    </w:p>
    <w:p>
      <w:pPr>
        <w:pStyle w:val="TextBody"/>
        <w:bidi w:val="0"/>
        <w:spacing w:before="0" w:after="0"/>
        <w:jc w:val="both"/>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28</w:t>
      </w:r>
    </w:p>
    <w:p>
      <w:pPr>
        <w:pStyle w:val="HorizontalLine"/>
        <w:bidi w:val="0"/>
        <w:spacing w:before="200" w:after="200"/>
        <w:jc w:val="left"/>
        <w:rPr/>
      </w:pPr>
      <w:r>
        <w:rPr/>
      </w:r>
    </w:p>
    <w:p>
      <w:pPr>
        <w:pStyle w:val="TextBody"/>
        <w:bidi w:val="0"/>
        <w:spacing w:before="200" w:after="200"/>
        <w:jc w:val="left"/>
        <w:rPr/>
      </w:pPr>
      <w:hyperlink w:anchor="Contents">
        <w:r>
          <w:rPr>
            <w:rStyle w:val="InternetLink"/>
            <w:rFonts w:ascii="Times New Roman" w:hAnsi="Times New Roman"/>
            <w:i/>
            <w:color w:val="000000"/>
            <w:sz w:val="16"/>
            <w:shd w:fill="FFFFFF" w:val="clear"/>
          </w:rPr>
          <w:t>Table of Contents</w:t>
        </w:r>
      </w:hyperlink>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Yahoo Partnership</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In November 2022, we announced we had entered into a 30-year exclusive commercial agreement with Yahoo, under which we will power native advertising across all of Yahoo’s digital properties, expanding our native advertising offering. In January 2023 we closed on the various related agreements, including the issuance of 39,525,691 Ordinary shares and 45,198,702 Non-Voting Ordinary shares to Yahoo.</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Key Factors and Trends Affecting our Performance</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We believe that our performance and future success depend on several factors that present significant opportunities for us but also pose risks and challenges, including those discussed below and those referred to in Part II, Item 1A, “</w:t>
      </w:r>
      <w:r>
        <w:rPr>
          <w:rFonts w:ascii="Times New Roman" w:hAnsi="Times New Roman"/>
          <w:i/>
          <w:color w:val="000000"/>
          <w:sz w:val="20"/>
          <w:shd w:fill="FFFFFF" w:val="clear"/>
        </w:rPr>
        <w:t>Risk Factors.”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Business and Macroeconomic Conditions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Global economic and geopolitical conditions have been increasingly volatile due to factors such as the war in Ukraine, inflation, rising interest rates and supply chain disruptions. The economic uncertainty resulting from these factors has negatively impacted advertising demand and our yields. Further, the impacts of inflation, which continue to persist throughout 2023, has increased the costs of equipment and labor needed to operate our business and could continue to adversely affect us in future periods. These factors, among others, including continued supply chain disruptions, make it difficult for us and our Advertisers to accurately forecast and plan future business activities, and could cause our Advertisers to reduce or delay their advertising spending with us, which, in turn, could have an adverse impact on our business, financial condition and results of operations. We are monitoring these macroeconomic conditions closely and may continue to take actions in response to such conditions to the extent they adversely affect our business.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 xml:space="preserve">Cost </w:t>
      </w:r>
      <w:r>
        <w:rPr>
          <w:rFonts w:ascii="Times New Roman" w:hAnsi="Times New Roman"/>
          <w:b/>
          <w:color w:val="202124"/>
          <w:sz w:val="20"/>
          <w:shd w:fill="FFFFFF" w:val="clear"/>
        </w:rPr>
        <w:t>Restructuring Program</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202124"/>
          <w:sz w:val="20"/>
          <w:shd w:fill="FFFFFF" w:val="clear"/>
        </w:rPr>
      </w:pPr>
      <w:r>
        <w:rPr>
          <w:rFonts w:ascii="Times New Roman" w:hAnsi="Times New Roman"/>
          <w:color w:val="202124"/>
          <w:sz w:val="20"/>
          <w:shd w:fill="FFFFFF" w:val="clear"/>
        </w:rPr>
        <w:t>In September 2022, in response to macroeconomic conditions, the Company announced and implemented a cost restructuring program impacting approximately 6% of the Company’s global headcount.</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Maintaining and Growing Our Digital Property Partners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We engage with a diverse network of digital property partners, substantially all of which have contracts with us containing either an evergreen term or an exclusive partnership with us for multi-year terms at inception. These agreements typically require that our code be integrated on the digital property web page because of the nature of providing both editorial and paid recommendations. This means that in the vast majority of our business, we do not bid for ad placements, as traditionally happens in the advertising technology space, but rather see all users that visit the pages on which we appear. Due to our multi-year exclusive contracts and high retention rates, our supply is relatively consistent and predictable. We had approximately 15,000, 16,000 and 9,000 digital property partners in the fourth quarter of 2022, 2021 and 2020, respectively. In 2022, we saw a decrease in the number of long-tail digital property partners on our network, partially due to our own efforts to clean up our network and reduce low performing networks. Despite the decrease in the number of digital property partners on the network, our overall volume of page views went up over 20% from Q4 2021 to Q4 2022, demonstrating that the decrease in the number of digital property partners in our network was driven by smaller digital property partners and more than offset by the addition of larger digital property partners.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Historically, we have had a strong record of growing the revenue generated from our digital property partners. We grow our digital property partner relationships in four ways. First, we grow the revenue from these partnerships by increasing our yield over time. We do this by improving our algorithms, expanding our Advertiser base and increasing the amount of data that helps target our ads. Second, we continuously innovate with new product offerings and features that increase revenue. Third, we innovate by launching new advertising formats. Fourth, we work closely with our digital property partners to find new placements and page types where we can help them drive more revenue.</w:t>
      </w:r>
    </w:p>
    <w:p>
      <w:pPr>
        <w:pStyle w:val="TextBody"/>
        <w:bidi w:val="0"/>
        <w:spacing w:before="0" w:after="0"/>
        <w:jc w:val="left"/>
        <w:rPr>
          <w:color w:val="000000"/>
          <w:shd w:fill="FFFFFF" w:val="clear"/>
        </w:rPr>
      </w:pPr>
      <w:r>
        <w:rPr>
          <w:color w:val="000000"/>
          <w:shd w:fill="FFFFFF" w:val="clear"/>
        </w:rPr>
        <w:t> </w:t>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29</w:t>
      </w:r>
    </w:p>
    <w:p>
      <w:pPr>
        <w:pStyle w:val="HorizontalLine"/>
        <w:bidi w:val="0"/>
        <w:spacing w:before="200" w:after="200"/>
        <w:jc w:val="left"/>
        <w:rPr/>
      </w:pPr>
      <w:r>
        <w:rPr/>
      </w:r>
    </w:p>
    <w:p>
      <w:pPr>
        <w:pStyle w:val="TextBody"/>
        <w:bidi w:val="0"/>
        <w:spacing w:before="200" w:after="200"/>
        <w:jc w:val="left"/>
        <w:rPr/>
      </w:pPr>
      <w:hyperlink w:anchor="Contents">
        <w:r>
          <w:rPr>
            <w:rStyle w:val="InternetLink"/>
            <w:rFonts w:ascii="Times New Roman" w:hAnsi="Times New Roman"/>
            <w:i/>
            <w:color w:val="000000"/>
            <w:sz w:val="16"/>
            <w:shd w:fill="FFFFFF" w:val="clear"/>
          </w:rPr>
          <w:t>Table of Contents</w:t>
        </w:r>
      </w:hyperlink>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For the majority of our digital properties partners, we have two primary models for sharing revenue with digital property partners. The most common model is a straight revenue share model. In this model, we agree to pay our partner a percentage of the revenue that we generate from advertisements placed on their digital properties. The second model includes guarantees. Under this model, we pay our partners the greater of a fixed percentage of the revenue we generate and a guaranteed amount per thousand page views. In the past, we have and may continue to be required to make significant payments under these guarantees.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Growing Our Advertiser Client Base</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We have a large and growing network of Advertisers, across multiple verticals. We had approximately 18,000, 15,000 and 13,000 Advertiser clients working with us directly, or through advertising agencies, worldwide during the fourth quarter of 2022, 2021 and 2020, respectively. A large portion of our revenue comes from Advertisers with specific performance goals, such as obtaining subscribers for email newsletters or acquiring leads for product offerings. These performance Advertisers use our service when they obtain a sufficient return on ad spend to justify their ad spend. We grow the revenue from performance Advertisers in three ways. First, we improve the performance of our network by developing new product features, improving our algorithms and optimizing our supply. Second, we secure increased budgets from existing Advertisers by offering new ad formats and helping them achieve additional goals. Third, we grow our overall Advertiser base by bringing on new Advertisers that we have not worked with previously. In addition to our core performance Advertisers, video brand Advertisers are a small but growing portion of our revenue.</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Improving Network Yield</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One way that we grow our revenue is by increasing the yield on our network, which is a general term for the revenue that we make per advertising placement. Because we generally fill close to 100% of advertising impressions available, yield is generally not affected by changing fill rates, but rather is impacted in four ways. First, we increase our yield by improving the algorithms that select the right ad for a particular user in a particular context. These algorithms are based on Deep Learning technology and are a key competitive advantage. Second, we continuously innovate and develop new product offerings and features for Advertisers, which help increase their success rates on our network and improve yield. Third, as we grow our Advertiser base and mix of Advertisers, including adding Advertisers able to pay higher rates, our yields increase because of increasing competitive pressure in our auction. Finally, we increase our yield by optimizing the way we work with digital properties, including changing formats and placements. Increasing yield drives higher revenues on all digital property partners. Increasing yield also generally increases margins for ex-TAC Gross Profit, a non-GAAP measure, for those digital property partners to whom we are paying guarantees. In periods of slower growth or periods of economic stress advertising demand may decline causing a decrease in yields despite our efforts.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Product and Research and Development</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We view research and development expenditures as investments that help grow our business over time. These investments, which are primarily in the form of employee salaries and related expenditures and hardware infrastructure, can be broken into two categories. This first category includes product innovations that extend the capabilities of our current product offerings and help us expand into completely new markets. This includes heavy investment in AI (specifically Deep Learning) in the form of server purchases and expenses for data scientists. This category of investment is important to maintain the growth of the business but can also generally be adjusted up or down based on management’s perception of the potential value of different investment options. The second category of investments are those that are necessary to maintain our core business. These investments include items such as purchasing servers and other infrastructure necessary to handle increasing loads of recommendations that need to be served, as well as the people necessary to maintain the value delivered to our customers and digital property partners, such as investments in code maintenance for our existing products. This type of investment scales at a slower rate than the growth of our core business.</w:t>
      </w:r>
    </w:p>
    <w:p>
      <w:pPr>
        <w:pStyle w:val="TextBody"/>
        <w:bidi w:val="0"/>
        <w:spacing w:before="0" w:after="0"/>
        <w:jc w:val="left"/>
        <w:rPr>
          <w:color w:val="000000"/>
          <w:shd w:fill="FFFFFF" w:val="clear"/>
        </w:rPr>
      </w:pPr>
      <w:r>
        <w:rPr>
          <w:color w:val="000000"/>
          <w:shd w:fill="FFFFFF" w:val="clear"/>
        </w:rPr>
        <w:t> </w:t>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30</w:t>
      </w:r>
    </w:p>
    <w:p>
      <w:pPr>
        <w:pStyle w:val="HorizontalLine"/>
        <w:bidi w:val="0"/>
        <w:spacing w:before="200" w:after="200"/>
        <w:jc w:val="left"/>
        <w:rPr/>
      </w:pPr>
      <w:r>
        <w:rPr/>
      </w:r>
    </w:p>
    <w:p>
      <w:pPr>
        <w:pStyle w:val="TextBody"/>
        <w:bidi w:val="0"/>
        <w:spacing w:before="200" w:after="200"/>
        <w:jc w:val="left"/>
        <w:rPr/>
      </w:pPr>
      <w:hyperlink w:anchor="Contents">
        <w:r>
          <w:rPr>
            <w:rStyle w:val="InternetLink"/>
            <w:rFonts w:ascii="Times New Roman" w:hAnsi="Times New Roman"/>
            <w:i/>
            <w:color w:val="000000"/>
            <w:sz w:val="16"/>
            <w:shd w:fill="FFFFFF" w:val="clear"/>
          </w:rPr>
          <w:t>Table of Contents</w:t>
        </w:r>
      </w:hyperlink>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Managing Seasonality</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global advertising industry has historically been characterized by seasonal trends that also apply to the digital advertising ecosystem in which we operate. In particular, Advertisers have historically spent relatively more in the fourth quarter of the calendar year to coincide with the year-end holiday shopping season, and relatively less in the first quarter. We expect these seasonality trends to continue, and our operating results will be affected by those trends with revenue and margins being seasonally strongest in the fourth quarter and seasonally weakest in the first quarter.</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Privacy Trends and Government Regulation</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We are subject to U.S. and international laws and regulations regarding privacy, data protection, digital advertising and the collection of user data. In addition, large Internet and technology companies such as Google and Apple are making their own decisions as to how to protect consumer privacy, which impacts the entire digital ecosystem. Because we power editorial recommendations, digital properties typically embed our code directly on their web pages. This makes us less susceptible to impact by many of these regulations and industry trends because we are able to drop first party cookies. In addition, because of this integration on our partners’ pages, we have rich contextual information to use to further refine the targeting of our recommendations.</w:t>
      </w:r>
    </w:p>
    <w:p>
      <w:pPr>
        <w:pStyle w:val="TextBody"/>
        <w:bidi w:val="0"/>
        <w:spacing w:before="0" w:after="0"/>
        <w:jc w:val="left"/>
        <w:rPr>
          <w:color w:val="000000"/>
          <w:shd w:fill="FFFFFF" w:val="clear"/>
        </w:rPr>
      </w:pPr>
      <w:r>
        <w:rPr>
          <w:color w:val="000000"/>
          <w:shd w:fill="FFFFFF" w:val="clear"/>
        </w:rPr>
        <w:t> </w:t>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31</w:t>
      </w:r>
    </w:p>
    <w:p>
      <w:pPr>
        <w:pStyle w:val="HorizontalLine"/>
        <w:bidi w:val="0"/>
        <w:spacing w:before="200" w:after="200"/>
        <w:jc w:val="left"/>
        <w:rPr/>
      </w:pPr>
      <w:r>
        <w:rPr/>
      </w:r>
    </w:p>
    <w:p>
      <w:pPr>
        <w:pStyle w:val="TextBody"/>
        <w:bidi w:val="0"/>
        <w:spacing w:before="200" w:after="200"/>
        <w:jc w:val="left"/>
        <w:rPr/>
      </w:pPr>
      <w:hyperlink w:anchor="Contents">
        <w:r>
          <w:rPr>
            <w:rStyle w:val="InternetLink"/>
            <w:rFonts w:ascii="Times New Roman" w:hAnsi="Times New Roman"/>
            <w:i/>
            <w:color w:val="000000"/>
            <w:sz w:val="16"/>
            <w:shd w:fill="FFFFFF" w:val="clear"/>
          </w:rPr>
          <w:t>Table of Contents</w:t>
        </w:r>
      </w:hyperlink>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Key Financial and Operating Metrics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We regularly monitor a number of metrics in order to measure our current performance and project our future performance. These metrics aid us in developing and refining our growth strategies and making strategic decisions.</w:t>
      </w:r>
    </w:p>
    <w:p>
      <w:pPr>
        <w:pStyle w:val="TextBody"/>
        <w:bidi w:val="0"/>
        <w:spacing w:before="0" w:after="0"/>
        <w:jc w:val="left"/>
        <w:rPr>
          <w:color w:val="000000"/>
          <w:shd w:fill="FFFFFF" w:val="clear"/>
        </w:rPr>
      </w:pPr>
      <w:r>
        <w:rPr>
          <w:color w:val="000000"/>
          <w:shd w:fill="FFFFFF" w:val="clear"/>
        </w:rPr>
        <w:t> </w:t>
      </w:r>
    </w:p>
    <w:tbl>
      <w:tblPr>
        <w:tblW w:w="10205" w:type="dxa"/>
        <w:jc w:val="left"/>
        <w:tblInd w:w="0" w:type="dxa"/>
        <w:tblLayout w:type="fixed"/>
        <w:tblCellMar>
          <w:top w:w="0" w:type="dxa"/>
          <w:left w:w="0" w:type="dxa"/>
          <w:bottom w:w="0" w:type="dxa"/>
          <w:right w:w="0" w:type="dxa"/>
        </w:tblCellMar>
      </w:tblPr>
      <w:tblGrid>
        <w:gridCol w:w="4745"/>
        <w:gridCol w:w="60"/>
        <w:gridCol w:w="140"/>
        <w:gridCol w:w="800"/>
        <w:gridCol w:w="274"/>
        <w:gridCol w:w="60"/>
        <w:gridCol w:w="140"/>
        <w:gridCol w:w="800"/>
        <w:gridCol w:w="274"/>
        <w:gridCol w:w="60"/>
        <w:gridCol w:w="140"/>
        <w:gridCol w:w="980"/>
        <w:gridCol w:w="274"/>
        <w:gridCol w:w="60"/>
        <w:gridCol w:w="140"/>
        <w:gridCol w:w="980"/>
        <w:gridCol w:w="278"/>
      </w:tblGrid>
      <w:tr>
        <w:trPr/>
        <w:tc>
          <w:tcPr>
            <w:tcW w:w="4745" w:type="dxa"/>
            <w:tcBorders/>
            <w:vAlign w:val="bottom"/>
          </w:tcPr>
          <w:p>
            <w:pPr>
              <w:pStyle w:val="TableContents"/>
              <w:bidi w:val="0"/>
              <w:spacing w:before="0" w:after="0"/>
              <w:jc w:val="left"/>
              <w:rPr/>
            </w:pPr>
            <w:r>
              <w:rPr/>
              <w:t>(dollars in thousands, except per share data)</w:t>
            </w:r>
          </w:p>
        </w:tc>
        <w:tc>
          <w:tcPr>
            <w:tcW w:w="60" w:type="dxa"/>
            <w:tcBorders/>
            <w:vAlign w:val="bottom"/>
          </w:tcPr>
          <w:p>
            <w:pPr>
              <w:pStyle w:val="TableContents"/>
              <w:bidi w:val="0"/>
              <w:spacing w:before="0" w:after="283"/>
              <w:jc w:val="left"/>
              <w:rPr/>
            </w:pPr>
            <w:r>
              <w:rPr/>
              <w:t> </w:t>
            </w:r>
          </w:p>
        </w:tc>
        <w:tc>
          <w:tcPr>
            <w:tcW w:w="2214" w:type="dxa"/>
            <w:gridSpan w:val="6"/>
            <w:tcBorders>
              <w:bottom w:val="single" w:sz="12" w:space="0" w:color="000000"/>
            </w:tcBorders>
            <w:tcMar>
              <w:bottom w:w="28" w:type="dxa"/>
            </w:tcMar>
            <w:vAlign w:val="bottom"/>
          </w:tcPr>
          <w:p>
            <w:pPr>
              <w:pStyle w:val="TableContents"/>
              <w:bidi w:val="0"/>
              <w:spacing w:before="0" w:after="0"/>
              <w:jc w:val="center"/>
              <w:rPr>
                <w:b/>
              </w:rPr>
            </w:pPr>
            <w:r>
              <w:rPr>
                <w:b/>
              </w:rPr>
              <w:t>Three months ended</w:t>
            </w:r>
          </w:p>
          <w:p>
            <w:pPr>
              <w:pStyle w:val="TableContents"/>
              <w:bidi w:val="0"/>
              <w:spacing w:before="0" w:after="0"/>
              <w:jc w:val="center"/>
              <w:rPr>
                <w:b/>
              </w:rPr>
            </w:pPr>
            <w:r>
              <w:rPr>
                <w:b/>
              </w:rPr>
              <w:t>September 30,</w:t>
            </w:r>
          </w:p>
        </w:tc>
        <w:tc>
          <w:tcPr>
            <w:tcW w:w="27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74" w:type="dxa"/>
            <w:gridSpan w:val="6"/>
            <w:tcBorders>
              <w:bottom w:val="single" w:sz="12" w:space="0" w:color="000000"/>
            </w:tcBorders>
            <w:tcMar>
              <w:bottom w:w="28" w:type="dxa"/>
            </w:tcMar>
            <w:vAlign w:val="bottom"/>
          </w:tcPr>
          <w:p>
            <w:pPr>
              <w:pStyle w:val="TableContents"/>
              <w:bidi w:val="0"/>
              <w:spacing w:before="0" w:after="0"/>
              <w:jc w:val="center"/>
              <w:rPr>
                <w:b/>
              </w:rPr>
            </w:pPr>
            <w:r>
              <w:rPr>
                <w:b/>
              </w:rPr>
              <w:t>Nine months ended</w:t>
            </w:r>
          </w:p>
          <w:p>
            <w:pPr>
              <w:pStyle w:val="TableContents"/>
              <w:bidi w:val="0"/>
              <w:spacing w:before="0" w:after="0"/>
              <w:jc w:val="center"/>
              <w:rPr>
                <w:b/>
              </w:rPr>
            </w:pPr>
            <w:r>
              <w:rPr>
                <w:b/>
              </w:rPr>
              <w:t>September 30,</w:t>
            </w:r>
          </w:p>
        </w:tc>
        <w:tc>
          <w:tcPr>
            <w:tcW w:w="278" w:type="dxa"/>
            <w:tcBorders/>
            <w:vAlign w:val="bottom"/>
          </w:tcPr>
          <w:p>
            <w:pPr>
              <w:pStyle w:val="TableContents"/>
              <w:bidi w:val="0"/>
              <w:spacing w:before="0" w:after="283"/>
              <w:jc w:val="left"/>
              <w:rPr/>
            </w:pPr>
            <w:r>
              <w:rPr/>
              <w:t> </w:t>
            </w:r>
          </w:p>
        </w:tc>
      </w:tr>
      <w:tr>
        <w:trPr/>
        <w:tc>
          <w:tcPr>
            <w:tcW w:w="47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2023</w:t>
            </w:r>
          </w:p>
        </w:tc>
        <w:tc>
          <w:tcPr>
            <w:tcW w:w="27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2022</w:t>
            </w:r>
          </w:p>
        </w:tc>
        <w:tc>
          <w:tcPr>
            <w:tcW w:w="27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0"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2023</w:t>
            </w:r>
          </w:p>
        </w:tc>
        <w:tc>
          <w:tcPr>
            <w:tcW w:w="27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0"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2022</w:t>
            </w:r>
          </w:p>
        </w:tc>
        <w:tc>
          <w:tcPr>
            <w:tcW w:w="278" w:type="dxa"/>
            <w:tcBorders/>
            <w:vAlign w:val="bottom"/>
          </w:tcPr>
          <w:p>
            <w:pPr>
              <w:pStyle w:val="TableContents"/>
              <w:bidi w:val="0"/>
              <w:spacing w:before="0" w:after="283"/>
              <w:jc w:val="left"/>
              <w:rPr/>
            </w:pPr>
            <w:r>
              <w:rPr/>
              <w:t> </w:t>
            </w:r>
          </w:p>
        </w:tc>
      </w:tr>
      <w:tr>
        <w:trPr/>
        <w:tc>
          <w:tcPr>
            <w:tcW w:w="47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22" w:type="dxa"/>
            <w:gridSpan w:val="14"/>
            <w:tcBorders>
              <w:bottom w:val="single" w:sz="12" w:space="0" w:color="000000"/>
            </w:tcBorders>
            <w:tcMar>
              <w:bottom w:w="28" w:type="dxa"/>
            </w:tcMar>
            <w:vAlign w:val="bottom"/>
          </w:tcPr>
          <w:p>
            <w:pPr>
              <w:pStyle w:val="TableContents"/>
              <w:bidi w:val="0"/>
              <w:spacing w:before="0" w:after="0"/>
              <w:jc w:val="center"/>
              <w:rPr>
                <w:b/>
              </w:rPr>
            </w:pPr>
            <w:r>
              <w:rPr>
                <w:b/>
              </w:rPr>
              <w:t>Unaudited</w:t>
            </w:r>
          </w:p>
        </w:tc>
        <w:tc>
          <w:tcPr>
            <w:tcW w:w="278" w:type="dxa"/>
            <w:tcBorders/>
            <w:vAlign w:val="bottom"/>
          </w:tcPr>
          <w:p>
            <w:pPr>
              <w:pStyle w:val="TableContents"/>
              <w:bidi w:val="0"/>
              <w:spacing w:before="0" w:after="283"/>
              <w:jc w:val="left"/>
              <w:rPr/>
            </w:pPr>
            <w:r>
              <w:rPr/>
              <w:t> </w:t>
            </w:r>
          </w:p>
        </w:tc>
      </w:tr>
      <w:tr>
        <w:trPr/>
        <w:tc>
          <w:tcPr>
            <w:tcW w:w="4745" w:type="dxa"/>
            <w:tcBorders/>
            <w:shd w:fill="CCEEFF" w:val="clear"/>
            <w:vAlign w:val="bottom"/>
          </w:tcPr>
          <w:p>
            <w:pPr>
              <w:pStyle w:val="TableContents"/>
              <w:bidi w:val="0"/>
              <w:spacing w:before="0" w:after="0"/>
              <w:jc w:val="left"/>
              <w:rPr/>
            </w:pPr>
            <w:r>
              <w:rPr/>
              <w:t>Revenues</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pPr>
            <w:r>
              <w:rPr/>
              <w:t>$</w:t>
            </w:r>
          </w:p>
        </w:tc>
        <w:tc>
          <w:tcPr>
            <w:tcW w:w="800" w:type="dxa"/>
            <w:tcBorders/>
            <w:shd w:fill="CCEEFF" w:val="clear"/>
            <w:vAlign w:val="bottom"/>
          </w:tcPr>
          <w:p>
            <w:pPr>
              <w:pStyle w:val="TableContents"/>
              <w:bidi w:val="0"/>
              <w:spacing w:before="0" w:after="0"/>
              <w:jc w:val="right"/>
              <w:rPr/>
            </w:pPr>
            <w:r>
              <w:rPr/>
              <w:t>360,221</w:t>
            </w:r>
          </w:p>
        </w:tc>
        <w:tc>
          <w:tcPr>
            <w:tcW w:w="27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pPr>
            <w:r>
              <w:rPr/>
              <w:t>$</w:t>
            </w:r>
          </w:p>
        </w:tc>
        <w:tc>
          <w:tcPr>
            <w:tcW w:w="800" w:type="dxa"/>
            <w:tcBorders/>
            <w:shd w:fill="CCEEFF" w:val="clear"/>
            <w:vAlign w:val="bottom"/>
          </w:tcPr>
          <w:p>
            <w:pPr>
              <w:pStyle w:val="TableContents"/>
              <w:bidi w:val="0"/>
              <w:spacing w:before="0" w:after="0"/>
              <w:jc w:val="right"/>
              <w:rPr/>
            </w:pPr>
            <w:r>
              <w:rPr/>
              <w:t>332,462</w:t>
            </w:r>
          </w:p>
        </w:tc>
        <w:tc>
          <w:tcPr>
            <w:tcW w:w="27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pPr>
            <w:r>
              <w:rPr/>
              <w:t>$</w:t>
            </w:r>
          </w:p>
        </w:tc>
        <w:tc>
          <w:tcPr>
            <w:tcW w:w="980" w:type="dxa"/>
            <w:tcBorders/>
            <w:shd w:fill="CCEEFF" w:val="clear"/>
            <w:vAlign w:val="bottom"/>
          </w:tcPr>
          <w:p>
            <w:pPr>
              <w:pStyle w:val="TableContents"/>
              <w:bidi w:val="0"/>
              <w:spacing w:before="0" w:after="0"/>
              <w:jc w:val="right"/>
              <w:rPr/>
            </w:pPr>
            <w:r>
              <w:rPr/>
              <w:t>1,019,911</w:t>
            </w:r>
          </w:p>
        </w:tc>
        <w:tc>
          <w:tcPr>
            <w:tcW w:w="27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pPr>
            <w:r>
              <w:rPr/>
              <w:t>$</w:t>
            </w:r>
          </w:p>
        </w:tc>
        <w:tc>
          <w:tcPr>
            <w:tcW w:w="980" w:type="dxa"/>
            <w:tcBorders/>
            <w:shd w:fill="CCEEFF" w:val="clear"/>
            <w:vAlign w:val="bottom"/>
          </w:tcPr>
          <w:p>
            <w:pPr>
              <w:pStyle w:val="TableContents"/>
              <w:bidi w:val="0"/>
              <w:spacing w:before="0" w:after="0"/>
              <w:jc w:val="right"/>
              <w:rPr/>
            </w:pPr>
            <w:r>
              <w:rPr/>
              <w:t>1,029,883</w:t>
            </w:r>
          </w:p>
        </w:tc>
        <w:tc>
          <w:tcPr>
            <w:tcW w:w="278" w:type="dxa"/>
            <w:tcBorders/>
            <w:shd w:fill="CCEEFF" w:val="clear"/>
            <w:vAlign w:val="bottom"/>
          </w:tcPr>
          <w:p>
            <w:pPr>
              <w:pStyle w:val="TableContents"/>
              <w:bidi w:val="0"/>
              <w:spacing w:before="0" w:after="283"/>
              <w:jc w:val="left"/>
              <w:rPr/>
            </w:pPr>
            <w:r>
              <w:rPr/>
              <w:t> </w:t>
            </w:r>
          </w:p>
        </w:tc>
      </w:tr>
      <w:tr>
        <w:trPr/>
        <w:tc>
          <w:tcPr>
            <w:tcW w:w="4745" w:type="dxa"/>
            <w:tcBorders/>
            <w:vAlign w:val="bottom"/>
          </w:tcPr>
          <w:p>
            <w:pPr>
              <w:pStyle w:val="TableContents"/>
              <w:bidi w:val="0"/>
              <w:spacing w:before="0" w:after="0"/>
              <w:jc w:val="left"/>
              <w:rPr/>
            </w:pPr>
            <w:r>
              <w:rPr/>
              <w:t>Gross profit</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0"/>
              <w:jc w:val="left"/>
              <w:rPr/>
            </w:pPr>
            <w:r>
              <w:rPr/>
              <w:t>$</w:t>
            </w:r>
          </w:p>
        </w:tc>
        <w:tc>
          <w:tcPr>
            <w:tcW w:w="800" w:type="dxa"/>
            <w:tcBorders/>
            <w:vAlign w:val="bottom"/>
          </w:tcPr>
          <w:p>
            <w:pPr>
              <w:pStyle w:val="TableContents"/>
              <w:bidi w:val="0"/>
              <w:spacing w:before="0" w:after="0"/>
              <w:jc w:val="right"/>
              <w:rPr/>
            </w:pPr>
            <w:r>
              <w:rPr/>
              <w:t>100,659</w:t>
            </w:r>
          </w:p>
        </w:tc>
        <w:tc>
          <w:tcPr>
            <w:tcW w:w="27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0"/>
              <w:jc w:val="left"/>
              <w:rPr/>
            </w:pPr>
            <w:r>
              <w:rPr/>
              <w:t>$</w:t>
            </w:r>
          </w:p>
        </w:tc>
        <w:tc>
          <w:tcPr>
            <w:tcW w:w="800" w:type="dxa"/>
            <w:tcBorders/>
            <w:vAlign w:val="bottom"/>
          </w:tcPr>
          <w:p>
            <w:pPr>
              <w:pStyle w:val="TableContents"/>
              <w:bidi w:val="0"/>
              <w:spacing w:before="0" w:after="0"/>
              <w:jc w:val="right"/>
              <w:rPr/>
            </w:pPr>
            <w:r>
              <w:rPr/>
              <w:t>102,688</w:t>
            </w:r>
          </w:p>
        </w:tc>
        <w:tc>
          <w:tcPr>
            <w:tcW w:w="27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0"/>
              <w:jc w:val="left"/>
              <w:rPr/>
            </w:pPr>
            <w:r>
              <w:rPr/>
              <w:t>$</w:t>
            </w:r>
          </w:p>
        </w:tc>
        <w:tc>
          <w:tcPr>
            <w:tcW w:w="980" w:type="dxa"/>
            <w:tcBorders/>
            <w:vAlign w:val="bottom"/>
          </w:tcPr>
          <w:p>
            <w:pPr>
              <w:pStyle w:val="TableContents"/>
              <w:bidi w:val="0"/>
              <w:spacing w:before="0" w:after="0"/>
              <w:jc w:val="right"/>
              <w:rPr/>
            </w:pPr>
            <w:r>
              <w:rPr/>
              <w:t>287,308</w:t>
            </w:r>
          </w:p>
        </w:tc>
        <w:tc>
          <w:tcPr>
            <w:tcW w:w="27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0"/>
              <w:jc w:val="left"/>
              <w:rPr/>
            </w:pPr>
            <w:r>
              <w:rPr/>
              <w:t>$</w:t>
            </w:r>
          </w:p>
        </w:tc>
        <w:tc>
          <w:tcPr>
            <w:tcW w:w="980" w:type="dxa"/>
            <w:tcBorders/>
            <w:vAlign w:val="bottom"/>
          </w:tcPr>
          <w:p>
            <w:pPr>
              <w:pStyle w:val="TableContents"/>
              <w:bidi w:val="0"/>
              <w:spacing w:before="0" w:after="0"/>
              <w:jc w:val="right"/>
              <w:rPr/>
            </w:pPr>
            <w:r>
              <w:rPr/>
              <w:t>331,079</w:t>
            </w:r>
          </w:p>
        </w:tc>
        <w:tc>
          <w:tcPr>
            <w:tcW w:w="278" w:type="dxa"/>
            <w:tcBorders/>
            <w:vAlign w:val="bottom"/>
          </w:tcPr>
          <w:p>
            <w:pPr>
              <w:pStyle w:val="TableContents"/>
              <w:bidi w:val="0"/>
              <w:spacing w:before="0" w:after="283"/>
              <w:jc w:val="left"/>
              <w:rPr/>
            </w:pPr>
            <w:r>
              <w:rPr/>
              <w:t> </w:t>
            </w:r>
          </w:p>
        </w:tc>
      </w:tr>
      <w:tr>
        <w:trPr/>
        <w:tc>
          <w:tcPr>
            <w:tcW w:w="4745" w:type="dxa"/>
            <w:tcBorders/>
            <w:shd w:fill="CCEEFF" w:val="clear"/>
            <w:vAlign w:val="bottom"/>
          </w:tcPr>
          <w:p>
            <w:pPr>
              <w:pStyle w:val="TableContents"/>
              <w:bidi w:val="0"/>
              <w:spacing w:before="0" w:after="0"/>
              <w:jc w:val="left"/>
              <w:rPr/>
            </w:pPr>
            <w:r>
              <w:rPr/>
              <w:t>Net loss</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pPr>
            <w:r>
              <w:rPr/>
              <w:t>$</w:t>
            </w:r>
          </w:p>
        </w:tc>
        <w:tc>
          <w:tcPr>
            <w:tcW w:w="800" w:type="dxa"/>
            <w:tcBorders/>
            <w:shd w:fill="CCEEFF" w:val="clear"/>
            <w:vAlign w:val="bottom"/>
          </w:tcPr>
          <w:p>
            <w:pPr>
              <w:pStyle w:val="TableContents"/>
              <w:bidi w:val="0"/>
              <w:spacing w:before="0" w:after="0"/>
              <w:jc w:val="right"/>
              <w:rPr/>
            </w:pPr>
            <w:r>
              <w:rPr/>
              <w:t>(23,136</w:t>
            </w:r>
          </w:p>
        </w:tc>
        <w:tc>
          <w:tcPr>
            <w:tcW w:w="274" w:type="dxa"/>
            <w:tcBorders/>
            <w:shd w:fill="CCEEFF" w:val="clear"/>
            <w:vAlign w:val="bottom"/>
          </w:tcPr>
          <w:p>
            <w:pPr>
              <w:pStyle w:val="TableContents"/>
              <w:bidi w:val="0"/>
              <w:spacing w:before="0" w:after="0"/>
              <w:jc w:val="left"/>
              <w:rPr/>
            </w:pPr>
            <w:r>
              <w:rPr/>
              <w:t>)</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pPr>
            <w:r>
              <w:rPr/>
              <w:t>$</w:t>
            </w:r>
          </w:p>
        </w:tc>
        <w:tc>
          <w:tcPr>
            <w:tcW w:w="800" w:type="dxa"/>
            <w:tcBorders/>
            <w:shd w:fill="CCEEFF" w:val="clear"/>
            <w:vAlign w:val="bottom"/>
          </w:tcPr>
          <w:p>
            <w:pPr>
              <w:pStyle w:val="TableContents"/>
              <w:bidi w:val="0"/>
              <w:spacing w:before="0" w:after="0"/>
              <w:jc w:val="right"/>
              <w:rPr/>
            </w:pPr>
            <w:r>
              <w:rPr/>
              <w:t>(26,026</w:t>
            </w:r>
          </w:p>
        </w:tc>
        <w:tc>
          <w:tcPr>
            <w:tcW w:w="274" w:type="dxa"/>
            <w:tcBorders/>
            <w:shd w:fill="CCEEFF" w:val="clear"/>
            <w:vAlign w:val="bottom"/>
          </w:tcPr>
          <w:p>
            <w:pPr>
              <w:pStyle w:val="TableContents"/>
              <w:bidi w:val="0"/>
              <w:spacing w:before="0" w:after="0"/>
              <w:jc w:val="left"/>
              <w:rPr/>
            </w:pPr>
            <w:r>
              <w:rPr/>
              <w:t>)</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pPr>
            <w:r>
              <w:rPr/>
              <w:t>$</w:t>
            </w:r>
          </w:p>
        </w:tc>
        <w:tc>
          <w:tcPr>
            <w:tcW w:w="980" w:type="dxa"/>
            <w:tcBorders/>
            <w:shd w:fill="CCEEFF" w:val="clear"/>
            <w:vAlign w:val="bottom"/>
          </w:tcPr>
          <w:p>
            <w:pPr>
              <w:pStyle w:val="TableContents"/>
              <w:bidi w:val="0"/>
              <w:spacing w:before="0" w:after="0"/>
              <w:jc w:val="right"/>
              <w:rPr/>
            </w:pPr>
            <w:r>
              <w:rPr/>
              <w:t>(85,763</w:t>
            </w:r>
          </w:p>
        </w:tc>
        <w:tc>
          <w:tcPr>
            <w:tcW w:w="274" w:type="dxa"/>
            <w:tcBorders/>
            <w:shd w:fill="CCEEFF" w:val="clear"/>
            <w:vAlign w:val="bottom"/>
          </w:tcPr>
          <w:p>
            <w:pPr>
              <w:pStyle w:val="TableContents"/>
              <w:bidi w:val="0"/>
              <w:spacing w:before="0" w:after="0"/>
              <w:jc w:val="left"/>
              <w:rPr/>
            </w:pPr>
            <w:r>
              <w:rPr/>
              <w:t>)</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pPr>
            <w:r>
              <w:rPr/>
              <w:t>$</w:t>
            </w:r>
          </w:p>
        </w:tc>
        <w:tc>
          <w:tcPr>
            <w:tcW w:w="980" w:type="dxa"/>
            <w:tcBorders/>
            <w:shd w:fill="CCEEFF" w:val="clear"/>
            <w:vAlign w:val="bottom"/>
          </w:tcPr>
          <w:p>
            <w:pPr>
              <w:pStyle w:val="TableContents"/>
              <w:bidi w:val="0"/>
              <w:spacing w:before="0" w:after="0"/>
              <w:jc w:val="right"/>
              <w:rPr/>
            </w:pPr>
            <w:r>
              <w:rPr/>
              <w:t>(27,159</w:t>
            </w:r>
          </w:p>
        </w:tc>
        <w:tc>
          <w:tcPr>
            <w:tcW w:w="278" w:type="dxa"/>
            <w:tcBorders/>
            <w:shd w:fill="CCEEFF" w:val="clear"/>
            <w:vAlign w:val="bottom"/>
          </w:tcPr>
          <w:p>
            <w:pPr>
              <w:pStyle w:val="TableContents"/>
              <w:bidi w:val="0"/>
              <w:spacing w:before="0" w:after="0"/>
              <w:jc w:val="left"/>
              <w:rPr/>
            </w:pPr>
            <w:r>
              <w:rPr/>
              <w:t>)</w:t>
            </w:r>
          </w:p>
        </w:tc>
      </w:tr>
      <w:tr>
        <w:trPr/>
        <w:tc>
          <w:tcPr>
            <w:tcW w:w="4745" w:type="dxa"/>
            <w:tcBorders/>
            <w:vAlign w:val="bottom"/>
          </w:tcPr>
          <w:p>
            <w:pPr>
              <w:pStyle w:val="TableContents"/>
              <w:bidi w:val="0"/>
              <w:spacing w:before="0" w:after="0"/>
              <w:jc w:val="left"/>
              <w:rPr/>
            </w:pPr>
            <w:r>
              <w:rPr/>
              <w:t>EPS diluted (1)</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0"/>
              <w:jc w:val="left"/>
              <w:rPr/>
            </w:pPr>
            <w:r>
              <w:rPr/>
              <w:t>$</w:t>
            </w:r>
          </w:p>
        </w:tc>
        <w:tc>
          <w:tcPr>
            <w:tcW w:w="800" w:type="dxa"/>
            <w:tcBorders/>
            <w:vAlign w:val="bottom"/>
          </w:tcPr>
          <w:p>
            <w:pPr>
              <w:pStyle w:val="TableContents"/>
              <w:bidi w:val="0"/>
              <w:spacing w:before="0" w:after="0"/>
              <w:jc w:val="right"/>
              <w:rPr/>
            </w:pPr>
            <w:r>
              <w:rPr/>
              <w:t>(0.07</w:t>
            </w:r>
          </w:p>
        </w:tc>
        <w:tc>
          <w:tcPr>
            <w:tcW w:w="274" w:type="dxa"/>
            <w:tcBorders/>
            <w:vAlign w:val="bottom"/>
          </w:tcPr>
          <w:p>
            <w:pPr>
              <w:pStyle w:val="TableContents"/>
              <w:bidi w:val="0"/>
              <w:spacing w:before="0" w:after="0"/>
              <w:jc w:val="left"/>
              <w:rPr/>
            </w:pPr>
            <w:r>
              <w:rPr/>
              <w:t>)</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0"/>
              <w:jc w:val="left"/>
              <w:rPr/>
            </w:pPr>
            <w:r>
              <w:rPr/>
              <w:t>$</w:t>
            </w:r>
          </w:p>
        </w:tc>
        <w:tc>
          <w:tcPr>
            <w:tcW w:w="800" w:type="dxa"/>
            <w:tcBorders/>
            <w:vAlign w:val="bottom"/>
          </w:tcPr>
          <w:p>
            <w:pPr>
              <w:pStyle w:val="TableContents"/>
              <w:bidi w:val="0"/>
              <w:spacing w:before="0" w:after="0"/>
              <w:jc w:val="right"/>
              <w:rPr/>
            </w:pPr>
            <w:r>
              <w:rPr/>
              <w:t>(0.10</w:t>
            </w:r>
          </w:p>
        </w:tc>
        <w:tc>
          <w:tcPr>
            <w:tcW w:w="274" w:type="dxa"/>
            <w:tcBorders/>
            <w:vAlign w:val="bottom"/>
          </w:tcPr>
          <w:p>
            <w:pPr>
              <w:pStyle w:val="TableContents"/>
              <w:bidi w:val="0"/>
              <w:spacing w:before="0" w:after="0"/>
              <w:jc w:val="left"/>
              <w:rPr/>
            </w:pPr>
            <w:r>
              <w:rPr/>
              <w:t>)</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0"/>
              <w:jc w:val="left"/>
              <w:rPr/>
            </w:pPr>
            <w:r>
              <w:rPr/>
              <w:t>$</w:t>
            </w:r>
          </w:p>
        </w:tc>
        <w:tc>
          <w:tcPr>
            <w:tcW w:w="980" w:type="dxa"/>
            <w:tcBorders/>
            <w:vAlign w:val="bottom"/>
          </w:tcPr>
          <w:p>
            <w:pPr>
              <w:pStyle w:val="TableContents"/>
              <w:bidi w:val="0"/>
              <w:spacing w:before="0" w:after="0"/>
              <w:jc w:val="right"/>
              <w:rPr/>
            </w:pPr>
            <w:r>
              <w:rPr/>
              <w:t>(0.25</w:t>
            </w:r>
          </w:p>
        </w:tc>
        <w:tc>
          <w:tcPr>
            <w:tcW w:w="274" w:type="dxa"/>
            <w:tcBorders/>
            <w:vAlign w:val="bottom"/>
          </w:tcPr>
          <w:p>
            <w:pPr>
              <w:pStyle w:val="TableContents"/>
              <w:bidi w:val="0"/>
              <w:spacing w:before="0" w:after="0"/>
              <w:jc w:val="left"/>
              <w:rPr/>
            </w:pPr>
            <w:r>
              <w:rPr/>
              <w:t>)</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0"/>
              <w:jc w:val="left"/>
              <w:rPr/>
            </w:pPr>
            <w:r>
              <w:rPr/>
              <w:t>$</w:t>
            </w:r>
          </w:p>
        </w:tc>
        <w:tc>
          <w:tcPr>
            <w:tcW w:w="980" w:type="dxa"/>
            <w:tcBorders/>
            <w:vAlign w:val="bottom"/>
          </w:tcPr>
          <w:p>
            <w:pPr>
              <w:pStyle w:val="TableContents"/>
              <w:bidi w:val="0"/>
              <w:spacing w:before="0" w:after="0"/>
              <w:jc w:val="right"/>
              <w:rPr/>
            </w:pPr>
            <w:r>
              <w:rPr/>
              <w:t>(0.11</w:t>
            </w:r>
          </w:p>
        </w:tc>
        <w:tc>
          <w:tcPr>
            <w:tcW w:w="278" w:type="dxa"/>
            <w:tcBorders/>
            <w:vAlign w:val="bottom"/>
          </w:tcPr>
          <w:p>
            <w:pPr>
              <w:pStyle w:val="TableContents"/>
              <w:bidi w:val="0"/>
              <w:spacing w:before="0" w:after="0"/>
              <w:jc w:val="left"/>
              <w:rPr/>
            </w:pPr>
            <w:r>
              <w:rPr/>
              <w:t>)</w:t>
            </w:r>
          </w:p>
        </w:tc>
      </w:tr>
      <w:tr>
        <w:trPr/>
        <w:tc>
          <w:tcPr>
            <w:tcW w:w="4745" w:type="dxa"/>
            <w:tcBorders/>
            <w:shd w:fill="CCEEFF" w:val="clear"/>
            <w:vAlign w:val="bottom"/>
          </w:tcPr>
          <w:p>
            <w:pPr>
              <w:pStyle w:val="TableContents"/>
              <w:bidi w:val="0"/>
              <w:spacing w:before="0" w:after="0"/>
              <w:jc w:val="left"/>
              <w:rPr/>
            </w:pPr>
            <w:r>
              <w:rPr/>
              <w:t>Ratio of net loss to gross profit</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0"/>
              <w:jc w:val="right"/>
              <w:rPr/>
            </w:pPr>
            <w:r>
              <w:rPr/>
              <w:t>(23.0</w:t>
            </w:r>
          </w:p>
        </w:tc>
        <w:tc>
          <w:tcPr>
            <w:tcW w:w="274" w:type="dxa"/>
            <w:tcBorders/>
            <w:shd w:fill="CCEEFF" w:val="clear"/>
            <w:vAlign w:val="bottom"/>
          </w:tcPr>
          <w:p>
            <w:pPr>
              <w:pStyle w:val="TableContents"/>
              <w:bidi w:val="0"/>
              <w:spacing w:before="0" w:after="0"/>
              <w:jc w:val="left"/>
              <w:rPr/>
            </w:pPr>
            <w:r>
              <w:rPr/>
              <w:t>%)</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0"/>
              <w:jc w:val="right"/>
              <w:rPr/>
            </w:pPr>
            <w:r>
              <w:rPr/>
              <w:t>(25.3</w:t>
            </w:r>
          </w:p>
        </w:tc>
        <w:tc>
          <w:tcPr>
            <w:tcW w:w="274" w:type="dxa"/>
            <w:tcBorders/>
            <w:shd w:fill="CCEEFF" w:val="clear"/>
            <w:vAlign w:val="bottom"/>
          </w:tcPr>
          <w:p>
            <w:pPr>
              <w:pStyle w:val="TableContents"/>
              <w:bidi w:val="0"/>
              <w:spacing w:before="0" w:after="0"/>
              <w:jc w:val="left"/>
              <w:rPr/>
            </w:pPr>
            <w:r>
              <w:rPr/>
              <w:t>%)</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0"/>
              <w:jc w:val="right"/>
              <w:rPr/>
            </w:pPr>
            <w:r>
              <w:rPr/>
              <w:t>(29.9</w:t>
            </w:r>
          </w:p>
        </w:tc>
        <w:tc>
          <w:tcPr>
            <w:tcW w:w="274" w:type="dxa"/>
            <w:tcBorders/>
            <w:shd w:fill="CCEEFF" w:val="clear"/>
            <w:vAlign w:val="bottom"/>
          </w:tcPr>
          <w:p>
            <w:pPr>
              <w:pStyle w:val="TableContents"/>
              <w:bidi w:val="0"/>
              <w:spacing w:before="0" w:after="0"/>
              <w:jc w:val="left"/>
              <w:rPr/>
            </w:pPr>
            <w:r>
              <w:rPr/>
              <w:t>%)</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0"/>
              <w:jc w:val="right"/>
              <w:rPr/>
            </w:pPr>
            <w:r>
              <w:rPr/>
              <w:t>(8.2</w:t>
            </w:r>
          </w:p>
        </w:tc>
        <w:tc>
          <w:tcPr>
            <w:tcW w:w="278" w:type="dxa"/>
            <w:tcBorders/>
            <w:shd w:fill="CCEEFF" w:val="clear"/>
            <w:vAlign w:val="bottom"/>
          </w:tcPr>
          <w:p>
            <w:pPr>
              <w:pStyle w:val="TableContents"/>
              <w:bidi w:val="0"/>
              <w:spacing w:before="0" w:after="0"/>
              <w:jc w:val="left"/>
              <w:rPr/>
            </w:pPr>
            <w:r>
              <w:rPr/>
              <w:t>%)</w:t>
            </w:r>
          </w:p>
        </w:tc>
      </w:tr>
      <w:tr>
        <w:trPr/>
        <w:tc>
          <w:tcPr>
            <w:tcW w:w="4745" w:type="dxa"/>
            <w:tcBorders/>
            <w:vAlign w:val="bottom"/>
          </w:tcPr>
          <w:p>
            <w:pPr>
              <w:pStyle w:val="TableContents"/>
              <w:bidi w:val="0"/>
              <w:spacing w:before="0" w:after="0"/>
              <w:jc w:val="left"/>
              <w:rPr/>
            </w:pPr>
            <w:r>
              <w:rPr/>
              <w:t>Cash flow provided by operating activities</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0"/>
              <w:jc w:val="left"/>
              <w:rPr/>
            </w:pPr>
            <w:r>
              <w:rPr/>
              <w:t>$</w:t>
            </w:r>
          </w:p>
        </w:tc>
        <w:tc>
          <w:tcPr>
            <w:tcW w:w="800" w:type="dxa"/>
            <w:tcBorders/>
            <w:vAlign w:val="bottom"/>
          </w:tcPr>
          <w:p>
            <w:pPr>
              <w:pStyle w:val="TableContents"/>
              <w:bidi w:val="0"/>
              <w:spacing w:before="0" w:after="0"/>
              <w:jc w:val="right"/>
              <w:rPr/>
            </w:pPr>
            <w:r>
              <w:rPr/>
              <w:t>32,459</w:t>
            </w:r>
          </w:p>
        </w:tc>
        <w:tc>
          <w:tcPr>
            <w:tcW w:w="27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0"/>
              <w:jc w:val="left"/>
              <w:rPr/>
            </w:pPr>
            <w:r>
              <w:rPr/>
              <w:t>$</w:t>
            </w:r>
          </w:p>
        </w:tc>
        <w:tc>
          <w:tcPr>
            <w:tcW w:w="800" w:type="dxa"/>
            <w:tcBorders/>
            <w:vAlign w:val="bottom"/>
          </w:tcPr>
          <w:p>
            <w:pPr>
              <w:pStyle w:val="TableContents"/>
              <w:bidi w:val="0"/>
              <w:spacing w:before="0" w:after="0"/>
              <w:jc w:val="right"/>
              <w:rPr/>
            </w:pPr>
            <w:r>
              <w:rPr/>
              <w:t>23,219</w:t>
            </w:r>
          </w:p>
        </w:tc>
        <w:tc>
          <w:tcPr>
            <w:tcW w:w="27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0"/>
              <w:jc w:val="left"/>
              <w:rPr/>
            </w:pPr>
            <w:r>
              <w:rPr/>
              <w:t>$</w:t>
            </w:r>
          </w:p>
        </w:tc>
        <w:tc>
          <w:tcPr>
            <w:tcW w:w="980" w:type="dxa"/>
            <w:tcBorders/>
            <w:vAlign w:val="bottom"/>
          </w:tcPr>
          <w:p>
            <w:pPr>
              <w:pStyle w:val="TableContents"/>
              <w:bidi w:val="0"/>
              <w:spacing w:before="0" w:after="0"/>
              <w:jc w:val="right"/>
              <w:rPr/>
            </w:pPr>
            <w:r>
              <w:rPr/>
              <w:t>61,581</w:t>
            </w:r>
          </w:p>
        </w:tc>
        <w:tc>
          <w:tcPr>
            <w:tcW w:w="27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0"/>
              <w:jc w:val="left"/>
              <w:rPr/>
            </w:pPr>
            <w:r>
              <w:rPr/>
              <w:t>$</w:t>
            </w:r>
          </w:p>
        </w:tc>
        <w:tc>
          <w:tcPr>
            <w:tcW w:w="980" w:type="dxa"/>
            <w:tcBorders/>
            <w:vAlign w:val="bottom"/>
          </w:tcPr>
          <w:p>
            <w:pPr>
              <w:pStyle w:val="TableContents"/>
              <w:bidi w:val="0"/>
              <w:spacing w:before="0" w:after="0"/>
              <w:jc w:val="right"/>
              <w:rPr/>
            </w:pPr>
            <w:r>
              <w:rPr/>
              <w:t>33,426</w:t>
            </w:r>
          </w:p>
        </w:tc>
        <w:tc>
          <w:tcPr>
            <w:tcW w:w="278" w:type="dxa"/>
            <w:tcBorders/>
            <w:vAlign w:val="bottom"/>
          </w:tcPr>
          <w:p>
            <w:pPr>
              <w:pStyle w:val="TableContents"/>
              <w:bidi w:val="0"/>
              <w:spacing w:before="0" w:after="283"/>
              <w:jc w:val="left"/>
              <w:rPr/>
            </w:pPr>
            <w:r>
              <w:rPr/>
              <w:t> </w:t>
            </w:r>
          </w:p>
        </w:tc>
      </w:tr>
      <w:tr>
        <w:trPr/>
        <w:tc>
          <w:tcPr>
            <w:tcW w:w="4745" w:type="dxa"/>
            <w:tcBorders/>
            <w:shd w:fill="CCEEFF" w:val="clear"/>
            <w:vAlign w:val="bottom"/>
          </w:tcPr>
          <w:p>
            <w:pPr>
              <w:pStyle w:val="TableContents"/>
              <w:bidi w:val="0"/>
              <w:spacing w:before="0" w:after="0"/>
              <w:jc w:val="left"/>
              <w:rPr/>
            </w:pPr>
            <w:r>
              <w:rPr/>
              <w:t>Cash, cash equivalents, short-term deposits and investments</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pPr>
            <w:r>
              <w:rPr/>
              <w:t>$</w:t>
            </w:r>
          </w:p>
        </w:tc>
        <w:tc>
          <w:tcPr>
            <w:tcW w:w="800" w:type="dxa"/>
            <w:tcBorders/>
            <w:shd w:fill="CCEEFF" w:val="clear"/>
            <w:vAlign w:val="bottom"/>
          </w:tcPr>
          <w:p>
            <w:pPr>
              <w:pStyle w:val="TableContents"/>
              <w:bidi w:val="0"/>
              <w:spacing w:before="0" w:after="0"/>
              <w:jc w:val="right"/>
              <w:rPr/>
            </w:pPr>
            <w:r>
              <w:rPr/>
              <w:t>250,726</w:t>
            </w:r>
          </w:p>
        </w:tc>
        <w:tc>
          <w:tcPr>
            <w:tcW w:w="27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pPr>
            <w:r>
              <w:rPr/>
              <w:t>$</w:t>
            </w:r>
          </w:p>
        </w:tc>
        <w:tc>
          <w:tcPr>
            <w:tcW w:w="800" w:type="dxa"/>
            <w:tcBorders/>
            <w:shd w:fill="CCEEFF" w:val="clear"/>
            <w:vAlign w:val="bottom"/>
          </w:tcPr>
          <w:p>
            <w:pPr>
              <w:pStyle w:val="TableContents"/>
              <w:bidi w:val="0"/>
              <w:spacing w:before="0" w:after="0"/>
              <w:jc w:val="right"/>
              <w:rPr/>
            </w:pPr>
            <w:r>
              <w:rPr/>
              <w:t>308,317</w:t>
            </w:r>
          </w:p>
        </w:tc>
        <w:tc>
          <w:tcPr>
            <w:tcW w:w="27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pPr>
            <w:r>
              <w:rPr/>
              <w:t>$</w:t>
            </w:r>
          </w:p>
        </w:tc>
        <w:tc>
          <w:tcPr>
            <w:tcW w:w="980" w:type="dxa"/>
            <w:tcBorders/>
            <w:shd w:fill="CCEEFF" w:val="clear"/>
            <w:vAlign w:val="bottom"/>
          </w:tcPr>
          <w:p>
            <w:pPr>
              <w:pStyle w:val="TableContents"/>
              <w:bidi w:val="0"/>
              <w:spacing w:before="0" w:after="0"/>
              <w:jc w:val="right"/>
              <w:rPr/>
            </w:pPr>
            <w:r>
              <w:rPr/>
              <w:t>250,726</w:t>
            </w:r>
          </w:p>
        </w:tc>
        <w:tc>
          <w:tcPr>
            <w:tcW w:w="27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pPr>
            <w:r>
              <w:rPr/>
              <w:t>$</w:t>
            </w:r>
          </w:p>
        </w:tc>
        <w:tc>
          <w:tcPr>
            <w:tcW w:w="980" w:type="dxa"/>
            <w:tcBorders/>
            <w:shd w:fill="CCEEFF" w:val="clear"/>
            <w:vAlign w:val="bottom"/>
          </w:tcPr>
          <w:p>
            <w:pPr>
              <w:pStyle w:val="TableContents"/>
              <w:bidi w:val="0"/>
              <w:spacing w:before="0" w:after="0"/>
              <w:jc w:val="right"/>
              <w:rPr/>
            </w:pPr>
            <w:r>
              <w:rPr/>
              <w:t>308,317</w:t>
            </w:r>
          </w:p>
        </w:tc>
        <w:tc>
          <w:tcPr>
            <w:tcW w:w="278" w:type="dxa"/>
            <w:tcBorders/>
            <w:shd w:fill="CCEEFF" w:val="clear"/>
            <w:vAlign w:val="bottom"/>
          </w:tcPr>
          <w:p>
            <w:pPr>
              <w:pStyle w:val="TableContents"/>
              <w:bidi w:val="0"/>
              <w:spacing w:before="0" w:after="283"/>
              <w:jc w:val="left"/>
              <w:rPr/>
            </w:pPr>
            <w:r>
              <w:rPr/>
              <w:t> </w:t>
            </w:r>
          </w:p>
        </w:tc>
      </w:tr>
      <w:tr>
        <w:trPr/>
        <w:tc>
          <w:tcPr>
            <w:tcW w:w="47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27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27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27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278" w:type="dxa"/>
            <w:tcBorders/>
            <w:vAlign w:val="bottom"/>
          </w:tcPr>
          <w:p>
            <w:pPr>
              <w:pStyle w:val="TableContents"/>
              <w:bidi w:val="0"/>
              <w:spacing w:before="0" w:after="283"/>
              <w:jc w:val="left"/>
              <w:rPr/>
            </w:pPr>
            <w:r>
              <w:rPr/>
              <w:t> </w:t>
            </w:r>
          </w:p>
        </w:tc>
      </w:tr>
      <w:tr>
        <w:trPr/>
        <w:tc>
          <w:tcPr>
            <w:tcW w:w="4745" w:type="dxa"/>
            <w:tcBorders/>
            <w:shd w:fill="CCEEFF" w:val="clear"/>
            <w:vAlign w:val="bottom"/>
          </w:tcPr>
          <w:p>
            <w:pPr>
              <w:pStyle w:val="TableContents"/>
              <w:bidi w:val="0"/>
              <w:spacing w:before="0" w:after="0"/>
              <w:jc w:val="left"/>
              <w:rPr>
                <w:b/>
              </w:rPr>
            </w:pPr>
            <w:r>
              <w:rPr>
                <w:b/>
              </w:rPr>
              <w:t>Non-GAAP Financial Data (2)</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27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27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 </w:t>
            </w:r>
          </w:p>
        </w:tc>
        <w:tc>
          <w:tcPr>
            <w:tcW w:w="27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 </w:t>
            </w:r>
          </w:p>
        </w:tc>
        <w:tc>
          <w:tcPr>
            <w:tcW w:w="278" w:type="dxa"/>
            <w:tcBorders/>
            <w:shd w:fill="CCEEFF" w:val="clear"/>
            <w:vAlign w:val="bottom"/>
          </w:tcPr>
          <w:p>
            <w:pPr>
              <w:pStyle w:val="TableContents"/>
              <w:bidi w:val="0"/>
              <w:spacing w:before="0" w:after="283"/>
              <w:jc w:val="left"/>
              <w:rPr/>
            </w:pPr>
            <w:r>
              <w:rPr/>
              <w:t> </w:t>
            </w:r>
          </w:p>
        </w:tc>
      </w:tr>
      <w:tr>
        <w:trPr/>
        <w:tc>
          <w:tcPr>
            <w:tcW w:w="4745" w:type="dxa"/>
            <w:tcBorders/>
            <w:vAlign w:val="bottom"/>
          </w:tcPr>
          <w:p>
            <w:pPr>
              <w:pStyle w:val="TableContents"/>
              <w:bidi w:val="0"/>
              <w:spacing w:before="0" w:after="0"/>
              <w:jc w:val="left"/>
              <w:rPr/>
            </w:pPr>
            <w:r>
              <w:rPr/>
              <w:t>ex-TAC Gross Profit</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0"/>
              <w:jc w:val="left"/>
              <w:rPr/>
            </w:pPr>
            <w:r>
              <w:rPr/>
              <w:t>$</w:t>
            </w:r>
          </w:p>
        </w:tc>
        <w:tc>
          <w:tcPr>
            <w:tcW w:w="800" w:type="dxa"/>
            <w:tcBorders/>
            <w:vAlign w:val="bottom"/>
          </w:tcPr>
          <w:p>
            <w:pPr>
              <w:pStyle w:val="TableContents"/>
              <w:bidi w:val="0"/>
              <w:spacing w:before="0" w:after="0"/>
              <w:jc w:val="right"/>
              <w:rPr/>
            </w:pPr>
            <w:r>
              <w:rPr/>
              <w:t>128,435</w:t>
            </w:r>
          </w:p>
        </w:tc>
        <w:tc>
          <w:tcPr>
            <w:tcW w:w="27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0"/>
              <w:jc w:val="left"/>
              <w:rPr/>
            </w:pPr>
            <w:r>
              <w:rPr/>
              <w:t>$</w:t>
            </w:r>
          </w:p>
        </w:tc>
        <w:tc>
          <w:tcPr>
            <w:tcW w:w="800" w:type="dxa"/>
            <w:tcBorders/>
            <w:vAlign w:val="bottom"/>
          </w:tcPr>
          <w:p>
            <w:pPr>
              <w:pStyle w:val="TableContents"/>
              <w:bidi w:val="0"/>
              <w:spacing w:before="0" w:after="0"/>
              <w:jc w:val="right"/>
              <w:rPr/>
            </w:pPr>
            <w:r>
              <w:rPr/>
              <w:t>129,337</w:t>
            </w:r>
          </w:p>
        </w:tc>
        <w:tc>
          <w:tcPr>
            <w:tcW w:w="27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0"/>
              <w:jc w:val="left"/>
              <w:rPr/>
            </w:pPr>
            <w:r>
              <w:rPr/>
              <w:t>$</w:t>
            </w:r>
          </w:p>
        </w:tc>
        <w:tc>
          <w:tcPr>
            <w:tcW w:w="980" w:type="dxa"/>
            <w:tcBorders/>
            <w:vAlign w:val="bottom"/>
          </w:tcPr>
          <w:p>
            <w:pPr>
              <w:pStyle w:val="TableContents"/>
              <w:bidi w:val="0"/>
              <w:spacing w:before="0" w:after="0"/>
              <w:jc w:val="right"/>
              <w:rPr/>
            </w:pPr>
            <w:r>
              <w:rPr/>
              <w:t>367,309</w:t>
            </w:r>
          </w:p>
        </w:tc>
        <w:tc>
          <w:tcPr>
            <w:tcW w:w="27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0"/>
              <w:jc w:val="left"/>
              <w:rPr/>
            </w:pPr>
            <w:r>
              <w:rPr/>
              <w:t>$</w:t>
            </w:r>
          </w:p>
        </w:tc>
        <w:tc>
          <w:tcPr>
            <w:tcW w:w="980" w:type="dxa"/>
            <w:tcBorders/>
            <w:vAlign w:val="bottom"/>
          </w:tcPr>
          <w:p>
            <w:pPr>
              <w:pStyle w:val="TableContents"/>
              <w:bidi w:val="0"/>
              <w:spacing w:before="0" w:after="0"/>
              <w:jc w:val="right"/>
              <w:rPr/>
            </w:pPr>
            <w:r>
              <w:rPr/>
              <w:t>410,774</w:t>
            </w:r>
          </w:p>
        </w:tc>
        <w:tc>
          <w:tcPr>
            <w:tcW w:w="278" w:type="dxa"/>
            <w:tcBorders/>
            <w:vAlign w:val="bottom"/>
          </w:tcPr>
          <w:p>
            <w:pPr>
              <w:pStyle w:val="TableContents"/>
              <w:bidi w:val="0"/>
              <w:spacing w:before="0" w:after="283"/>
              <w:jc w:val="left"/>
              <w:rPr/>
            </w:pPr>
            <w:r>
              <w:rPr/>
              <w:t> </w:t>
            </w:r>
          </w:p>
        </w:tc>
      </w:tr>
      <w:tr>
        <w:trPr/>
        <w:tc>
          <w:tcPr>
            <w:tcW w:w="4745" w:type="dxa"/>
            <w:tcBorders/>
            <w:shd w:fill="CCEEFF" w:val="clear"/>
            <w:vAlign w:val="bottom"/>
          </w:tcPr>
          <w:p>
            <w:pPr>
              <w:pStyle w:val="TableContents"/>
              <w:bidi w:val="0"/>
              <w:spacing w:before="0" w:after="0"/>
              <w:jc w:val="left"/>
              <w:rPr/>
            </w:pPr>
            <w:r>
              <w:rPr/>
              <w:t>Adjusted EBITDA</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pPr>
            <w:r>
              <w:rPr/>
              <w:t>$</w:t>
            </w:r>
          </w:p>
        </w:tc>
        <w:tc>
          <w:tcPr>
            <w:tcW w:w="800" w:type="dxa"/>
            <w:tcBorders/>
            <w:shd w:fill="CCEEFF" w:val="clear"/>
            <w:vAlign w:val="bottom"/>
          </w:tcPr>
          <w:p>
            <w:pPr>
              <w:pStyle w:val="TableContents"/>
              <w:bidi w:val="0"/>
              <w:spacing w:before="0" w:after="0"/>
              <w:jc w:val="right"/>
              <w:rPr/>
            </w:pPr>
            <w:r>
              <w:rPr/>
              <w:t>22,833</w:t>
            </w:r>
          </w:p>
        </w:tc>
        <w:tc>
          <w:tcPr>
            <w:tcW w:w="27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pPr>
            <w:r>
              <w:rPr/>
              <w:t>$</w:t>
            </w:r>
          </w:p>
        </w:tc>
        <w:tc>
          <w:tcPr>
            <w:tcW w:w="800" w:type="dxa"/>
            <w:tcBorders/>
            <w:shd w:fill="CCEEFF" w:val="clear"/>
            <w:vAlign w:val="bottom"/>
          </w:tcPr>
          <w:p>
            <w:pPr>
              <w:pStyle w:val="TableContents"/>
              <w:bidi w:val="0"/>
              <w:spacing w:before="0" w:after="0"/>
              <w:jc w:val="right"/>
              <w:rPr/>
            </w:pPr>
            <w:r>
              <w:rPr/>
              <w:t>24,157</w:t>
            </w:r>
          </w:p>
        </w:tc>
        <w:tc>
          <w:tcPr>
            <w:tcW w:w="27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pPr>
            <w:r>
              <w:rPr/>
              <w:t>$</w:t>
            </w:r>
          </w:p>
        </w:tc>
        <w:tc>
          <w:tcPr>
            <w:tcW w:w="980" w:type="dxa"/>
            <w:tcBorders/>
            <w:shd w:fill="CCEEFF" w:val="clear"/>
            <w:vAlign w:val="bottom"/>
          </w:tcPr>
          <w:p>
            <w:pPr>
              <w:pStyle w:val="TableContents"/>
              <w:bidi w:val="0"/>
              <w:spacing w:before="0" w:after="0"/>
              <w:jc w:val="right"/>
              <w:rPr/>
            </w:pPr>
            <w:r>
              <w:rPr/>
              <w:t>48,616</w:t>
            </w:r>
          </w:p>
        </w:tc>
        <w:tc>
          <w:tcPr>
            <w:tcW w:w="27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pPr>
            <w:r>
              <w:rPr/>
              <w:t>$</w:t>
            </w:r>
          </w:p>
        </w:tc>
        <w:tc>
          <w:tcPr>
            <w:tcW w:w="980" w:type="dxa"/>
            <w:tcBorders/>
            <w:shd w:fill="CCEEFF" w:val="clear"/>
            <w:vAlign w:val="bottom"/>
          </w:tcPr>
          <w:p>
            <w:pPr>
              <w:pStyle w:val="TableContents"/>
              <w:bidi w:val="0"/>
              <w:spacing w:before="0" w:after="0"/>
              <w:jc w:val="right"/>
              <w:rPr/>
            </w:pPr>
            <w:r>
              <w:rPr/>
              <w:t>93,181</w:t>
            </w:r>
          </w:p>
        </w:tc>
        <w:tc>
          <w:tcPr>
            <w:tcW w:w="278" w:type="dxa"/>
            <w:tcBorders/>
            <w:shd w:fill="CCEEFF" w:val="clear"/>
            <w:vAlign w:val="bottom"/>
          </w:tcPr>
          <w:p>
            <w:pPr>
              <w:pStyle w:val="TableContents"/>
              <w:bidi w:val="0"/>
              <w:spacing w:before="0" w:after="283"/>
              <w:jc w:val="left"/>
              <w:rPr/>
            </w:pPr>
            <w:r>
              <w:rPr/>
              <w:t> </w:t>
            </w:r>
          </w:p>
        </w:tc>
      </w:tr>
      <w:tr>
        <w:trPr/>
        <w:tc>
          <w:tcPr>
            <w:tcW w:w="4745" w:type="dxa"/>
            <w:tcBorders/>
            <w:vAlign w:val="bottom"/>
          </w:tcPr>
          <w:p>
            <w:pPr>
              <w:pStyle w:val="TableContents"/>
              <w:bidi w:val="0"/>
              <w:spacing w:before="0" w:after="0"/>
              <w:jc w:val="left"/>
              <w:rPr/>
            </w:pPr>
            <w:r>
              <w:rPr/>
              <w:t>Non-GAAP Net Income</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0"/>
              <w:jc w:val="left"/>
              <w:rPr/>
            </w:pPr>
            <w:r>
              <w:rPr/>
              <w:t>$</w:t>
            </w:r>
          </w:p>
        </w:tc>
        <w:tc>
          <w:tcPr>
            <w:tcW w:w="800" w:type="dxa"/>
            <w:tcBorders/>
            <w:vAlign w:val="bottom"/>
          </w:tcPr>
          <w:p>
            <w:pPr>
              <w:pStyle w:val="TableContents"/>
              <w:bidi w:val="0"/>
              <w:spacing w:before="0" w:after="0"/>
              <w:jc w:val="right"/>
              <w:rPr/>
            </w:pPr>
            <w:r>
              <w:rPr/>
              <w:t>6,704</w:t>
            </w:r>
          </w:p>
        </w:tc>
        <w:tc>
          <w:tcPr>
            <w:tcW w:w="27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0"/>
              <w:jc w:val="left"/>
              <w:rPr/>
            </w:pPr>
            <w:r>
              <w:rPr/>
              <w:t>$</w:t>
            </w:r>
          </w:p>
        </w:tc>
        <w:tc>
          <w:tcPr>
            <w:tcW w:w="800" w:type="dxa"/>
            <w:tcBorders/>
            <w:vAlign w:val="bottom"/>
          </w:tcPr>
          <w:p>
            <w:pPr>
              <w:pStyle w:val="TableContents"/>
              <w:bidi w:val="0"/>
              <w:spacing w:before="0" w:after="0"/>
              <w:jc w:val="right"/>
              <w:rPr/>
            </w:pPr>
            <w:r>
              <w:rPr/>
              <w:t>10,215</w:t>
            </w:r>
          </w:p>
        </w:tc>
        <w:tc>
          <w:tcPr>
            <w:tcW w:w="27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0"/>
              <w:jc w:val="left"/>
              <w:rPr/>
            </w:pPr>
            <w:r>
              <w:rPr/>
              <w:t>$</w:t>
            </w:r>
          </w:p>
        </w:tc>
        <w:tc>
          <w:tcPr>
            <w:tcW w:w="980" w:type="dxa"/>
            <w:tcBorders/>
            <w:vAlign w:val="bottom"/>
          </w:tcPr>
          <w:p>
            <w:pPr>
              <w:pStyle w:val="TableContents"/>
              <w:bidi w:val="0"/>
              <w:spacing w:before="0" w:after="0"/>
              <w:jc w:val="right"/>
              <w:rPr/>
            </w:pPr>
            <w:r>
              <w:rPr/>
              <w:t>1,197</w:t>
            </w:r>
          </w:p>
        </w:tc>
        <w:tc>
          <w:tcPr>
            <w:tcW w:w="27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0"/>
              <w:jc w:val="left"/>
              <w:rPr/>
            </w:pPr>
            <w:r>
              <w:rPr/>
              <w:t>$</w:t>
            </w:r>
          </w:p>
        </w:tc>
        <w:tc>
          <w:tcPr>
            <w:tcW w:w="980" w:type="dxa"/>
            <w:tcBorders/>
            <w:vAlign w:val="bottom"/>
          </w:tcPr>
          <w:p>
            <w:pPr>
              <w:pStyle w:val="TableContents"/>
              <w:bidi w:val="0"/>
              <w:spacing w:before="0" w:after="0"/>
              <w:jc w:val="right"/>
              <w:rPr/>
            </w:pPr>
            <w:r>
              <w:rPr/>
              <w:t>48,104</w:t>
            </w:r>
          </w:p>
        </w:tc>
        <w:tc>
          <w:tcPr>
            <w:tcW w:w="278" w:type="dxa"/>
            <w:tcBorders/>
            <w:vAlign w:val="bottom"/>
          </w:tcPr>
          <w:p>
            <w:pPr>
              <w:pStyle w:val="TableContents"/>
              <w:bidi w:val="0"/>
              <w:spacing w:before="0" w:after="283"/>
              <w:jc w:val="left"/>
              <w:rPr/>
            </w:pPr>
            <w:r>
              <w:rPr/>
              <w:t> </w:t>
            </w:r>
          </w:p>
        </w:tc>
      </w:tr>
      <w:tr>
        <w:trPr/>
        <w:tc>
          <w:tcPr>
            <w:tcW w:w="4745" w:type="dxa"/>
            <w:tcBorders/>
            <w:shd w:fill="CCEEFF" w:val="clear"/>
            <w:vAlign w:val="bottom"/>
          </w:tcPr>
          <w:p>
            <w:pPr>
              <w:pStyle w:val="TableContents"/>
              <w:bidi w:val="0"/>
              <w:spacing w:before="0" w:after="0"/>
              <w:jc w:val="left"/>
              <w:rPr/>
            </w:pPr>
            <w:r>
              <w:rPr/>
              <w:t>Ratio of Adjusted EBITDA to ex-TAC Gross Profit</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0"/>
              <w:jc w:val="right"/>
              <w:rPr/>
            </w:pPr>
            <w:r>
              <w:rPr/>
              <w:t>17.8</w:t>
            </w:r>
          </w:p>
        </w:tc>
        <w:tc>
          <w:tcPr>
            <w:tcW w:w="274" w:type="dxa"/>
            <w:tcBorders/>
            <w:shd w:fill="CCEEFF" w:val="clear"/>
            <w:vAlign w:val="bottom"/>
          </w:tcPr>
          <w:p>
            <w:pPr>
              <w:pStyle w:val="TableContents"/>
              <w:bidi w:val="0"/>
              <w:spacing w:before="0" w:after="0"/>
              <w:jc w:val="left"/>
              <w:rPr/>
            </w:pPr>
            <w:r>
              <w:rPr/>
              <w:t>%</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0"/>
              <w:jc w:val="right"/>
              <w:rPr/>
            </w:pPr>
            <w:r>
              <w:rPr/>
              <w:t>18.7</w:t>
            </w:r>
          </w:p>
        </w:tc>
        <w:tc>
          <w:tcPr>
            <w:tcW w:w="274" w:type="dxa"/>
            <w:tcBorders/>
            <w:shd w:fill="CCEEFF" w:val="clear"/>
            <w:vAlign w:val="bottom"/>
          </w:tcPr>
          <w:p>
            <w:pPr>
              <w:pStyle w:val="TableContents"/>
              <w:bidi w:val="0"/>
              <w:spacing w:before="0" w:after="0"/>
              <w:jc w:val="left"/>
              <w:rPr/>
            </w:pPr>
            <w:r>
              <w:rPr/>
              <w:t>%</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0"/>
              <w:jc w:val="right"/>
              <w:rPr/>
            </w:pPr>
            <w:r>
              <w:rPr/>
              <w:t>13.2</w:t>
            </w:r>
          </w:p>
        </w:tc>
        <w:tc>
          <w:tcPr>
            <w:tcW w:w="274" w:type="dxa"/>
            <w:tcBorders/>
            <w:shd w:fill="CCEEFF" w:val="clear"/>
            <w:vAlign w:val="bottom"/>
          </w:tcPr>
          <w:p>
            <w:pPr>
              <w:pStyle w:val="TableContents"/>
              <w:bidi w:val="0"/>
              <w:spacing w:before="0" w:after="0"/>
              <w:jc w:val="left"/>
              <w:rPr/>
            </w:pPr>
            <w:r>
              <w:rPr/>
              <w:t>%</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0"/>
              <w:jc w:val="right"/>
              <w:rPr/>
            </w:pPr>
            <w:r>
              <w:rPr/>
              <w:t>22.7</w:t>
            </w:r>
          </w:p>
        </w:tc>
        <w:tc>
          <w:tcPr>
            <w:tcW w:w="278" w:type="dxa"/>
            <w:tcBorders/>
            <w:shd w:fill="CCEEFF" w:val="clear"/>
            <w:vAlign w:val="bottom"/>
          </w:tcPr>
          <w:p>
            <w:pPr>
              <w:pStyle w:val="TableContents"/>
              <w:bidi w:val="0"/>
              <w:spacing w:before="0" w:after="0"/>
              <w:jc w:val="left"/>
              <w:rPr/>
            </w:pPr>
            <w:r>
              <w:rPr/>
              <w:t>%</w:t>
            </w:r>
          </w:p>
        </w:tc>
      </w:tr>
      <w:tr>
        <w:trPr/>
        <w:tc>
          <w:tcPr>
            <w:tcW w:w="4745" w:type="dxa"/>
            <w:tcBorders/>
            <w:vAlign w:val="bottom"/>
          </w:tcPr>
          <w:p>
            <w:pPr>
              <w:pStyle w:val="TableContents"/>
              <w:bidi w:val="0"/>
              <w:spacing w:before="0" w:after="0"/>
              <w:jc w:val="left"/>
              <w:rPr/>
            </w:pPr>
            <w:r>
              <w:rPr/>
              <w:t>Free Cash Flow</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0"/>
              <w:jc w:val="left"/>
              <w:rPr/>
            </w:pPr>
            <w:r>
              <w:rPr/>
              <w:t>$</w:t>
            </w:r>
          </w:p>
        </w:tc>
        <w:tc>
          <w:tcPr>
            <w:tcW w:w="800" w:type="dxa"/>
            <w:tcBorders/>
            <w:vAlign w:val="bottom"/>
          </w:tcPr>
          <w:p>
            <w:pPr>
              <w:pStyle w:val="TableContents"/>
              <w:bidi w:val="0"/>
              <w:spacing w:before="0" w:after="0"/>
              <w:jc w:val="right"/>
              <w:rPr/>
            </w:pPr>
            <w:r>
              <w:rPr/>
              <w:t>22,798</w:t>
            </w:r>
          </w:p>
        </w:tc>
        <w:tc>
          <w:tcPr>
            <w:tcW w:w="27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0"/>
              <w:jc w:val="left"/>
              <w:rPr/>
            </w:pPr>
            <w:r>
              <w:rPr/>
              <w:t>$</w:t>
            </w:r>
          </w:p>
        </w:tc>
        <w:tc>
          <w:tcPr>
            <w:tcW w:w="800" w:type="dxa"/>
            <w:tcBorders/>
            <w:vAlign w:val="bottom"/>
          </w:tcPr>
          <w:p>
            <w:pPr>
              <w:pStyle w:val="TableContents"/>
              <w:bidi w:val="0"/>
              <w:spacing w:before="0" w:after="0"/>
              <w:jc w:val="right"/>
              <w:rPr/>
            </w:pPr>
            <w:r>
              <w:rPr/>
              <w:t>10,995</w:t>
            </w:r>
          </w:p>
        </w:tc>
        <w:tc>
          <w:tcPr>
            <w:tcW w:w="27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0"/>
              <w:jc w:val="left"/>
              <w:rPr/>
            </w:pPr>
            <w:r>
              <w:rPr/>
              <w:t>$</w:t>
            </w:r>
          </w:p>
        </w:tc>
        <w:tc>
          <w:tcPr>
            <w:tcW w:w="980" w:type="dxa"/>
            <w:tcBorders/>
            <w:vAlign w:val="bottom"/>
          </w:tcPr>
          <w:p>
            <w:pPr>
              <w:pStyle w:val="TableContents"/>
              <w:bidi w:val="0"/>
              <w:spacing w:before="0" w:after="0"/>
              <w:jc w:val="right"/>
              <w:rPr/>
            </w:pPr>
            <w:r>
              <w:rPr/>
              <w:t>41,742</w:t>
            </w:r>
          </w:p>
        </w:tc>
        <w:tc>
          <w:tcPr>
            <w:tcW w:w="27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0"/>
              <w:jc w:val="left"/>
              <w:rPr/>
            </w:pPr>
            <w:r>
              <w:rPr/>
              <w:t>$</w:t>
            </w:r>
          </w:p>
        </w:tc>
        <w:tc>
          <w:tcPr>
            <w:tcW w:w="980" w:type="dxa"/>
            <w:tcBorders/>
            <w:vAlign w:val="bottom"/>
          </w:tcPr>
          <w:p>
            <w:pPr>
              <w:pStyle w:val="TableContents"/>
              <w:bidi w:val="0"/>
              <w:spacing w:before="0" w:after="0"/>
              <w:jc w:val="right"/>
              <w:rPr/>
            </w:pPr>
            <w:r>
              <w:rPr/>
              <w:t>4,950</w:t>
            </w:r>
          </w:p>
        </w:tc>
        <w:tc>
          <w:tcPr>
            <w:tcW w:w="278" w:type="dxa"/>
            <w:tcBorders/>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HorizontalLine"/>
        <w:bidi w:val="0"/>
        <w:jc w:val="left"/>
        <w:rPr/>
      </w:pPr>
      <w:r>
        <w:rPr/>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pPr>
            <w:r>
              <w:rPr/>
            </w:r>
          </w:p>
        </w:tc>
        <w:tc>
          <w:tcPr>
            <w:tcW w:w="230" w:type="dxa"/>
            <w:tcBorders/>
            <w:vAlign w:val="center"/>
          </w:tcPr>
          <w:p>
            <w:pPr>
              <w:pStyle w:val="TableContents"/>
              <w:bidi w:val="0"/>
              <w:spacing w:before="0" w:after="283"/>
              <w:jc w:val="left"/>
              <w:rPr/>
            </w:pPr>
            <w:r>
              <w:rPr/>
              <w:t>(1)</w:t>
            </w:r>
          </w:p>
        </w:tc>
        <w:tc>
          <w:tcPr>
            <w:tcW w:w="9937" w:type="dxa"/>
            <w:tcBorders/>
            <w:vAlign w:val="center"/>
          </w:tcPr>
          <w:p>
            <w:pPr>
              <w:pStyle w:val="TableContents"/>
              <w:bidi w:val="0"/>
              <w:spacing w:before="0" w:after="0"/>
              <w:jc w:val="both"/>
              <w:rPr/>
            </w:pPr>
            <w:r>
              <w:rPr/>
              <w:t>The weighted-average shares used in the computation of the diluted EPS for the three months ended September 30, 2023 and 2022 are 352,591,043 and 255,160,597, respectively, and for the nine months ended September 30, 2023 and 2022 are 345,631,022 and 251,865,831, respectively. The weighted-average shares for the three and nine months ended September 30, 2023 include 45,198,702 Non-Voting Ordinary shares.</w:t>
            </w:r>
          </w:p>
        </w:tc>
      </w:tr>
    </w:tbl>
    <w:tbl>
      <w:tblPr>
        <w:tblW w:w="10205" w:type="dxa"/>
        <w:jc w:val="left"/>
        <w:tblInd w:w="0" w:type="dxa"/>
        <w:tblLayout w:type="fixed"/>
        <w:tblCellMar>
          <w:top w:w="0" w:type="dxa"/>
          <w:left w:w="0" w:type="dxa"/>
          <w:bottom w:w="0" w:type="dxa"/>
          <w:right w:w="0" w:type="dxa"/>
        </w:tblCellMar>
      </w:tblPr>
      <w:tblGrid>
        <w:gridCol w:w="38"/>
        <w:gridCol w:w="288"/>
        <w:gridCol w:w="9879"/>
      </w:tblGrid>
      <w:tr>
        <w:trPr/>
        <w:tc>
          <w:tcPr>
            <w:tcW w:w="38" w:type="dxa"/>
            <w:tcBorders/>
            <w:vAlign w:val="center"/>
          </w:tcPr>
          <w:p>
            <w:pPr>
              <w:pStyle w:val="TableContents"/>
              <w:bidi w:val="0"/>
              <w:spacing w:before="0" w:after="283"/>
              <w:jc w:val="left"/>
              <w:rPr/>
            </w:pPr>
            <w:r>
              <w:rPr/>
            </w:r>
          </w:p>
        </w:tc>
        <w:tc>
          <w:tcPr>
            <w:tcW w:w="288" w:type="dxa"/>
            <w:tcBorders/>
            <w:vAlign w:val="center"/>
          </w:tcPr>
          <w:p>
            <w:pPr>
              <w:pStyle w:val="TableContents"/>
              <w:bidi w:val="0"/>
              <w:spacing w:before="0" w:after="283"/>
              <w:jc w:val="left"/>
              <w:rPr/>
            </w:pPr>
            <w:r>
              <w:rPr/>
              <w:t>(2)</w:t>
            </w:r>
          </w:p>
        </w:tc>
        <w:tc>
          <w:tcPr>
            <w:tcW w:w="9879" w:type="dxa"/>
            <w:tcBorders/>
            <w:vAlign w:val="center"/>
          </w:tcPr>
          <w:p>
            <w:pPr>
              <w:pStyle w:val="TableContents"/>
              <w:bidi w:val="0"/>
              <w:spacing w:before="0" w:after="0"/>
              <w:jc w:val="both"/>
              <w:rPr/>
            </w:pPr>
            <w:r>
              <w:rPr/>
              <w:t>Refer to “Non-GAAP Financial Measures” below for an explanation and reconciliation to GAAP metrics.</w:t>
            </w:r>
          </w:p>
        </w:tc>
      </w:tr>
    </w:tbl>
    <w:p>
      <w:pPr>
        <w:pStyle w:val="TextBody"/>
        <w:bidi w:val="0"/>
        <w:spacing w:before="0" w:after="0"/>
        <w:jc w:val="left"/>
        <w:rPr/>
      </w:pPr>
      <w:r>
        <w:rPr/>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Revenues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All of our Revenues are generated from Advertisers with whom we enter into commercial arrangements, defining the terms of our service and the basis for our charges. Generally, our charges are based on a CPC, CPM or CPA basis. For campaigns priced on a CPC basis, we recognize these Revenues when a user clicks on an advertisement we deliver. For campaigns priced on a CPM basis, we recognize these Revenues when an advertisement is displayed. For campaigns priced on a performance-based CPA basis, the Company generates revenue when a user makes an acquisition. Certain revenues are recognized net of traffic acquisition costs.</w:t>
      </w:r>
    </w:p>
    <w:p>
      <w:pPr>
        <w:pStyle w:val="TextBody"/>
        <w:bidi w:val="0"/>
        <w:spacing w:before="0" w:after="0"/>
        <w:jc w:val="left"/>
        <w:rPr>
          <w:color w:val="000000"/>
          <w:shd w:fill="FFFFFF" w:val="clear"/>
        </w:rPr>
      </w:pPr>
      <w:r>
        <w:rPr>
          <w:color w:val="000000"/>
          <w:shd w:fill="FFFFFF" w:val="clear"/>
        </w:rPr>
        <w:t> </w:t>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32</w:t>
      </w:r>
    </w:p>
    <w:p>
      <w:pPr>
        <w:pStyle w:val="HorizontalLine"/>
        <w:bidi w:val="0"/>
        <w:spacing w:before="200" w:after="200"/>
        <w:jc w:val="left"/>
        <w:rPr/>
      </w:pPr>
      <w:r>
        <w:rPr/>
      </w:r>
    </w:p>
    <w:p>
      <w:pPr>
        <w:pStyle w:val="TextBody"/>
        <w:bidi w:val="0"/>
        <w:spacing w:before="200" w:after="200"/>
        <w:jc w:val="left"/>
        <w:rPr/>
      </w:pPr>
      <w:hyperlink w:anchor="Contents">
        <w:r>
          <w:rPr>
            <w:rStyle w:val="InternetLink"/>
            <w:rFonts w:ascii="Times New Roman" w:hAnsi="Times New Roman"/>
            <w:i/>
            <w:color w:val="000000"/>
            <w:sz w:val="16"/>
            <w:shd w:fill="FFFFFF" w:val="clear"/>
          </w:rPr>
          <w:t>Table of Contents</w:t>
        </w:r>
      </w:hyperlink>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Gross profit</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Gross profit is calculated as presented on our consolidated statements of income (loss) for the periods presented.</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Net income (loss)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Net income (loss) is calculated as presented on our consolidated statement of income (loss) for the periods presented.</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EPS diluted</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EPS diluted is calculated as presented on our consolidated statements of income (loss) for the periods presented.</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Ratio of net income (loss) to gross profit</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We calculate Ratio of net income (loss) to gross profit as net income (loss) divided by gross profit.</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Cash flow provided by operating activities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Net cash provided by our operating activities is calculated as presented on our consolidated statements of cash flows for the periods presented.</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Cash, cash equivalents, short-term investments and deposits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20" w:hanging="0"/>
        <w:jc w:val="both"/>
        <w:rPr>
          <w:rFonts w:ascii="Times New Roman" w:hAnsi="Times New Roman"/>
          <w:color w:val="000000"/>
          <w:sz w:val="20"/>
          <w:shd w:fill="FFFFFF" w:val="clear"/>
        </w:rPr>
      </w:pPr>
      <w:r>
        <w:rPr>
          <w:rFonts w:ascii="Times New Roman" w:hAnsi="Times New Roman"/>
          <w:color w:val="000000"/>
          <w:sz w:val="20"/>
          <w:shd w:fill="FFFFFF" w:val="clear"/>
        </w:rPr>
        <w:t>Cash equivalents are short-term highly liquid marketable securities investments, money market account and funds, commercial paper and corporate debt securities, with an original maturity of three months or less at the date of purchase and are readily convertible to known amounts of cash.</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Short-term investments consisted of marketable securities classified as available-for-sale at the time of purchase.</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Short-term deposits are bank deposits with maturities of more than three months but less than one year.</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ex-TAC Gross Profit</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We calculate ex-TAC Gross Profit as gross profit adjusted to add back other cost of revenues.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Adjusted EBITDA</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We calculate Adjusted EBITDA as net income (loss) before finance income (expenses), net, income tax expenses, depreciation and amortization, further adjusted to exclude share-based compensation including Connexity holdback compensation expenses and other noteworthy income and expense items such as M&amp;A costs and restructuring costs which may vary from period-to-period.</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Non-GAAP Net Income (Loss)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We calculate Non-GAAP Net Income (Loss) as net income (loss) adjusted to exclude revaluation of our Warrants liability, share-based compensation expense including Connexity holdback compensation expenses, M&amp;A costs and amortization of acquired intangible assets, foreign currency exchange rate gains (losses), net, and other noteworthy items that change from period to period and related tax effects.</w:t>
      </w:r>
    </w:p>
    <w:p>
      <w:pPr>
        <w:pStyle w:val="TextBody"/>
        <w:bidi w:val="0"/>
        <w:spacing w:before="0" w:after="0"/>
        <w:jc w:val="left"/>
        <w:rPr>
          <w:color w:val="000000"/>
          <w:shd w:fill="FFFFFF" w:val="clear"/>
        </w:rPr>
      </w:pPr>
      <w:r>
        <w:rPr>
          <w:color w:val="000000"/>
          <w:shd w:fill="FFFFFF" w:val="clear"/>
        </w:rPr>
        <w:t> </w:t>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33</w:t>
      </w:r>
    </w:p>
    <w:p>
      <w:pPr>
        <w:pStyle w:val="HorizontalLine"/>
        <w:bidi w:val="0"/>
        <w:spacing w:before="200" w:after="200"/>
        <w:jc w:val="left"/>
        <w:rPr/>
      </w:pPr>
      <w:r>
        <w:rPr/>
      </w:r>
    </w:p>
    <w:p>
      <w:pPr>
        <w:pStyle w:val="TextBody"/>
        <w:bidi w:val="0"/>
        <w:spacing w:before="200" w:after="200"/>
        <w:jc w:val="left"/>
        <w:rPr/>
      </w:pPr>
      <w:hyperlink w:anchor="Contents">
        <w:r>
          <w:rPr>
            <w:rStyle w:val="InternetLink"/>
            <w:rFonts w:ascii="Times New Roman" w:hAnsi="Times New Roman"/>
            <w:i/>
            <w:color w:val="000000"/>
            <w:sz w:val="16"/>
            <w:shd w:fill="FFFFFF" w:val="clear"/>
          </w:rPr>
          <w:t>Table of Contents</w:t>
        </w:r>
      </w:hyperlink>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Ratio of Adjusted EBITDA to ex-TAC Gross Profit</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We calculate Ratio of Adjusted EBITDA to ex-TAC Gross Profit as Adjusted EBITDA divided by ex-TAC Gross Profit.</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color w:val="000000"/>
          <w:shd w:fill="FFFFFF" w:val="clear"/>
        </w:rPr>
      </w:pPr>
      <w:r>
        <w:rPr>
          <w:color w:val="000000"/>
          <w:shd w:fill="FFFFFF" w:val="clear"/>
        </w:rPr>
        <w:t> </w:t>
      </w:r>
      <w:r>
        <w:rPr>
          <w:rFonts w:ascii="Times New Roman" w:hAnsi="Times New Roman"/>
          <w:b/>
          <w:i/>
          <w:color w:val="000000"/>
          <w:sz w:val="20"/>
          <w:shd w:fill="FFFFFF" w:val="clear"/>
        </w:rPr>
        <w:t>Free Cash Flow</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20" w:hanging="0"/>
        <w:jc w:val="both"/>
        <w:rPr>
          <w:rFonts w:ascii="Times New Roman" w:hAnsi="Times New Roman"/>
          <w:color w:val="000000"/>
          <w:sz w:val="20"/>
          <w:shd w:fill="FFFFFF" w:val="clear"/>
        </w:rPr>
      </w:pPr>
      <w:r>
        <w:rPr>
          <w:rFonts w:ascii="Times New Roman" w:hAnsi="Times New Roman"/>
          <w:color w:val="000000"/>
          <w:sz w:val="20"/>
          <w:shd w:fill="FFFFFF" w:val="clear"/>
        </w:rPr>
        <w:t>We calculate Free Cash Flow as Net cash flow provided by operating activities minus purchases of property, plant and equipment, including capitalized internal-use software. We expect our Free Cash Flow to fluctuate in future periods as we invest in our business to support our plans for growth.</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Non-GAAP Financial Measures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We are presenting the following non-GAAP financial measures because we use them, among other things, as key measures for our management and board of directors in managing our business and evaluating our performance. We believe they also provide supplemental information that may be useful to investors. The use of these measures may improve comparability of our results over time by adjusting for items that may vary from period to period or not be representative of our ongoing operations.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These non-GAAP measures are subject to significant limitations, including those identified below. In addition, other companies may use similarly titled measures but calculate them differently, which reduces their usefulness as comparative measures. Non-GAAP measures should not be considered in isolation or as a substitute for GAAP measures. They should be considered as supplementary information in addition to GAAP operating, liquidity and financial performance measures.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ex-TAC Gross Profit</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We believe that ex-TAC Gross Profit is useful because traffic acquisition cost, or TAC, is what we must pay digital properties to obtain the right to place advertising on their websites, and we believe focusing on ex-TAC Gross Profit better reflects the profitability of our business. We use ex-TAC Gross Profit as part of our business planning, for example in decisions regarding the timing and amount of investments in areas such as infrastructure.</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Limitations on the use of ex-TAC Gross Profit include the following:</w:t>
      </w:r>
    </w:p>
    <w:p>
      <w:pPr>
        <w:pStyle w:val="TextBody"/>
        <w:bidi w:val="0"/>
        <w:spacing w:before="0" w:after="0"/>
        <w:jc w:val="left"/>
        <w:rPr>
          <w:color w:val="000000"/>
          <w:shd w:fill="FFFFFF" w:val="clear"/>
        </w:rPr>
      </w:pPr>
      <w:r>
        <w:rPr>
          <w:color w:val="000000"/>
          <w:shd w:fill="FFFFFF" w:val="clea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both"/>
              <w:rPr/>
            </w:pPr>
            <w:r>
              <w:rPr/>
              <w:t>Traffic acquisition cost is a significant component of our cost of revenues but is not the only component; and</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both"/>
              <w:rPr/>
            </w:pPr>
            <w:r>
              <w:rPr/>
              <w:t>ex-TAC Gross Profit is not comparable to our gross profit and by definition ex-TAC Gross Profit presented for any period will be higher than our gross profit for that period.</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34</w:t>
      </w:r>
    </w:p>
    <w:p>
      <w:pPr>
        <w:pStyle w:val="HorizontalLine"/>
        <w:bidi w:val="0"/>
        <w:spacing w:before="200" w:after="200"/>
        <w:jc w:val="left"/>
        <w:rPr/>
      </w:pPr>
      <w:r>
        <w:rPr/>
      </w:r>
    </w:p>
    <w:p>
      <w:pPr>
        <w:pStyle w:val="TextBody"/>
        <w:bidi w:val="0"/>
        <w:spacing w:before="200" w:after="200"/>
        <w:jc w:val="left"/>
        <w:rPr/>
      </w:pPr>
      <w:hyperlink w:anchor="Contents">
        <w:r>
          <w:rPr>
            <w:rStyle w:val="InternetLink"/>
            <w:rFonts w:ascii="Times New Roman" w:hAnsi="Times New Roman"/>
            <w:i/>
            <w:color w:val="000000"/>
            <w:sz w:val="16"/>
            <w:shd w:fill="FFFFFF" w:val="clear"/>
          </w:rPr>
          <w:t>Table of Contents</w:t>
        </w:r>
      </w:hyperlink>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The following table provides a reconciliation of revenues and gross profit to ex-TAC Gross Profit:</w:t>
      </w:r>
    </w:p>
    <w:p>
      <w:pPr>
        <w:pStyle w:val="TextBody"/>
        <w:bidi w:val="0"/>
        <w:spacing w:before="0" w:after="0"/>
        <w:jc w:val="left"/>
        <w:rPr/>
      </w:pPr>
      <w:r>
        <w:rPr/>
      </w:r>
    </w:p>
    <w:tbl>
      <w:tblPr>
        <w:tblW w:w="7918" w:type="dxa"/>
        <w:jc w:val="left"/>
        <w:tblInd w:w="0" w:type="dxa"/>
        <w:tblLayout w:type="fixed"/>
        <w:tblCellMar>
          <w:top w:w="0" w:type="dxa"/>
          <w:left w:w="0" w:type="dxa"/>
          <w:bottom w:w="0" w:type="dxa"/>
          <w:right w:w="0" w:type="dxa"/>
        </w:tblCellMar>
      </w:tblPr>
      <w:tblGrid>
        <w:gridCol w:w="3200"/>
        <w:gridCol w:w="60"/>
        <w:gridCol w:w="148"/>
        <w:gridCol w:w="848"/>
        <w:gridCol w:w="63"/>
        <w:gridCol w:w="63"/>
        <w:gridCol w:w="148"/>
        <w:gridCol w:w="848"/>
        <w:gridCol w:w="60"/>
        <w:gridCol w:w="60"/>
        <w:gridCol w:w="140"/>
        <w:gridCol w:w="980"/>
        <w:gridCol w:w="60"/>
        <w:gridCol w:w="60"/>
        <w:gridCol w:w="140"/>
        <w:gridCol w:w="980"/>
        <w:gridCol w:w="60"/>
      </w:tblGrid>
      <w:tr>
        <w:trPr/>
        <w:tc>
          <w:tcPr>
            <w:tcW w:w="320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18" w:type="dxa"/>
            <w:gridSpan w:val="6"/>
            <w:tcBorders>
              <w:bottom w:val="single" w:sz="12" w:space="0" w:color="000000"/>
            </w:tcBorders>
            <w:tcMar>
              <w:bottom w:w="28" w:type="dxa"/>
            </w:tcMar>
            <w:vAlign w:val="bottom"/>
          </w:tcPr>
          <w:p>
            <w:pPr>
              <w:pStyle w:val="TableContents"/>
              <w:bidi w:val="0"/>
              <w:spacing w:before="0" w:after="0"/>
              <w:jc w:val="center"/>
              <w:rPr>
                <w:b/>
              </w:rPr>
            </w:pPr>
            <w:r>
              <w:rPr>
                <w:b/>
              </w:rPr>
              <w:t>Three months ended</w:t>
            </w:r>
          </w:p>
          <w:p>
            <w:pPr>
              <w:pStyle w:val="TableContents"/>
              <w:bidi w:val="0"/>
              <w:spacing w:before="0" w:after="0"/>
              <w:jc w:val="center"/>
              <w:rPr>
                <w:b/>
              </w:rPr>
            </w:pPr>
            <w:r>
              <w:rPr>
                <w:b/>
              </w:rPr>
              <w:t>September 30,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60" w:type="dxa"/>
            <w:gridSpan w:val="6"/>
            <w:tcBorders>
              <w:bottom w:val="single" w:sz="12" w:space="0" w:color="000000"/>
            </w:tcBorders>
            <w:tcMar>
              <w:bottom w:w="28" w:type="dxa"/>
            </w:tcMar>
            <w:vAlign w:val="bottom"/>
          </w:tcPr>
          <w:p>
            <w:pPr>
              <w:pStyle w:val="TableContents"/>
              <w:bidi w:val="0"/>
              <w:spacing w:before="0" w:after="0"/>
              <w:jc w:val="center"/>
              <w:rPr>
                <w:b/>
              </w:rPr>
            </w:pPr>
            <w:r>
              <w:rPr>
                <w:b/>
              </w:rPr>
              <w:t>Nine months ended</w:t>
            </w:r>
          </w:p>
          <w:p>
            <w:pPr>
              <w:pStyle w:val="TableContents"/>
              <w:bidi w:val="0"/>
              <w:spacing w:before="0" w:after="0"/>
              <w:jc w:val="center"/>
              <w:rPr>
                <w:b/>
              </w:rPr>
            </w:pPr>
            <w:r>
              <w:rPr>
                <w:b/>
              </w:rPr>
              <w:t>September 30,</w:t>
            </w:r>
          </w:p>
        </w:tc>
        <w:tc>
          <w:tcPr>
            <w:tcW w:w="60" w:type="dxa"/>
            <w:tcBorders/>
            <w:vAlign w:val="bottom"/>
          </w:tcPr>
          <w:p>
            <w:pPr>
              <w:pStyle w:val="TableContents"/>
              <w:bidi w:val="0"/>
              <w:spacing w:before="0" w:after="283"/>
              <w:jc w:val="left"/>
              <w:rPr/>
            </w:pPr>
            <w:r>
              <w:rPr/>
              <w:t> </w:t>
            </w:r>
          </w:p>
        </w:tc>
      </w:tr>
      <w:tr>
        <w:trPr/>
        <w:tc>
          <w:tcPr>
            <w:tcW w:w="320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6"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2023</w:t>
            </w:r>
          </w:p>
        </w:tc>
        <w:tc>
          <w:tcPr>
            <w:tcW w:w="63"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996"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0"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0"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2022</w:t>
            </w:r>
          </w:p>
        </w:tc>
        <w:tc>
          <w:tcPr>
            <w:tcW w:w="60" w:type="dxa"/>
            <w:tcBorders/>
            <w:vAlign w:val="bottom"/>
          </w:tcPr>
          <w:p>
            <w:pPr>
              <w:pStyle w:val="TableContents"/>
              <w:bidi w:val="0"/>
              <w:spacing w:before="0" w:after="283"/>
              <w:jc w:val="left"/>
              <w:rPr/>
            </w:pPr>
            <w:r>
              <w:rPr/>
              <w:t> </w:t>
            </w:r>
          </w:p>
        </w:tc>
      </w:tr>
      <w:tr>
        <w:trPr/>
        <w:tc>
          <w:tcPr>
            <w:tcW w:w="320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598" w:type="dxa"/>
            <w:gridSpan w:val="14"/>
            <w:tcBorders/>
            <w:vAlign w:val="bottom"/>
          </w:tcPr>
          <w:p>
            <w:pPr>
              <w:pStyle w:val="TableContents"/>
              <w:bidi w:val="0"/>
              <w:spacing w:before="0" w:after="0"/>
              <w:jc w:val="center"/>
              <w:rPr/>
            </w:pPr>
            <w:r>
              <w:rPr/>
              <w:t>(dollars in thousands)</w:t>
            </w:r>
          </w:p>
        </w:tc>
        <w:tc>
          <w:tcPr>
            <w:tcW w:w="60" w:type="dxa"/>
            <w:tcBorders/>
            <w:vAlign w:val="bottom"/>
          </w:tcPr>
          <w:p>
            <w:pPr>
              <w:pStyle w:val="TableContents"/>
              <w:bidi w:val="0"/>
              <w:spacing w:before="0" w:after="283"/>
              <w:jc w:val="left"/>
              <w:rPr/>
            </w:pPr>
            <w:r>
              <w:rPr/>
              <w:t> </w:t>
            </w:r>
          </w:p>
        </w:tc>
      </w:tr>
      <w:tr>
        <w:trPr/>
        <w:tc>
          <w:tcPr>
            <w:tcW w:w="3200" w:type="dxa"/>
            <w:tcBorders/>
            <w:shd w:fill="CCEEFF" w:val="clear"/>
            <w:vAlign w:val="bottom"/>
          </w:tcPr>
          <w:p>
            <w:pPr>
              <w:pStyle w:val="TableContents"/>
              <w:bidi w:val="0"/>
              <w:spacing w:before="0" w:after="0"/>
              <w:jc w:val="left"/>
              <w:rPr/>
            </w:pPr>
            <w:r>
              <w:rPr/>
              <w:t>Revenues</w:t>
            </w:r>
          </w:p>
        </w:tc>
        <w:tc>
          <w:tcPr>
            <w:tcW w:w="60"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0"/>
              <w:jc w:val="left"/>
              <w:rPr/>
            </w:pPr>
            <w:r>
              <w:rPr/>
              <w:t>$</w:t>
            </w:r>
          </w:p>
        </w:tc>
        <w:tc>
          <w:tcPr>
            <w:tcW w:w="848" w:type="dxa"/>
            <w:tcBorders/>
            <w:shd w:fill="CCEEFF" w:val="clear"/>
            <w:vAlign w:val="bottom"/>
          </w:tcPr>
          <w:p>
            <w:pPr>
              <w:pStyle w:val="TableContents"/>
              <w:bidi w:val="0"/>
              <w:spacing w:before="0" w:after="0"/>
              <w:jc w:val="right"/>
              <w:rPr/>
            </w:pPr>
            <w:r>
              <w:rPr/>
              <w:t>360,221</w:t>
            </w:r>
          </w:p>
        </w:tc>
        <w:tc>
          <w:tcPr>
            <w:tcW w:w="63"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0"/>
              <w:jc w:val="left"/>
              <w:rPr/>
            </w:pPr>
            <w:r>
              <w:rPr/>
              <w:t>$</w:t>
            </w:r>
          </w:p>
        </w:tc>
        <w:tc>
          <w:tcPr>
            <w:tcW w:w="848" w:type="dxa"/>
            <w:tcBorders/>
            <w:shd w:fill="CCEEFF" w:val="clear"/>
            <w:vAlign w:val="bottom"/>
          </w:tcPr>
          <w:p>
            <w:pPr>
              <w:pStyle w:val="TableContents"/>
              <w:bidi w:val="0"/>
              <w:spacing w:before="0" w:after="0"/>
              <w:jc w:val="right"/>
              <w:rPr/>
            </w:pPr>
            <w:r>
              <w:rPr/>
              <w:t>332,462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0"/>
              <w:jc w:val="left"/>
              <w:rPr/>
            </w:pPr>
            <w:r>
              <w:rPr/>
              <w:t>$</w:t>
            </w:r>
          </w:p>
        </w:tc>
        <w:tc>
          <w:tcPr>
            <w:tcW w:w="980" w:type="dxa"/>
            <w:tcBorders/>
            <w:shd w:fill="CCEEFF" w:val="clear"/>
            <w:vAlign w:val="bottom"/>
          </w:tcPr>
          <w:p>
            <w:pPr>
              <w:pStyle w:val="TableContents"/>
              <w:bidi w:val="0"/>
              <w:spacing w:before="0" w:after="0"/>
              <w:jc w:val="right"/>
              <w:rPr/>
            </w:pPr>
            <w:r>
              <w:rPr/>
              <w:t>1,019,911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0"/>
              <w:jc w:val="left"/>
              <w:rPr/>
            </w:pPr>
            <w:r>
              <w:rPr/>
              <w:t>$</w:t>
            </w:r>
          </w:p>
        </w:tc>
        <w:tc>
          <w:tcPr>
            <w:tcW w:w="980" w:type="dxa"/>
            <w:tcBorders/>
            <w:shd w:fill="CCEEFF" w:val="clear"/>
            <w:vAlign w:val="bottom"/>
          </w:tcPr>
          <w:p>
            <w:pPr>
              <w:pStyle w:val="TableContents"/>
              <w:bidi w:val="0"/>
              <w:spacing w:before="0" w:after="0"/>
              <w:jc w:val="right"/>
              <w:rPr/>
            </w:pPr>
            <w:r>
              <w:rPr/>
              <w:t>1,029,883</w:t>
            </w:r>
          </w:p>
        </w:tc>
        <w:tc>
          <w:tcPr>
            <w:tcW w:w="60" w:type="dxa"/>
            <w:tcBorders/>
            <w:shd w:fill="CCEEFF" w:val="clear"/>
            <w:vAlign w:val="bottom"/>
          </w:tcPr>
          <w:p>
            <w:pPr>
              <w:pStyle w:val="TableContents"/>
              <w:bidi w:val="0"/>
              <w:spacing w:before="0" w:after="283"/>
              <w:jc w:val="left"/>
              <w:rPr/>
            </w:pPr>
            <w:r>
              <w:rPr/>
              <w:t> </w:t>
            </w:r>
          </w:p>
        </w:tc>
      </w:tr>
      <w:tr>
        <w:trPr/>
        <w:tc>
          <w:tcPr>
            <w:tcW w:w="3200" w:type="dxa"/>
            <w:tcBorders/>
            <w:vAlign w:val="bottom"/>
          </w:tcPr>
          <w:p>
            <w:pPr>
              <w:pStyle w:val="TableContents"/>
              <w:bidi w:val="0"/>
              <w:spacing w:before="0" w:after="0"/>
              <w:jc w:val="left"/>
              <w:rPr/>
            </w:pPr>
            <w:r>
              <w:rPr/>
              <w:t>Traffic acquisition cost</w:t>
            </w:r>
          </w:p>
        </w:tc>
        <w:tc>
          <w:tcPr>
            <w:tcW w:w="60"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848" w:type="dxa"/>
            <w:tcBorders/>
            <w:vAlign w:val="bottom"/>
          </w:tcPr>
          <w:p>
            <w:pPr>
              <w:pStyle w:val="TableContents"/>
              <w:bidi w:val="0"/>
              <w:spacing w:before="0" w:after="0"/>
              <w:jc w:val="right"/>
              <w:rPr/>
            </w:pPr>
            <w:r>
              <w:rPr/>
              <w:t>231,786</w:t>
            </w:r>
          </w:p>
        </w:tc>
        <w:tc>
          <w:tcPr>
            <w:tcW w:w="63"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848" w:type="dxa"/>
            <w:tcBorders/>
            <w:vAlign w:val="bottom"/>
          </w:tcPr>
          <w:p>
            <w:pPr>
              <w:pStyle w:val="TableContents"/>
              <w:bidi w:val="0"/>
              <w:spacing w:before="0" w:after="0"/>
              <w:jc w:val="right"/>
              <w:rPr/>
            </w:pPr>
            <w:r>
              <w:rPr/>
              <w:t>203,125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0"/>
              <w:jc w:val="right"/>
              <w:rPr/>
            </w:pPr>
            <w:r>
              <w:rPr/>
              <w:t>652,602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0"/>
              <w:jc w:val="right"/>
              <w:rPr/>
            </w:pPr>
            <w:r>
              <w:rPr/>
              <w:t>619,109</w:t>
            </w:r>
          </w:p>
        </w:tc>
        <w:tc>
          <w:tcPr>
            <w:tcW w:w="60" w:type="dxa"/>
            <w:tcBorders/>
            <w:vAlign w:val="bottom"/>
          </w:tcPr>
          <w:p>
            <w:pPr>
              <w:pStyle w:val="TableContents"/>
              <w:bidi w:val="0"/>
              <w:spacing w:before="0" w:after="283"/>
              <w:jc w:val="left"/>
              <w:rPr/>
            </w:pPr>
            <w:r>
              <w:rPr/>
              <w:t> </w:t>
            </w:r>
          </w:p>
        </w:tc>
      </w:tr>
      <w:tr>
        <w:trPr/>
        <w:tc>
          <w:tcPr>
            <w:tcW w:w="3200" w:type="dxa"/>
            <w:tcBorders/>
            <w:shd w:fill="CCEEFF" w:val="clear"/>
            <w:vAlign w:val="bottom"/>
          </w:tcPr>
          <w:p>
            <w:pPr>
              <w:pStyle w:val="TableContents"/>
              <w:bidi w:val="0"/>
              <w:spacing w:before="0" w:after="0"/>
              <w:jc w:val="left"/>
              <w:rPr/>
            </w:pPr>
            <w:r>
              <w:rPr/>
              <w:t>Other cost of revenues</w:t>
            </w:r>
          </w:p>
        </w:tc>
        <w:tc>
          <w:tcPr>
            <w:tcW w:w="60" w:type="dxa"/>
            <w:tcBorders/>
            <w:shd w:fill="CCEEFF" w:val="clear"/>
            <w:vAlign w:val="bottom"/>
          </w:tcPr>
          <w:p>
            <w:pPr>
              <w:pStyle w:val="TableContents"/>
              <w:bidi w:val="0"/>
              <w:spacing w:before="0" w:after="283"/>
              <w:jc w:val="left"/>
              <w:rPr/>
            </w:pPr>
            <w:r>
              <w:rPr/>
              <w:t> </w:t>
            </w:r>
          </w:p>
        </w:tc>
        <w:tc>
          <w:tcPr>
            <w:tcW w:w="148"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48" w:type="dxa"/>
            <w:tcBorders>
              <w:bottom w:val="single" w:sz="12" w:space="0" w:color="000000"/>
            </w:tcBorders>
            <w:shd w:fill="CCEEFF" w:val="clear"/>
            <w:tcMar>
              <w:bottom w:w="28" w:type="dxa"/>
            </w:tcMar>
            <w:vAlign w:val="bottom"/>
          </w:tcPr>
          <w:p>
            <w:pPr>
              <w:pStyle w:val="TableContents"/>
              <w:bidi w:val="0"/>
              <w:spacing w:before="0" w:after="0"/>
              <w:jc w:val="right"/>
              <w:rPr/>
            </w:pPr>
            <w:r>
              <w:rPr/>
              <w:t>27,776</w:t>
            </w:r>
          </w:p>
        </w:tc>
        <w:tc>
          <w:tcPr>
            <w:tcW w:w="63"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48"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48" w:type="dxa"/>
            <w:tcBorders>
              <w:bottom w:val="single" w:sz="12" w:space="0" w:color="000000"/>
            </w:tcBorders>
            <w:shd w:fill="CCEEFF" w:val="clear"/>
            <w:tcMar>
              <w:bottom w:w="28" w:type="dxa"/>
            </w:tcMar>
            <w:vAlign w:val="bottom"/>
          </w:tcPr>
          <w:p>
            <w:pPr>
              <w:pStyle w:val="TableContents"/>
              <w:bidi w:val="0"/>
              <w:spacing w:before="0" w:after="0"/>
              <w:jc w:val="right"/>
              <w:rPr/>
            </w:pPr>
            <w:r>
              <w:rPr/>
              <w:t>26,649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bottom"/>
          </w:tcPr>
          <w:p>
            <w:pPr>
              <w:pStyle w:val="TableContents"/>
              <w:bidi w:val="0"/>
              <w:spacing w:before="0" w:after="0"/>
              <w:jc w:val="right"/>
              <w:rPr/>
            </w:pPr>
            <w:r>
              <w:rPr/>
              <w:t>80,001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bottom"/>
          </w:tcPr>
          <w:p>
            <w:pPr>
              <w:pStyle w:val="TableContents"/>
              <w:bidi w:val="0"/>
              <w:spacing w:before="0" w:after="0"/>
              <w:jc w:val="right"/>
              <w:rPr/>
            </w:pPr>
            <w:r>
              <w:rPr/>
              <w:t>79,695</w:t>
            </w:r>
          </w:p>
        </w:tc>
        <w:tc>
          <w:tcPr>
            <w:tcW w:w="60" w:type="dxa"/>
            <w:tcBorders/>
            <w:shd w:fill="CCEEFF" w:val="clear"/>
            <w:vAlign w:val="bottom"/>
          </w:tcPr>
          <w:p>
            <w:pPr>
              <w:pStyle w:val="TableContents"/>
              <w:bidi w:val="0"/>
              <w:spacing w:before="0" w:after="283"/>
              <w:jc w:val="left"/>
              <w:rPr/>
            </w:pPr>
            <w:r>
              <w:rPr/>
              <w:t> </w:t>
            </w:r>
          </w:p>
        </w:tc>
      </w:tr>
      <w:tr>
        <w:trPr/>
        <w:tc>
          <w:tcPr>
            <w:tcW w:w="3200" w:type="dxa"/>
            <w:tcBorders/>
            <w:vAlign w:val="bottom"/>
          </w:tcPr>
          <w:p>
            <w:pPr>
              <w:pStyle w:val="TableContents"/>
              <w:bidi w:val="0"/>
              <w:spacing w:before="0" w:after="0"/>
              <w:jc w:val="left"/>
              <w:rPr/>
            </w:pPr>
            <w:r>
              <w:rPr/>
              <w:t>Gross profit</w:t>
            </w:r>
          </w:p>
        </w:tc>
        <w:tc>
          <w:tcPr>
            <w:tcW w:w="60" w:type="dxa"/>
            <w:tcBorders/>
            <w:vAlign w:val="bottom"/>
          </w:tcPr>
          <w:p>
            <w:pPr>
              <w:pStyle w:val="TableContents"/>
              <w:bidi w:val="0"/>
              <w:spacing w:before="0" w:after="283"/>
              <w:jc w:val="left"/>
              <w:rPr/>
            </w:pPr>
            <w:r>
              <w:rPr/>
              <w:t> </w:t>
            </w:r>
          </w:p>
        </w:tc>
        <w:tc>
          <w:tcPr>
            <w:tcW w:w="148" w:type="dxa"/>
            <w:tcBorders>
              <w:bottom w:val="single" w:sz="12" w:space="0" w:color="000000"/>
            </w:tcBorders>
            <w:tcMar>
              <w:bottom w:w="28" w:type="dxa"/>
            </w:tcMar>
            <w:vAlign w:val="bottom"/>
          </w:tcPr>
          <w:p>
            <w:pPr>
              <w:pStyle w:val="TableContents"/>
              <w:bidi w:val="0"/>
              <w:spacing w:before="0" w:after="0"/>
              <w:jc w:val="left"/>
              <w:rPr/>
            </w:pPr>
            <w:r>
              <w:rPr/>
              <w:t>$</w:t>
            </w:r>
          </w:p>
        </w:tc>
        <w:tc>
          <w:tcPr>
            <w:tcW w:w="848" w:type="dxa"/>
            <w:tcBorders>
              <w:bottom w:val="single" w:sz="12" w:space="0" w:color="000000"/>
            </w:tcBorders>
            <w:tcMar>
              <w:bottom w:w="28" w:type="dxa"/>
            </w:tcMar>
            <w:vAlign w:val="bottom"/>
          </w:tcPr>
          <w:p>
            <w:pPr>
              <w:pStyle w:val="TableContents"/>
              <w:bidi w:val="0"/>
              <w:spacing w:before="0" w:after="0"/>
              <w:jc w:val="right"/>
              <w:rPr/>
            </w:pPr>
            <w:r>
              <w:rPr/>
              <w:t>100,659</w:t>
            </w:r>
          </w:p>
        </w:tc>
        <w:tc>
          <w:tcPr>
            <w:tcW w:w="63"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48" w:type="dxa"/>
            <w:tcBorders>
              <w:bottom w:val="single" w:sz="12" w:space="0" w:color="000000"/>
            </w:tcBorders>
            <w:tcMar>
              <w:bottom w:w="28" w:type="dxa"/>
            </w:tcMar>
            <w:vAlign w:val="bottom"/>
          </w:tcPr>
          <w:p>
            <w:pPr>
              <w:pStyle w:val="TableContents"/>
              <w:bidi w:val="0"/>
              <w:spacing w:before="0" w:after="0"/>
              <w:jc w:val="left"/>
              <w:rPr/>
            </w:pPr>
            <w:r>
              <w:rPr/>
              <w:t>$</w:t>
            </w:r>
          </w:p>
        </w:tc>
        <w:tc>
          <w:tcPr>
            <w:tcW w:w="848" w:type="dxa"/>
            <w:tcBorders>
              <w:bottom w:val="single" w:sz="12" w:space="0" w:color="000000"/>
            </w:tcBorders>
            <w:tcMar>
              <w:bottom w:w="28" w:type="dxa"/>
            </w:tcMar>
            <w:vAlign w:val="bottom"/>
          </w:tcPr>
          <w:p>
            <w:pPr>
              <w:pStyle w:val="TableContents"/>
              <w:bidi w:val="0"/>
              <w:spacing w:before="0" w:after="0"/>
              <w:jc w:val="right"/>
              <w:rPr/>
            </w:pPr>
            <w:r>
              <w:rPr/>
              <w:t>102,688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bottom w:val="single" w:sz="12" w:space="0" w:color="000000"/>
            </w:tcBorders>
            <w:tcMar>
              <w:bottom w:w="28" w:type="dxa"/>
            </w:tcMar>
            <w:vAlign w:val="bottom"/>
          </w:tcPr>
          <w:p>
            <w:pPr>
              <w:pStyle w:val="TableContents"/>
              <w:bidi w:val="0"/>
              <w:spacing w:before="0" w:after="0"/>
              <w:jc w:val="left"/>
              <w:rPr/>
            </w:pPr>
            <w:r>
              <w:rPr/>
              <w:t>$</w:t>
            </w:r>
          </w:p>
        </w:tc>
        <w:tc>
          <w:tcPr>
            <w:tcW w:w="980" w:type="dxa"/>
            <w:tcBorders>
              <w:bottom w:val="single" w:sz="12" w:space="0" w:color="000000"/>
            </w:tcBorders>
            <w:tcMar>
              <w:bottom w:w="28" w:type="dxa"/>
            </w:tcMar>
            <w:vAlign w:val="bottom"/>
          </w:tcPr>
          <w:p>
            <w:pPr>
              <w:pStyle w:val="TableContents"/>
              <w:bidi w:val="0"/>
              <w:spacing w:before="0" w:after="0"/>
              <w:jc w:val="right"/>
              <w:rPr/>
            </w:pPr>
            <w:r>
              <w:rPr/>
              <w:t>287,308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bottom w:val="single" w:sz="12" w:space="0" w:color="000000"/>
            </w:tcBorders>
            <w:tcMar>
              <w:bottom w:w="28" w:type="dxa"/>
            </w:tcMar>
            <w:vAlign w:val="bottom"/>
          </w:tcPr>
          <w:p>
            <w:pPr>
              <w:pStyle w:val="TableContents"/>
              <w:bidi w:val="0"/>
              <w:spacing w:before="0" w:after="0"/>
              <w:jc w:val="left"/>
              <w:rPr/>
            </w:pPr>
            <w:r>
              <w:rPr/>
              <w:t>$</w:t>
            </w:r>
          </w:p>
        </w:tc>
        <w:tc>
          <w:tcPr>
            <w:tcW w:w="980" w:type="dxa"/>
            <w:tcBorders>
              <w:bottom w:val="single" w:sz="12" w:space="0" w:color="000000"/>
            </w:tcBorders>
            <w:tcMar>
              <w:bottom w:w="28" w:type="dxa"/>
            </w:tcMar>
            <w:vAlign w:val="bottom"/>
          </w:tcPr>
          <w:p>
            <w:pPr>
              <w:pStyle w:val="TableContents"/>
              <w:bidi w:val="0"/>
              <w:spacing w:before="0" w:after="0"/>
              <w:jc w:val="right"/>
              <w:rPr/>
            </w:pPr>
            <w:r>
              <w:rPr/>
              <w:t>331,079</w:t>
            </w:r>
          </w:p>
        </w:tc>
        <w:tc>
          <w:tcPr>
            <w:tcW w:w="60" w:type="dxa"/>
            <w:tcBorders/>
            <w:vAlign w:val="bottom"/>
          </w:tcPr>
          <w:p>
            <w:pPr>
              <w:pStyle w:val="TableContents"/>
              <w:bidi w:val="0"/>
              <w:spacing w:before="0" w:after="283"/>
              <w:jc w:val="left"/>
              <w:rPr/>
            </w:pPr>
            <w:r>
              <w:rPr/>
              <w:t> </w:t>
            </w:r>
          </w:p>
        </w:tc>
      </w:tr>
      <w:tr>
        <w:trPr/>
        <w:tc>
          <w:tcPr>
            <w:tcW w:w="3200" w:type="dxa"/>
            <w:tcBorders/>
            <w:shd w:fill="CCEEFF" w:val="clear"/>
            <w:vAlign w:val="bottom"/>
          </w:tcPr>
          <w:p>
            <w:pPr>
              <w:pStyle w:val="TableContents"/>
              <w:bidi w:val="0"/>
              <w:spacing w:before="0" w:after="0"/>
              <w:jc w:val="left"/>
              <w:rPr/>
            </w:pPr>
            <w:r>
              <w:rPr/>
              <w:t>Add back: Other cost of revenues</w:t>
            </w:r>
          </w:p>
        </w:tc>
        <w:tc>
          <w:tcPr>
            <w:tcW w:w="60" w:type="dxa"/>
            <w:tcBorders/>
            <w:shd w:fill="CCEEFF" w:val="clear"/>
            <w:vAlign w:val="bottom"/>
          </w:tcPr>
          <w:p>
            <w:pPr>
              <w:pStyle w:val="TableContents"/>
              <w:bidi w:val="0"/>
              <w:spacing w:before="0" w:after="283"/>
              <w:jc w:val="left"/>
              <w:rPr/>
            </w:pPr>
            <w:r>
              <w:rPr/>
              <w:t> </w:t>
            </w:r>
          </w:p>
        </w:tc>
        <w:tc>
          <w:tcPr>
            <w:tcW w:w="148"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48" w:type="dxa"/>
            <w:tcBorders>
              <w:bottom w:val="single" w:sz="12" w:space="0" w:color="000000"/>
            </w:tcBorders>
            <w:shd w:fill="CCEEFF" w:val="clear"/>
            <w:tcMar>
              <w:bottom w:w="28" w:type="dxa"/>
            </w:tcMar>
            <w:vAlign w:val="bottom"/>
          </w:tcPr>
          <w:p>
            <w:pPr>
              <w:pStyle w:val="TableContents"/>
              <w:bidi w:val="0"/>
              <w:spacing w:before="0" w:after="0"/>
              <w:jc w:val="right"/>
              <w:rPr/>
            </w:pPr>
            <w:r>
              <w:rPr/>
              <w:t>27,776</w:t>
            </w:r>
          </w:p>
        </w:tc>
        <w:tc>
          <w:tcPr>
            <w:tcW w:w="63"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48"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48" w:type="dxa"/>
            <w:tcBorders>
              <w:bottom w:val="single" w:sz="12" w:space="0" w:color="000000"/>
            </w:tcBorders>
            <w:shd w:fill="CCEEFF" w:val="clear"/>
            <w:tcMar>
              <w:bottom w:w="28" w:type="dxa"/>
            </w:tcMar>
            <w:vAlign w:val="bottom"/>
          </w:tcPr>
          <w:p>
            <w:pPr>
              <w:pStyle w:val="TableContents"/>
              <w:bidi w:val="0"/>
              <w:spacing w:before="0" w:after="0"/>
              <w:jc w:val="right"/>
              <w:rPr/>
            </w:pPr>
            <w:r>
              <w:rPr/>
              <w:t>26,649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bottom"/>
          </w:tcPr>
          <w:p>
            <w:pPr>
              <w:pStyle w:val="TableContents"/>
              <w:bidi w:val="0"/>
              <w:spacing w:before="0" w:after="0"/>
              <w:jc w:val="right"/>
              <w:rPr/>
            </w:pPr>
            <w:r>
              <w:rPr/>
              <w:t>80,001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bottom"/>
          </w:tcPr>
          <w:p>
            <w:pPr>
              <w:pStyle w:val="TableContents"/>
              <w:bidi w:val="0"/>
              <w:spacing w:before="0" w:after="0"/>
              <w:jc w:val="right"/>
              <w:rPr/>
            </w:pPr>
            <w:r>
              <w:rPr/>
              <w:t>79,695</w:t>
            </w:r>
          </w:p>
        </w:tc>
        <w:tc>
          <w:tcPr>
            <w:tcW w:w="60" w:type="dxa"/>
            <w:tcBorders/>
            <w:shd w:fill="CCEEFF" w:val="clear"/>
            <w:vAlign w:val="bottom"/>
          </w:tcPr>
          <w:p>
            <w:pPr>
              <w:pStyle w:val="TableContents"/>
              <w:bidi w:val="0"/>
              <w:spacing w:before="0" w:after="283"/>
              <w:jc w:val="left"/>
              <w:rPr/>
            </w:pPr>
            <w:r>
              <w:rPr/>
              <w:t> </w:t>
            </w:r>
          </w:p>
        </w:tc>
      </w:tr>
      <w:tr>
        <w:trPr/>
        <w:tc>
          <w:tcPr>
            <w:tcW w:w="3200" w:type="dxa"/>
            <w:tcBorders/>
            <w:vAlign w:val="bottom"/>
          </w:tcPr>
          <w:p>
            <w:pPr>
              <w:pStyle w:val="TableContents"/>
              <w:bidi w:val="0"/>
              <w:spacing w:before="0" w:after="0"/>
              <w:jc w:val="left"/>
              <w:rPr/>
            </w:pPr>
            <w:r>
              <w:rPr/>
              <w:t>ex-TAC Gross Profit</w:t>
            </w:r>
          </w:p>
        </w:tc>
        <w:tc>
          <w:tcPr>
            <w:tcW w:w="60" w:type="dxa"/>
            <w:tcBorders/>
            <w:vAlign w:val="bottom"/>
          </w:tcPr>
          <w:p>
            <w:pPr>
              <w:pStyle w:val="TableContents"/>
              <w:bidi w:val="0"/>
              <w:spacing w:before="0" w:after="283"/>
              <w:jc w:val="left"/>
              <w:rPr/>
            </w:pPr>
            <w:r>
              <w:rPr/>
              <w:t> </w:t>
            </w:r>
          </w:p>
        </w:tc>
        <w:tc>
          <w:tcPr>
            <w:tcW w:w="148" w:type="dxa"/>
            <w:tcBorders>
              <w:bottom w:val="single" w:sz="12" w:space="0" w:color="000000"/>
            </w:tcBorders>
            <w:tcMar>
              <w:bottom w:w="28" w:type="dxa"/>
            </w:tcMar>
            <w:vAlign w:val="bottom"/>
          </w:tcPr>
          <w:p>
            <w:pPr>
              <w:pStyle w:val="TableContents"/>
              <w:bidi w:val="0"/>
              <w:spacing w:before="0" w:after="0"/>
              <w:jc w:val="left"/>
              <w:rPr/>
            </w:pPr>
            <w:r>
              <w:rPr/>
              <w:t>$</w:t>
            </w:r>
          </w:p>
        </w:tc>
        <w:tc>
          <w:tcPr>
            <w:tcW w:w="848" w:type="dxa"/>
            <w:tcBorders>
              <w:bottom w:val="single" w:sz="12" w:space="0" w:color="000000"/>
            </w:tcBorders>
            <w:tcMar>
              <w:bottom w:w="28" w:type="dxa"/>
            </w:tcMar>
            <w:vAlign w:val="bottom"/>
          </w:tcPr>
          <w:p>
            <w:pPr>
              <w:pStyle w:val="TableContents"/>
              <w:bidi w:val="0"/>
              <w:spacing w:before="0" w:after="0"/>
              <w:jc w:val="right"/>
              <w:rPr/>
            </w:pPr>
            <w:r>
              <w:rPr/>
              <w:t>128,435</w:t>
            </w:r>
          </w:p>
        </w:tc>
        <w:tc>
          <w:tcPr>
            <w:tcW w:w="63"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48" w:type="dxa"/>
            <w:tcBorders>
              <w:bottom w:val="single" w:sz="12" w:space="0" w:color="000000"/>
            </w:tcBorders>
            <w:tcMar>
              <w:bottom w:w="28" w:type="dxa"/>
            </w:tcMar>
            <w:vAlign w:val="bottom"/>
          </w:tcPr>
          <w:p>
            <w:pPr>
              <w:pStyle w:val="TableContents"/>
              <w:bidi w:val="0"/>
              <w:spacing w:before="0" w:after="0"/>
              <w:jc w:val="left"/>
              <w:rPr/>
            </w:pPr>
            <w:r>
              <w:rPr/>
              <w:t>$</w:t>
            </w:r>
          </w:p>
        </w:tc>
        <w:tc>
          <w:tcPr>
            <w:tcW w:w="848" w:type="dxa"/>
            <w:tcBorders>
              <w:bottom w:val="single" w:sz="12" w:space="0" w:color="000000"/>
            </w:tcBorders>
            <w:tcMar>
              <w:bottom w:w="28" w:type="dxa"/>
            </w:tcMar>
            <w:vAlign w:val="bottom"/>
          </w:tcPr>
          <w:p>
            <w:pPr>
              <w:pStyle w:val="TableContents"/>
              <w:bidi w:val="0"/>
              <w:spacing w:before="0" w:after="0"/>
              <w:jc w:val="right"/>
              <w:rPr/>
            </w:pPr>
            <w:r>
              <w:rPr/>
              <w:t>129,337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bottom w:val="single" w:sz="12" w:space="0" w:color="000000"/>
            </w:tcBorders>
            <w:tcMar>
              <w:bottom w:w="28" w:type="dxa"/>
            </w:tcMar>
            <w:vAlign w:val="bottom"/>
          </w:tcPr>
          <w:p>
            <w:pPr>
              <w:pStyle w:val="TableContents"/>
              <w:bidi w:val="0"/>
              <w:spacing w:before="0" w:after="0"/>
              <w:jc w:val="left"/>
              <w:rPr/>
            </w:pPr>
            <w:r>
              <w:rPr/>
              <w:t>$</w:t>
            </w:r>
          </w:p>
        </w:tc>
        <w:tc>
          <w:tcPr>
            <w:tcW w:w="980" w:type="dxa"/>
            <w:tcBorders>
              <w:bottom w:val="single" w:sz="12" w:space="0" w:color="000000"/>
            </w:tcBorders>
            <w:tcMar>
              <w:bottom w:w="28" w:type="dxa"/>
            </w:tcMar>
            <w:vAlign w:val="bottom"/>
          </w:tcPr>
          <w:p>
            <w:pPr>
              <w:pStyle w:val="TableContents"/>
              <w:bidi w:val="0"/>
              <w:spacing w:before="0" w:after="0"/>
              <w:jc w:val="right"/>
              <w:rPr/>
            </w:pPr>
            <w:r>
              <w:rPr/>
              <w:t>367,309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bottom w:val="single" w:sz="12" w:space="0" w:color="000000"/>
            </w:tcBorders>
            <w:tcMar>
              <w:bottom w:w="28" w:type="dxa"/>
            </w:tcMar>
            <w:vAlign w:val="bottom"/>
          </w:tcPr>
          <w:p>
            <w:pPr>
              <w:pStyle w:val="TableContents"/>
              <w:bidi w:val="0"/>
              <w:spacing w:before="0" w:after="0"/>
              <w:jc w:val="left"/>
              <w:rPr/>
            </w:pPr>
            <w:r>
              <w:rPr/>
              <w:t>$</w:t>
            </w:r>
          </w:p>
        </w:tc>
        <w:tc>
          <w:tcPr>
            <w:tcW w:w="980" w:type="dxa"/>
            <w:tcBorders>
              <w:bottom w:val="single" w:sz="12" w:space="0" w:color="000000"/>
            </w:tcBorders>
            <w:tcMar>
              <w:bottom w:w="28" w:type="dxa"/>
            </w:tcMar>
            <w:vAlign w:val="bottom"/>
          </w:tcPr>
          <w:p>
            <w:pPr>
              <w:pStyle w:val="TableContents"/>
              <w:bidi w:val="0"/>
              <w:spacing w:before="0" w:after="0"/>
              <w:jc w:val="right"/>
              <w:rPr/>
            </w:pPr>
            <w:r>
              <w:rPr/>
              <w:t>410,774</w:t>
            </w:r>
          </w:p>
        </w:tc>
        <w:tc>
          <w:tcPr>
            <w:tcW w:w="60" w:type="dxa"/>
            <w:tcBorders/>
            <w:vAlign w:val="bottom"/>
          </w:tcPr>
          <w:p>
            <w:pPr>
              <w:pStyle w:val="TableContents"/>
              <w:bidi w:val="0"/>
              <w:spacing w:before="0" w:after="283"/>
              <w:jc w:val="left"/>
              <w:rPr/>
            </w:pPr>
            <w:r>
              <w:rPr/>
              <w:t> </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Adjusted EBITDA and Ratio of Adjusted EBITDA to ex-TAC Gross Profit</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We believe that Adjusted EBITDA is useful because it allows us and others to measure our performance without regard to items such as share-based compensation expense, depreciation and amortization, and interest expense and other items that can vary substantially depending on our financing and capital structure, and the method by which assets are acquired. We use Adjusted EBITDA and GAAP financial measures for planning purposes, including the preparation of our annual operating budget, as a measure of performance and the effectiveness of our business strategies, and in communications with our board of directors. We may also use Adjusted EBITDA as a metric for determining payment of cash or other incentive compensation. Limitations on the use of Adjusted EBITDA include the following:</w:t>
      </w:r>
    </w:p>
    <w:p>
      <w:pPr>
        <w:pStyle w:val="TextBody"/>
        <w:bidi w:val="0"/>
        <w:spacing w:before="0" w:after="0"/>
        <w:jc w:val="left"/>
        <w:rPr>
          <w:color w:val="000000"/>
          <w:shd w:fill="FFFFFF" w:val="clear"/>
        </w:rPr>
      </w:pPr>
      <w:r>
        <w:rPr>
          <w:color w:val="000000"/>
          <w:shd w:fill="FFFFFF" w:val="clea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both"/>
              <w:rPr/>
            </w:pPr>
            <w:r>
              <w:rPr/>
              <w:t>Although depreciation expense is a non-cash charge, the assets being depreciated may have to be replaced in the future, and Adjusted EBITDA does not reflect cash capital expenditure requirements for such replacements or for new capital expenditure requirements;</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both"/>
              <w:rPr/>
            </w:pPr>
            <w:r>
              <w:rPr/>
              <w:t>Adjusted EBITDA excludes share-based compensation expense, which has been, and will continue to be for the foreseeable future, a significant recurring expense for our business and an important part of our compensation strategy;</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both"/>
              <w:rPr/>
            </w:pPr>
            <w:r>
              <w:rPr/>
              <w:t>Adjusted EBITDA does not reflect, to the extent applicable for a period presented: (1) changes in, or cash requirements for, our working capital needs; (2) interest expense, or the cash requirements necessary to service interest or if applicable principal payments on debt, which reduces cash available to us; or (3) tax payments that may represent a reduction in cash available to us; and</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both"/>
              <w:rPr/>
            </w:pPr>
            <w:r>
              <w:rPr/>
              <w:t>The expenses and other items that we exclude in our calculation of Adjusted EBITDA may differ from the expenses and other items, if any, that other companies may exclude from Adjusted EBITDA when they report their operating results.</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35</w:t>
      </w:r>
    </w:p>
    <w:p>
      <w:pPr>
        <w:pStyle w:val="HorizontalLine"/>
        <w:bidi w:val="0"/>
        <w:spacing w:before="200" w:after="200"/>
        <w:jc w:val="left"/>
        <w:rPr/>
      </w:pPr>
      <w:r>
        <w:rPr/>
      </w:r>
    </w:p>
    <w:p>
      <w:pPr>
        <w:pStyle w:val="TextBody"/>
        <w:bidi w:val="0"/>
        <w:spacing w:before="200" w:after="200"/>
        <w:jc w:val="left"/>
        <w:rPr/>
      </w:pPr>
      <w:hyperlink w:anchor="Contents">
        <w:r>
          <w:rPr>
            <w:rStyle w:val="InternetLink"/>
            <w:rFonts w:ascii="Times New Roman" w:hAnsi="Times New Roman"/>
            <w:i/>
            <w:color w:val="000000"/>
            <w:sz w:val="16"/>
            <w:shd w:fill="FFFFFF" w:val="clear"/>
          </w:rPr>
          <w:t>Table of Contents</w:t>
        </w:r>
      </w:hyperlink>
    </w:p>
    <w:tbl>
      <w:tblPr>
        <w:tblW w:w="7967" w:type="dxa"/>
        <w:jc w:val="left"/>
        <w:tblInd w:w="0" w:type="dxa"/>
        <w:tblLayout w:type="fixed"/>
        <w:tblCellMar>
          <w:top w:w="0" w:type="dxa"/>
          <w:left w:w="0" w:type="dxa"/>
          <w:bottom w:w="0" w:type="dxa"/>
          <w:right w:w="0" w:type="dxa"/>
        </w:tblCellMar>
      </w:tblPr>
      <w:tblGrid>
        <w:gridCol w:w="3560"/>
        <w:gridCol w:w="60"/>
        <w:gridCol w:w="152"/>
        <w:gridCol w:w="822"/>
        <w:gridCol w:w="103"/>
        <w:gridCol w:w="65"/>
        <w:gridCol w:w="152"/>
        <w:gridCol w:w="822"/>
        <w:gridCol w:w="95"/>
        <w:gridCol w:w="60"/>
        <w:gridCol w:w="142"/>
        <w:gridCol w:w="770"/>
        <w:gridCol w:w="96"/>
        <w:gridCol w:w="61"/>
        <w:gridCol w:w="142"/>
        <w:gridCol w:w="770"/>
        <w:gridCol w:w="95"/>
      </w:tblGrid>
      <w:tr>
        <w:trPr/>
        <w:tc>
          <w:tcPr>
            <w:tcW w:w="35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16" w:type="dxa"/>
            <w:gridSpan w:val="6"/>
            <w:tcBorders>
              <w:bottom w:val="single" w:sz="12" w:space="0" w:color="000000"/>
            </w:tcBorders>
            <w:tcMar>
              <w:bottom w:w="28" w:type="dxa"/>
            </w:tcMar>
            <w:vAlign w:val="bottom"/>
          </w:tcPr>
          <w:p>
            <w:pPr>
              <w:pStyle w:val="TableContents"/>
              <w:bidi w:val="0"/>
              <w:spacing w:before="0" w:after="0"/>
              <w:jc w:val="center"/>
              <w:rPr>
                <w:b/>
              </w:rPr>
            </w:pPr>
            <w:r>
              <w:rPr>
                <w:b/>
              </w:rPr>
              <w:t>Three months ended</w:t>
            </w:r>
          </w:p>
          <w:p>
            <w:pPr>
              <w:pStyle w:val="TableContents"/>
              <w:bidi w:val="0"/>
              <w:spacing w:before="0" w:after="0"/>
              <w:jc w:val="center"/>
              <w:rPr>
                <w:b/>
              </w:rPr>
            </w:pPr>
            <w:r>
              <w:rPr>
                <w:b/>
              </w:rPr>
              <w:t>September 30,</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81" w:type="dxa"/>
            <w:gridSpan w:val="6"/>
            <w:tcBorders>
              <w:bottom w:val="single" w:sz="12" w:space="0" w:color="000000"/>
            </w:tcBorders>
            <w:tcMar>
              <w:bottom w:w="28" w:type="dxa"/>
            </w:tcMar>
            <w:vAlign w:val="bottom"/>
          </w:tcPr>
          <w:p>
            <w:pPr>
              <w:pStyle w:val="TableContents"/>
              <w:bidi w:val="0"/>
              <w:spacing w:before="0" w:after="0"/>
              <w:jc w:val="center"/>
              <w:rPr>
                <w:b/>
              </w:rPr>
            </w:pPr>
            <w:r>
              <w:rPr>
                <w:b/>
              </w:rPr>
              <w:t>Nine months ended</w:t>
            </w:r>
          </w:p>
          <w:p>
            <w:pPr>
              <w:pStyle w:val="TableContents"/>
              <w:bidi w:val="0"/>
              <w:spacing w:before="0" w:after="0"/>
              <w:jc w:val="center"/>
              <w:rPr>
                <w:b/>
              </w:rPr>
            </w:pPr>
            <w:r>
              <w:rPr>
                <w:b/>
              </w:rPr>
              <w:t>September 30,</w:t>
            </w:r>
          </w:p>
        </w:tc>
        <w:tc>
          <w:tcPr>
            <w:tcW w:w="95" w:type="dxa"/>
            <w:tcBorders/>
            <w:vAlign w:val="bottom"/>
          </w:tcPr>
          <w:p>
            <w:pPr>
              <w:pStyle w:val="TableContents"/>
              <w:bidi w:val="0"/>
              <w:spacing w:before="0" w:after="283"/>
              <w:jc w:val="left"/>
              <w:rPr/>
            </w:pPr>
            <w:r>
              <w:rPr/>
              <w:t> </w:t>
            </w:r>
          </w:p>
        </w:tc>
      </w:tr>
      <w:tr>
        <w:trPr/>
        <w:tc>
          <w:tcPr>
            <w:tcW w:w="35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74"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2023</w:t>
            </w:r>
          </w:p>
        </w:tc>
        <w:tc>
          <w:tcPr>
            <w:tcW w:w="103"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974"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2022</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12"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2023</w:t>
            </w:r>
          </w:p>
        </w:tc>
        <w:tc>
          <w:tcPr>
            <w:tcW w:w="96"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912"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2022</w:t>
            </w:r>
          </w:p>
        </w:tc>
        <w:tc>
          <w:tcPr>
            <w:tcW w:w="95" w:type="dxa"/>
            <w:tcBorders/>
            <w:vAlign w:val="bottom"/>
          </w:tcPr>
          <w:p>
            <w:pPr>
              <w:pStyle w:val="TableContents"/>
              <w:bidi w:val="0"/>
              <w:spacing w:before="0" w:after="283"/>
              <w:jc w:val="left"/>
              <w:rPr/>
            </w:pPr>
            <w:r>
              <w:rPr/>
              <w:t> </w:t>
            </w:r>
          </w:p>
        </w:tc>
      </w:tr>
      <w:tr>
        <w:trPr/>
        <w:tc>
          <w:tcPr>
            <w:tcW w:w="35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252" w:type="dxa"/>
            <w:gridSpan w:val="14"/>
            <w:tcBorders/>
            <w:vAlign w:val="bottom"/>
          </w:tcPr>
          <w:p>
            <w:pPr>
              <w:pStyle w:val="TableContents"/>
              <w:bidi w:val="0"/>
              <w:spacing w:before="0" w:after="0"/>
              <w:jc w:val="center"/>
              <w:rPr/>
            </w:pPr>
            <w:r>
              <w:rPr/>
              <w:t>(dollars in thousands)</w:t>
            </w:r>
          </w:p>
        </w:tc>
        <w:tc>
          <w:tcPr>
            <w:tcW w:w="95" w:type="dxa"/>
            <w:tcBorders/>
            <w:vAlign w:val="bottom"/>
          </w:tcPr>
          <w:p>
            <w:pPr>
              <w:pStyle w:val="TableContents"/>
              <w:bidi w:val="0"/>
              <w:spacing w:before="0" w:after="283"/>
              <w:jc w:val="left"/>
              <w:rPr/>
            </w:pPr>
            <w:r>
              <w:rPr/>
              <w:t> </w:t>
            </w:r>
          </w:p>
        </w:tc>
      </w:tr>
      <w:tr>
        <w:trPr/>
        <w:tc>
          <w:tcPr>
            <w:tcW w:w="3560" w:type="dxa"/>
            <w:tcBorders/>
            <w:shd w:fill="CCEEFF" w:val="clear"/>
            <w:vAlign w:val="bottom"/>
          </w:tcPr>
          <w:p>
            <w:pPr>
              <w:pStyle w:val="TableContents"/>
              <w:bidi w:val="0"/>
              <w:spacing w:before="0" w:after="0"/>
              <w:jc w:val="left"/>
              <w:rPr/>
            </w:pPr>
            <w:r>
              <w:rPr/>
              <w:t>Net loss</w:t>
            </w:r>
          </w:p>
        </w:tc>
        <w:tc>
          <w:tcPr>
            <w:tcW w:w="60"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0"/>
              <w:jc w:val="left"/>
              <w:rPr/>
            </w:pPr>
            <w:r>
              <w:rPr/>
              <w:t>$</w:t>
            </w:r>
          </w:p>
        </w:tc>
        <w:tc>
          <w:tcPr>
            <w:tcW w:w="822" w:type="dxa"/>
            <w:tcBorders/>
            <w:shd w:fill="CCEEFF" w:val="clear"/>
            <w:vAlign w:val="bottom"/>
          </w:tcPr>
          <w:p>
            <w:pPr>
              <w:pStyle w:val="TableContents"/>
              <w:bidi w:val="0"/>
              <w:spacing w:before="0" w:after="0"/>
              <w:jc w:val="right"/>
              <w:rPr/>
            </w:pPr>
            <w:r>
              <w:rPr/>
              <w:t>(23,136</w:t>
            </w:r>
          </w:p>
        </w:tc>
        <w:tc>
          <w:tcPr>
            <w:tcW w:w="103" w:type="dxa"/>
            <w:tcBorders/>
            <w:shd w:fill="CCEEFF" w:val="clear"/>
            <w:vAlign w:val="bottom"/>
          </w:tcPr>
          <w:p>
            <w:pPr>
              <w:pStyle w:val="TableContents"/>
              <w:bidi w:val="0"/>
              <w:spacing w:before="0" w:after="0"/>
              <w:jc w:val="left"/>
              <w:rPr/>
            </w:pPr>
            <w:r>
              <w:rPr/>
              <w:t>)</w:t>
            </w:r>
          </w:p>
        </w:tc>
        <w:tc>
          <w:tcPr>
            <w:tcW w:w="65"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0"/>
              <w:jc w:val="left"/>
              <w:rPr/>
            </w:pPr>
            <w:r>
              <w:rPr/>
              <w:t>$</w:t>
            </w:r>
          </w:p>
        </w:tc>
        <w:tc>
          <w:tcPr>
            <w:tcW w:w="822" w:type="dxa"/>
            <w:tcBorders/>
            <w:shd w:fill="CCEEFF" w:val="clear"/>
            <w:vAlign w:val="bottom"/>
          </w:tcPr>
          <w:p>
            <w:pPr>
              <w:pStyle w:val="TableContents"/>
              <w:bidi w:val="0"/>
              <w:spacing w:before="0" w:after="0"/>
              <w:jc w:val="right"/>
              <w:rPr/>
            </w:pPr>
            <w:r>
              <w:rPr/>
              <w:t>(26,026</w:t>
            </w:r>
          </w:p>
        </w:tc>
        <w:tc>
          <w:tcPr>
            <w:tcW w:w="95" w:type="dxa"/>
            <w:tcBorders/>
            <w:shd w:fill="CCEEFF" w:val="clear"/>
            <w:vAlign w:val="bottom"/>
          </w:tcPr>
          <w:p>
            <w:pPr>
              <w:pStyle w:val="TableContents"/>
              <w:bidi w:val="0"/>
              <w:spacing w:before="0" w:after="0"/>
              <w:jc w:val="left"/>
              <w:rPr/>
            </w:pPr>
            <w:r>
              <w:rPr/>
              <w:t>)</w:t>
            </w:r>
          </w:p>
        </w:tc>
        <w:tc>
          <w:tcPr>
            <w:tcW w:w="6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0"/>
              <w:jc w:val="left"/>
              <w:rPr/>
            </w:pPr>
            <w:r>
              <w:rPr/>
              <w:t>$</w:t>
            </w:r>
          </w:p>
        </w:tc>
        <w:tc>
          <w:tcPr>
            <w:tcW w:w="770" w:type="dxa"/>
            <w:tcBorders/>
            <w:shd w:fill="CCEEFF" w:val="clear"/>
            <w:vAlign w:val="bottom"/>
          </w:tcPr>
          <w:p>
            <w:pPr>
              <w:pStyle w:val="TableContents"/>
              <w:bidi w:val="0"/>
              <w:spacing w:before="0" w:after="0"/>
              <w:jc w:val="right"/>
              <w:rPr/>
            </w:pPr>
            <w:r>
              <w:rPr/>
              <w:t>(85,763</w:t>
            </w:r>
          </w:p>
        </w:tc>
        <w:tc>
          <w:tcPr>
            <w:tcW w:w="96" w:type="dxa"/>
            <w:tcBorders/>
            <w:shd w:fill="CCEEFF" w:val="clear"/>
            <w:vAlign w:val="bottom"/>
          </w:tcPr>
          <w:p>
            <w:pPr>
              <w:pStyle w:val="TableContents"/>
              <w:bidi w:val="0"/>
              <w:spacing w:before="0" w:after="0"/>
              <w:jc w:val="left"/>
              <w:rPr/>
            </w:pPr>
            <w:r>
              <w:rPr/>
              <w:t>)</w:t>
            </w:r>
          </w:p>
        </w:tc>
        <w:tc>
          <w:tcPr>
            <w:tcW w:w="61"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0"/>
              <w:jc w:val="left"/>
              <w:rPr/>
            </w:pPr>
            <w:r>
              <w:rPr/>
              <w:t>$</w:t>
            </w:r>
          </w:p>
        </w:tc>
        <w:tc>
          <w:tcPr>
            <w:tcW w:w="770" w:type="dxa"/>
            <w:tcBorders/>
            <w:shd w:fill="CCEEFF" w:val="clear"/>
            <w:vAlign w:val="bottom"/>
          </w:tcPr>
          <w:p>
            <w:pPr>
              <w:pStyle w:val="TableContents"/>
              <w:bidi w:val="0"/>
              <w:spacing w:before="0" w:after="0"/>
              <w:jc w:val="right"/>
              <w:rPr/>
            </w:pPr>
            <w:r>
              <w:rPr/>
              <w:t>(27,159</w:t>
            </w:r>
          </w:p>
        </w:tc>
        <w:tc>
          <w:tcPr>
            <w:tcW w:w="95" w:type="dxa"/>
            <w:tcBorders/>
            <w:shd w:fill="CCEEFF" w:val="clear"/>
            <w:vAlign w:val="bottom"/>
          </w:tcPr>
          <w:p>
            <w:pPr>
              <w:pStyle w:val="TableContents"/>
              <w:bidi w:val="0"/>
              <w:spacing w:before="0" w:after="0"/>
              <w:jc w:val="left"/>
              <w:rPr/>
            </w:pPr>
            <w:r>
              <w:rPr/>
              <w:t>)</w:t>
            </w:r>
          </w:p>
        </w:tc>
      </w:tr>
      <w:tr>
        <w:trPr/>
        <w:tc>
          <w:tcPr>
            <w:tcW w:w="3560" w:type="dxa"/>
            <w:tcBorders/>
            <w:vAlign w:val="bottom"/>
          </w:tcPr>
          <w:p>
            <w:pPr>
              <w:pStyle w:val="TableContents"/>
              <w:bidi w:val="0"/>
              <w:spacing w:before="0" w:after="0"/>
              <w:jc w:val="left"/>
              <w:rPr/>
            </w:pPr>
            <w:r>
              <w:rPr/>
              <w:t>Adjusted to exclude the following:</w:t>
            </w:r>
          </w:p>
        </w:tc>
        <w:tc>
          <w:tcPr>
            <w:tcW w:w="60" w:type="dxa"/>
            <w:tcBorders/>
            <w:vAlign w:val="bottom"/>
          </w:tcPr>
          <w:p>
            <w:pPr>
              <w:pStyle w:val="TableContents"/>
              <w:bidi w:val="0"/>
              <w:spacing w:before="0" w:after="283"/>
              <w:jc w:val="left"/>
              <w:rPr/>
            </w:pPr>
            <w:r>
              <w:rPr/>
              <w:t> </w:t>
            </w:r>
          </w:p>
        </w:tc>
        <w:tc>
          <w:tcPr>
            <w:tcW w:w="974" w:type="dxa"/>
            <w:gridSpan w:val="2"/>
            <w:tcBorders/>
            <w:vAlign w:val="bottom"/>
          </w:tcPr>
          <w:p>
            <w:pPr>
              <w:pStyle w:val="TableContents"/>
              <w:bidi w:val="0"/>
              <w:spacing w:before="0" w:after="0"/>
              <w:jc w:val="right"/>
              <w:rPr/>
            </w:pPr>
            <w:r>
              <w:rPr/>
              <w:t>​</w:t>
            </w:r>
          </w:p>
        </w:tc>
        <w:tc>
          <w:tcPr>
            <w:tcW w:w="103"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974" w:type="dxa"/>
            <w:gridSpan w:val="2"/>
            <w:tcBorders/>
            <w:vAlign w:val="bottom"/>
          </w:tcPr>
          <w:p>
            <w:pPr>
              <w:pStyle w:val="TableContents"/>
              <w:bidi w:val="0"/>
              <w:spacing w:before="0" w:after="0"/>
              <w:jc w:val="right"/>
              <w:rPr/>
            </w:pPr>
            <w:r>
              <w:rPr/>
              <w: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12" w:type="dxa"/>
            <w:gridSpan w:val="2"/>
            <w:tcBorders/>
            <w:vAlign w:val="bottom"/>
          </w:tcPr>
          <w:p>
            <w:pPr>
              <w:pStyle w:val="TableContents"/>
              <w:bidi w:val="0"/>
              <w:spacing w:before="0" w:after="0"/>
              <w:jc w:val="right"/>
              <w:rPr/>
            </w:pPr>
            <w:r>
              <w:rPr/>
              <w:t>​</w:t>
            </w:r>
          </w:p>
        </w:tc>
        <w:tc>
          <w:tcPr>
            <w:tcW w:w="96"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912" w:type="dxa"/>
            <w:gridSpan w:val="2"/>
            <w:tcBorders/>
            <w:vAlign w:val="bottom"/>
          </w:tcPr>
          <w:p>
            <w:pPr>
              <w:pStyle w:val="TableContents"/>
              <w:bidi w:val="0"/>
              <w:spacing w:before="0" w:after="0"/>
              <w:jc w:val="right"/>
              <w:rPr/>
            </w:pPr>
            <w:r>
              <w:rPr/>
              <w:t>​</w:t>
            </w:r>
          </w:p>
        </w:tc>
        <w:tc>
          <w:tcPr>
            <w:tcW w:w="95" w:type="dxa"/>
            <w:tcBorders/>
            <w:vAlign w:val="bottom"/>
          </w:tcPr>
          <w:p>
            <w:pPr>
              <w:pStyle w:val="TableContents"/>
              <w:bidi w:val="0"/>
              <w:spacing w:before="0" w:after="283"/>
              <w:jc w:val="left"/>
              <w:rPr/>
            </w:pPr>
            <w:r>
              <w:rPr/>
              <w:t> </w:t>
            </w:r>
          </w:p>
        </w:tc>
      </w:tr>
      <w:tr>
        <w:trPr/>
        <w:tc>
          <w:tcPr>
            <w:tcW w:w="3560" w:type="dxa"/>
            <w:tcBorders/>
            <w:shd w:fill="CCEEFF" w:val="clear"/>
            <w:vAlign w:val="bottom"/>
          </w:tcPr>
          <w:p>
            <w:pPr>
              <w:pStyle w:val="TableContents"/>
              <w:bidi w:val="0"/>
              <w:spacing w:before="0" w:after="0"/>
              <w:jc w:val="left"/>
              <w:rPr/>
            </w:pPr>
            <w:r>
              <w:rPr/>
              <w:t>Finance (income) expenses, net</w:t>
            </w:r>
          </w:p>
        </w:tc>
        <w:tc>
          <w:tcPr>
            <w:tcW w:w="60"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822" w:type="dxa"/>
            <w:tcBorders/>
            <w:shd w:fill="CCEEFF" w:val="clear"/>
            <w:vAlign w:val="bottom"/>
          </w:tcPr>
          <w:p>
            <w:pPr>
              <w:pStyle w:val="TableContents"/>
              <w:bidi w:val="0"/>
              <w:spacing w:before="0" w:after="0"/>
              <w:jc w:val="right"/>
              <w:rPr/>
            </w:pPr>
            <w:r>
              <w:rPr/>
              <w:t>4,402</w:t>
            </w:r>
          </w:p>
        </w:tc>
        <w:tc>
          <w:tcPr>
            <w:tcW w:w="103"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822" w:type="dxa"/>
            <w:tcBorders/>
            <w:shd w:fill="CCEEFF" w:val="clear"/>
            <w:vAlign w:val="bottom"/>
          </w:tcPr>
          <w:p>
            <w:pPr>
              <w:pStyle w:val="TableContents"/>
              <w:bidi w:val="0"/>
              <w:spacing w:before="0" w:after="0"/>
              <w:jc w:val="right"/>
              <w:rPr/>
            </w:pPr>
            <w:r>
              <w:rPr/>
              <w:t>3,570</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770" w:type="dxa"/>
            <w:tcBorders/>
            <w:shd w:fill="CCEEFF" w:val="clear"/>
            <w:vAlign w:val="bottom"/>
          </w:tcPr>
          <w:p>
            <w:pPr>
              <w:pStyle w:val="TableContents"/>
              <w:bidi w:val="0"/>
              <w:spacing w:before="0" w:after="0"/>
              <w:jc w:val="right"/>
              <w:rPr/>
            </w:pPr>
            <w:r>
              <w:rPr/>
              <w:t>11,383</w:t>
            </w:r>
          </w:p>
        </w:tc>
        <w:tc>
          <w:tcPr>
            <w:tcW w:w="96"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770" w:type="dxa"/>
            <w:tcBorders/>
            <w:shd w:fill="CCEEFF" w:val="clear"/>
            <w:vAlign w:val="bottom"/>
          </w:tcPr>
          <w:p>
            <w:pPr>
              <w:pStyle w:val="TableContents"/>
              <w:bidi w:val="0"/>
              <w:spacing w:before="0" w:after="0"/>
              <w:jc w:val="right"/>
              <w:rPr/>
            </w:pPr>
            <w:r>
              <w:rPr/>
              <w:t>(12,389</w:t>
            </w:r>
          </w:p>
        </w:tc>
        <w:tc>
          <w:tcPr>
            <w:tcW w:w="95" w:type="dxa"/>
            <w:tcBorders/>
            <w:shd w:fill="CCEEFF" w:val="clear"/>
            <w:vAlign w:val="bottom"/>
          </w:tcPr>
          <w:p>
            <w:pPr>
              <w:pStyle w:val="TableContents"/>
              <w:bidi w:val="0"/>
              <w:spacing w:before="0" w:after="0"/>
              <w:jc w:val="left"/>
              <w:rPr/>
            </w:pPr>
            <w:r>
              <w:rPr/>
              <w:t>)</w:t>
            </w:r>
          </w:p>
        </w:tc>
      </w:tr>
      <w:tr>
        <w:trPr/>
        <w:tc>
          <w:tcPr>
            <w:tcW w:w="3560" w:type="dxa"/>
            <w:tcBorders/>
            <w:vAlign w:val="bottom"/>
          </w:tcPr>
          <w:p>
            <w:pPr>
              <w:pStyle w:val="TableContents"/>
              <w:bidi w:val="0"/>
              <w:spacing w:before="0" w:after="0"/>
              <w:jc w:val="left"/>
              <w:rPr/>
            </w:pPr>
            <w:r>
              <w:rPr/>
              <w:t>Income tax expenses</w:t>
            </w:r>
          </w:p>
        </w:tc>
        <w:tc>
          <w:tcPr>
            <w:tcW w:w="6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822" w:type="dxa"/>
            <w:tcBorders/>
            <w:vAlign w:val="bottom"/>
          </w:tcPr>
          <w:p>
            <w:pPr>
              <w:pStyle w:val="TableContents"/>
              <w:bidi w:val="0"/>
              <w:spacing w:before="0" w:after="0"/>
              <w:jc w:val="right"/>
              <w:rPr/>
            </w:pPr>
            <w:r>
              <w:rPr/>
              <w:t>—</w:t>
            </w:r>
          </w:p>
        </w:tc>
        <w:tc>
          <w:tcPr>
            <w:tcW w:w="103"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822" w:type="dxa"/>
            <w:tcBorders/>
            <w:vAlign w:val="bottom"/>
          </w:tcPr>
          <w:p>
            <w:pPr>
              <w:pStyle w:val="TableContents"/>
              <w:bidi w:val="0"/>
              <w:spacing w:before="0" w:after="0"/>
              <w:jc w:val="right"/>
              <w:rPr/>
            </w:pPr>
            <w:r>
              <w:rPr/>
              <w:t>1,006</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770" w:type="dxa"/>
            <w:tcBorders/>
            <w:vAlign w:val="bottom"/>
          </w:tcPr>
          <w:p>
            <w:pPr>
              <w:pStyle w:val="TableContents"/>
              <w:bidi w:val="0"/>
              <w:spacing w:before="0" w:after="0"/>
              <w:jc w:val="right"/>
              <w:rPr/>
            </w:pPr>
            <w:r>
              <w:rPr/>
              <w:t>1,848</w:t>
            </w:r>
          </w:p>
        </w:tc>
        <w:tc>
          <w:tcPr>
            <w:tcW w:w="96"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770" w:type="dxa"/>
            <w:tcBorders/>
            <w:vAlign w:val="bottom"/>
          </w:tcPr>
          <w:p>
            <w:pPr>
              <w:pStyle w:val="TableContents"/>
              <w:bidi w:val="0"/>
              <w:spacing w:before="0" w:after="0"/>
              <w:jc w:val="right"/>
              <w:rPr/>
            </w:pPr>
            <w:r>
              <w:rPr/>
              <w:t>848</w:t>
            </w:r>
          </w:p>
        </w:tc>
        <w:tc>
          <w:tcPr>
            <w:tcW w:w="95" w:type="dxa"/>
            <w:tcBorders/>
            <w:vAlign w:val="bottom"/>
          </w:tcPr>
          <w:p>
            <w:pPr>
              <w:pStyle w:val="TableContents"/>
              <w:bidi w:val="0"/>
              <w:spacing w:before="0" w:after="283"/>
              <w:jc w:val="left"/>
              <w:rPr/>
            </w:pPr>
            <w:r>
              <w:rPr/>
              <w:t> </w:t>
            </w:r>
          </w:p>
        </w:tc>
      </w:tr>
      <w:tr>
        <w:trPr/>
        <w:tc>
          <w:tcPr>
            <w:tcW w:w="3560" w:type="dxa"/>
            <w:tcBorders/>
            <w:shd w:fill="CCEEFF" w:val="clear"/>
            <w:vAlign w:val="bottom"/>
          </w:tcPr>
          <w:p>
            <w:pPr>
              <w:pStyle w:val="TableContents"/>
              <w:bidi w:val="0"/>
              <w:spacing w:before="0" w:after="0"/>
              <w:jc w:val="left"/>
              <w:rPr/>
            </w:pPr>
            <w:r>
              <w:rPr/>
              <w:t>Depreciation and amortization</w:t>
            </w:r>
          </w:p>
        </w:tc>
        <w:tc>
          <w:tcPr>
            <w:tcW w:w="60"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822" w:type="dxa"/>
            <w:tcBorders/>
            <w:shd w:fill="CCEEFF" w:val="clear"/>
            <w:vAlign w:val="bottom"/>
          </w:tcPr>
          <w:p>
            <w:pPr>
              <w:pStyle w:val="TableContents"/>
              <w:bidi w:val="0"/>
              <w:spacing w:before="0" w:after="0"/>
              <w:jc w:val="right"/>
              <w:rPr/>
            </w:pPr>
            <w:r>
              <w:rPr/>
              <w:t>25,316</w:t>
            </w:r>
          </w:p>
        </w:tc>
        <w:tc>
          <w:tcPr>
            <w:tcW w:w="103"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822" w:type="dxa"/>
            <w:tcBorders/>
            <w:shd w:fill="CCEEFF" w:val="clear"/>
            <w:vAlign w:val="bottom"/>
          </w:tcPr>
          <w:p>
            <w:pPr>
              <w:pStyle w:val="TableContents"/>
              <w:bidi w:val="0"/>
              <w:spacing w:before="0" w:after="0"/>
              <w:jc w:val="right"/>
              <w:rPr/>
            </w:pPr>
            <w:r>
              <w:rPr/>
              <w:t>23,222</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770" w:type="dxa"/>
            <w:tcBorders/>
            <w:shd w:fill="CCEEFF" w:val="clear"/>
            <w:vAlign w:val="bottom"/>
          </w:tcPr>
          <w:p>
            <w:pPr>
              <w:pStyle w:val="TableContents"/>
              <w:bidi w:val="0"/>
              <w:spacing w:before="0" w:after="0"/>
              <w:jc w:val="right"/>
              <w:rPr/>
            </w:pPr>
            <w:r>
              <w:rPr/>
              <w:t>70,709</w:t>
            </w:r>
          </w:p>
        </w:tc>
        <w:tc>
          <w:tcPr>
            <w:tcW w:w="96"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770" w:type="dxa"/>
            <w:tcBorders/>
            <w:shd w:fill="CCEEFF" w:val="clear"/>
            <w:vAlign w:val="bottom"/>
          </w:tcPr>
          <w:p>
            <w:pPr>
              <w:pStyle w:val="TableContents"/>
              <w:bidi w:val="0"/>
              <w:spacing w:before="0" w:after="0"/>
              <w:jc w:val="right"/>
              <w:rPr/>
            </w:pPr>
            <w:r>
              <w:rPr/>
              <w:t>68,711</w:t>
            </w:r>
          </w:p>
        </w:tc>
        <w:tc>
          <w:tcPr>
            <w:tcW w:w="95" w:type="dxa"/>
            <w:tcBorders/>
            <w:shd w:fill="CCEEFF" w:val="clear"/>
            <w:vAlign w:val="bottom"/>
          </w:tcPr>
          <w:p>
            <w:pPr>
              <w:pStyle w:val="TableContents"/>
              <w:bidi w:val="0"/>
              <w:spacing w:before="0" w:after="283"/>
              <w:jc w:val="left"/>
              <w:rPr/>
            </w:pPr>
            <w:r>
              <w:rPr/>
              <w:t> </w:t>
            </w:r>
          </w:p>
        </w:tc>
      </w:tr>
      <w:tr>
        <w:trPr/>
        <w:tc>
          <w:tcPr>
            <w:tcW w:w="3560" w:type="dxa"/>
            <w:tcBorders/>
            <w:vAlign w:val="bottom"/>
          </w:tcPr>
          <w:p>
            <w:pPr>
              <w:pStyle w:val="TableContents"/>
              <w:bidi w:val="0"/>
              <w:spacing w:before="0" w:after="0"/>
              <w:jc w:val="left"/>
              <w:rPr/>
            </w:pPr>
            <w:r>
              <w:rPr/>
              <w:t>Share-based compensation expenses</w:t>
            </w:r>
          </w:p>
        </w:tc>
        <w:tc>
          <w:tcPr>
            <w:tcW w:w="6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822" w:type="dxa"/>
            <w:tcBorders/>
            <w:vAlign w:val="bottom"/>
          </w:tcPr>
          <w:p>
            <w:pPr>
              <w:pStyle w:val="TableContents"/>
              <w:bidi w:val="0"/>
              <w:spacing w:before="0" w:after="0"/>
              <w:jc w:val="right"/>
              <w:rPr/>
            </w:pPr>
            <w:r>
              <w:rPr/>
              <w:t>13,605</w:t>
            </w:r>
          </w:p>
        </w:tc>
        <w:tc>
          <w:tcPr>
            <w:tcW w:w="103"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822" w:type="dxa"/>
            <w:tcBorders/>
            <w:vAlign w:val="bottom"/>
          </w:tcPr>
          <w:p>
            <w:pPr>
              <w:pStyle w:val="TableContents"/>
              <w:bidi w:val="0"/>
              <w:spacing w:before="0" w:after="0"/>
              <w:jc w:val="right"/>
              <w:rPr/>
            </w:pPr>
            <w:r>
              <w:rPr/>
              <w:t>15,937</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770" w:type="dxa"/>
            <w:tcBorders/>
            <w:vAlign w:val="bottom"/>
          </w:tcPr>
          <w:p>
            <w:pPr>
              <w:pStyle w:val="TableContents"/>
              <w:bidi w:val="0"/>
              <w:spacing w:before="0" w:after="0"/>
              <w:jc w:val="right"/>
              <w:rPr/>
            </w:pPr>
            <w:r>
              <w:rPr/>
              <w:t>41,022</w:t>
            </w:r>
          </w:p>
        </w:tc>
        <w:tc>
          <w:tcPr>
            <w:tcW w:w="96"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770" w:type="dxa"/>
            <w:tcBorders/>
            <w:vAlign w:val="bottom"/>
          </w:tcPr>
          <w:p>
            <w:pPr>
              <w:pStyle w:val="TableContents"/>
              <w:bidi w:val="0"/>
              <w:spacing w:before="0" w:after="0"/>
              <w:jc w:val="right"/>
              <w:rPr/>
            </w:pPr>
            <w:r>
              <w:rPr/>
              <w:t>50,616</w:t>
            </w:r>
          </w:p>
        </w:tc>
        <w:tc>
          <w:tcPr>
            <w:tcW w:w="95" w:type="dxa"/>
            <w:tcBorders/>
            <w:vAlign w:val="bottom"/>
          </w:tcPr>
          <w:p>
            <w:pPr>
              <w:pStyle w:val="TableContents"/>
              <w:bidi w:val="0"/>
              <w:spacing w:before="0" w:after="283"/>
              <w:jc w:val="left"/>
              <w:rPr/>
            </w:pPr>
            <w:r>
              <w:rPr/>
              <w:t> </w:t>
            </w:r>
          </w:p>
        </w:tc>
      </w:tr>
      <w:tr>
        <w:trPr/>
        <w:tc>
          <w:tcPr>
            <w:tcW w:w="3560" w:type="dxa"/>
            <w:tcBorders/>
            <w:shd w:fill="CCEEFF" w:val="clear"/>
            <w:vAlign w:val="bottom"/>
          </w:tcPr>
          <w:p>
            <w:pPr>
              <w:pStyle w:val="TableContents"/>
              <w:bidi w:val="0"/>
              <w:spacing w:before="0" w:after="0"/>
              <w:jc w:val="left"/>
              <w:rPr/>
            </w:pPr>
            <w:r>
              <w:rPr/>
              <w:t>Restructuring expenses (1)</w:t>
            </w:r>
          </w:p>
        </w:tc>
        <w:tc>
          <w:tcPr>
            <w:tcW w:w="60"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822" w:type="dxa"/>
            <w:tcBorders/>
            <w:shd w:fill="CCEEFF" w:val="clear"/>
            <w:vAlign w:val="bottom"/>
          </w:tcPr>
          <w:p>
            <w:pPr>
              <w:pStyle w:val="TableContents"/>
              <w:bidi w:val="0"/>
              <w:spacing w:before="0" w:after="0"/>
              <w:jc w:val="right"/>
              <w:rPr/>
            </w:pPr>
            <w:r>
              <w:rPr/>
              <w:t>—</w:t>
            </w:r>
          </w:p>
        </w:tc>
        <w:tc>
          <w:tcPr>
            <w:tcW w:w="103"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822" w:type="dxa"/>
            <w:tcBorders/>
            <w:shd w:fill="CCEEFF" w:val="clear"/>
            <w:vAlign w:val="bottom"/>
          </w:tcPr>
          <w:p>
            <w:pPr>
              <w:pStyle w:val="TableContents"/>
              <w:bidi w:val="0"/>
              <w:spacing w:before="0" w:after="0"/>
              <w:jc w:val="right"/>
              <w:rPr/>
            </w:pPr>
            <w:r>
              <w:rPr/>
              <w:t>3,383</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770" w:type="dxa"/>
            <w:tcBorders/>
            <w:shd w:fill="CCEEFF" w:val="clear"/>
            <w:vAlign w:val="bottom"/>
          </w:tcPr>
          <w:p>
            <w:pPr>
              <w:pStyle w:val="TableContents"/>
              <w:bidi w:val="0"/>
              <w:spacing w:before="0" w:after="0"/>
              <w:jc w:val="right"/>
              <w:rPr/>
            </w:pPr>
            <w:r>
              <w:rPr/>
              <w:t>—</w:t>
            </w:r>
          </w:p>
        </w:tc>
        <w:tc>
          <w:tcPr>
            <w:tcW w:w="96"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770" w:type="dxa"/>
            <w:tcBorders/>
            <w:shd w:fill="CCEEFF" w:val="clear"/>
            <w:vAlign w:val="bottom"/>
          </w:tcPr>
          <w:p>
            <w:pPr>
              <w:pStyle w:val="TableContents"/>
              <w:bidi w:val="0"/>
              <w:spacing w:before="0" w:after="0"/>
              <w:jc w:val="right"/>
              <w:rPr/>
            </w:pPr>
            <w:r>
              <w:rPr/>
              <w:t>3,383</w:t>
            </w:r>
          </w:p>
        </w:tc>
        <w:tc>
          <w:tcPr>
            <w:tcW w:w="95" w:type="dxa"/>
            <w:tcBorders/>
            <w:shd w:fill="CCEEFF" w:val="clear"/>
            <w:vAlign w:val="bottom"/>
          </w:tcPr>
          <w:p>
            <w:pPr>
              <w:pStyle w:val="TableContents"/>
              <w:bidi w:val="0"/>
              <w:spacing w:before="0" w:after="283"/>
              <w:jc w:val="left"/>
              <w:rPr/>
            </w:pPr>
            <w:r>
              <w:rPr/>
              <w:t> </w:t>
            </w:r>
          </w:p>
        </w:tc>
      </w:tr>
      <w:tr>
        <w:trPr/>
        <w:tc>
          <w:tcPr>
            <w:tcW w:w="3560" w:type="dxa"/>
            <w:tcBorders/>
            <w:vAlign w:val="bottom"/>
          </w:tcPr>
          <w:p>
            <w:pPr>
              <w:pStyle w:val="TableContents"/>
              <w:bidi w:val="0"/>
              <w:spacing w:before="0" w:after="0"/>
              <w:jc w:val="left"/>
              <w:rPr/>
            </w:pPr>
            <w:r>
              <w:rPr/>
              <w:t>Holdback compensation expenses (2)</w:t>
            </w:r>
          </w:p>
        </w:tc>
        <w:tc>
          <w:tcPr>
            <w:tcW w:w="6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822" w:type="dxa"/>
            <w:tcBorders/>
            <w:vAlign w:val="bottom"/>
          </w:tcPr>
          <w:p>
            <w:pPr>
              <w:pStyle w:val="TableContents"/>
              <w:bidi w:val="0"/>
              <w:spacing w:before="0" w:after="0"/>
              <w:jc w:val="right"/>
              <w:rPr/>
            </w:pPr>
            <w:r>
              <w:rPr/>
              <w:t>2,646</w:t>
            </w:r>
          </w:p>
        </w:tc>
        <w:tc>
          <w:tcPr>
            <w:tcW w:w="103"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822" w:type="dxa"/>
            <w:tcBorders/>
            <w:vAlign w:val="bottom"/>
          </w:tcPr>
          <w:p>
            <w:pPr>
              <w:pStyle w:val="TableContents"/>
              <w:bidi w:val="0"/>
              <w:spacing w:before="0" w:after="0"/>
              <w:jc w:val="right"/>
              <w:rPr/>
            </w:pPr>
            <w:r>
              <w:rPr/>
              <w:t>2,773</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770" w:type="dxa"/>
            <w:tcBorders/>
            <w:vAlign w:val="bottom"/>
          </w:tcPr>
          <w:p>
            <w:pPr>
              <w:pStyle w:val="TableContents"/>
              <w:bidi w:val="0"/>
              <w:spacing w:before="0" w:after="0"/>
              <w:jc w:val="right"/>
              <w:rPr/>
            </w:pPr>
            <w:r>
              <w:rPr/>
              <w:t>7,846</w:t>
            </w:r>
          </w:p>
        </w:tc>
        <w:tc>
          <w:tcPr>
            <w:tcW w:w="96"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770" w:type="dxa"/>
            <w:tcBorders/>
            <w:vAlign w:val="bottom"/>
          </w:tcPr>
          <w:p>
            <w:pPr>
              <w:pStyle w:val="TableContents"/>
              <w:bidi w:val="0"/>
              <w:spacing w:before="0" w:after="0"/>
              <w:jc w:val="right"/>
              <w:rPr/>
            </w:pPr>
            <w:r>
              <w:rPr/>
              <w:t>8,355</w:t>
            </w:r>
          </w:p>
        </w:tc>
        <w:tc>
          <w:tcPr>
            <w:tcW w:w="95" w:type="dxa"/>
            <w:tcBorders/>
            <w:vAlign w:val="bottom"/>
          </w:tcPr>
          <w:p>
            <w:pPr>
              <w:pStyle w:val="TableContents"/>
              <w:bidi w:val="0"/>
              <w:spacing w:before="0" w:after="283"/>
              <w:jc w:val="left"/>
              <w:rPr/>
            </w:pPr>
            <w:r>
              <w:rPr/>
              <w:t> </w:t>
            </w:r>
          </w:p>
        </w:tc>
      </w:tr>
      <w:tr>
        <w:trPr/>
        <w:tc>
          <w:tcPr>
            <w:tcW w:w="3560" w:type="dxa"/>
            <w:tcBorders/>
            <w:shd w:fill="CCEEFF" w:val="clear"/>
            <w:vAlign w:val="bottom"/>
          </w:tcPr>
          <w:p>
            <w:pPr>
              <w:pStyle w:val="TableContents"/>
              <w:bidi w:val="0"/>
              <w:spacing w:before="0" w:after="0"/>
              <w:jc w:val="left"/>
              <w:rPr/>
            </w:pPr>
            <w:r>
              <w:rPr/>
              <w:t>M&amp;A and other costs (3)</w:t>
            </w:r>
          </w:p>
        </w:tc>
        <w:tc>
          <w:tcPr>
            <w:tcW w:w="60" w:type="dxa"/>
            <w:tcBorders/>
            <w:shd w:fill="CCEEFF" w:val="clear"/>
            <w:vAlign w:val="bottom"/>
          </w:tcPr>
          <w:p>
            <w:pPr>
              <w:pStyle w:val="TableContents"/>
              <w:bidi w:val="0"/>
              <w:spacing w:before="0" w:after="283"/>
              <w:jc w:val="left"/>
              <w:rPr/>
            </w:pPr>
            <w:r>
              <w:rPr/>
              <w:t> </w:t>
            </w:r>
          </w:p>
        </w:tc>
        <w:tc>
          <w:tcPr>
            <w:tcW w:w="15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22" w:type="dxa"/>
            <w:tcBorders>
              <w:bottom w:val="single" w:sz="12" w:space="0" w:color="000000"/>
            </w:tcBorders>
            <w:shd w:fill="CCEEFF" w:val="clear"/>
            <w:tcMar>
              <w:bottom w:w="28" w:type="dxa"/>
            </w:tcMar>
            <w:vAlign w:val="bottom"/>
          </w:tcPr>
          <w:p>
            <w:pPr>
              <w:pStyle w:val="TableContents"/>
              <w:bidi w:val="0"/>
              <w:spacing w:before="0" w:after="0"/>
              <w:jc w:val="right"/>
              <w:rPr/>
            </w:pPr>
            <w:r>
              <w:rPr/>
              <w:t>—</w:t>
            </w:r>
          </w:p>
        </w:tc>
        <w:tc>
          <w:tcPr>
            <w:tcW w:w="103"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15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22" w:type="dxa"/>
            <w:tcBorders>
              <w:bottom w:val="single" w:sz="12" w:space="0" w:color="000000"/>
            </w:tcBorders>
            <w:shd w:fill="CCEEFF" w:val="clear"/>
            <w:tcMar>
              <w:bottom w:w="28" w:type="dxa"/>
            </w:tcMar>
            <w:vAlign w:val="bottom"/>
          </w:tcPr>
          <w:p>
            <w:pPr>
              <w:pStyle w:val="TableContents"/>
              <w:bidi w:val="0"/>
              <w:spacing w:before="0" w:after="0"/>
              <w:jc w:val="right"/>
              <w:rPr/>
            </w:pPr>
            <w:r>
              <w:rPr/>
              <w:t>292</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70" w:type="dxa"/>
            <w:tcBorders>
              <w:bottom w:val="single" w:sz="12" w:space="0" w:color="000000"/>
            </w:tcBorders>
            <w:shd w:fill="CCEEFF" w:val="clear"/>
            <w:tcMar>
              <w:bottom w:w="28" w:type="dxa"/>
            </w:tcMar>
            <w:vAlign w:val="bottom"/>
          </w:tcPr>
          <w:p>
            <w:pPr>
              <w:pStyle w:val="TableContents"/>
              <w:bidi w:val="0"/>
              <w:spacing w:before="0" w:after="0"/>
              <w:jc w:val="right"/>
              <w:rPr/>
            </w:pPr>
            <w:r>
              <w:rPr/>
              <w:t>1,571</w:t>
            </w:r>
          </w:p>
        </w:tc>
        <w:tc>
          <w:tcPr>
            <w:tcW w:w="96"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14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70" w:type="dxa"/>
            <w:tcBorders>
              <w:bottom w:val="single" w:sz="12" w:space="0" w:color="000000"/>
            </w:tcBorders>
            <w:shd w:fill="CCEEFF" w:val="clear"/>
            <w:tcMar>
              <w:bottom w:w="28" w:type="dxa"/>
            </w:tcMar>
            <w:vAlign w:val="bottom"/>
          </w:tcPr>
          <w:p>
            <w:pPr>
              <w:pStyle w:val="TableContents"/>
              <w:bidi w:val="0"/>
              <w:spacing w:before="0" w:after="0"/>
              <w:jc w:val="right"/>
              <w:rPr/>
            </w:pPr>
            <w:r>
              <w:rPr/>
              <w:t>816</w:t>
            </w:r>
          </w:p>
        </w:tc>
        <w:tc>
          <w:tcPr>
            <w:tcW w:w="95" w:type="dxa"/>
            <w:tcBorders/>
            <w:shd w:fill="CCEEFF" w:val="clear"/>
            <w:vAlign w:val="bottom"/>
          </w:tcPr>
          <w:p>
            <w:pPr>
              <w:pStyle w:val="TableContents"/>
              <w:bidi w:val="0"/>
              <w:spacing w:before="0" w:after="283"/>
              <w:jc w:val="left"/>
              <w:rPr/>
            </w:pPr>
            <w:r>
              <w:rPr/>
              <w:t> </w:t>
            </w:r>
          </w:p>
        </w:tc>
      </w:tr>
      <w:tr>
        <w:trPr/>
        <w:tc>
          <w:tcPr>
            <w:tcW w:w="3560" w:type="dxa"/>
            <w:tcBorders/>
            <w:vAlign w:val="bottom"/>
          </w:tcPr>
          <w:p>
            <w:pPr>
              <w:pStyle w:val="TableContents"/>
              <w:bidi w:val="0"/>
              <w:spacing w:before="0" w:after="0"/>
              <w:jc w:val="left"/>
              <w:rPr/>
            </w:pPr>
            <w:r>
              <w:rPr/>
              <w:t>Adjusted EBITDA</w:t>
            </w:r>
          </w:p>
        </w:tc>
        <w:tc>
          <w:tcPr>
            <w:tcW w:w="60" w:type="dxa"/>
            <w:tcBorders/>
            <w:vAlign w:val="bottom"/>
          </w:tcPr>
          <w:p>
            <w:pPr>
              <w:pStyle w:val="TableContents"/>
              <w:bidi w:val="0"/>
              <w:spacing w:before="0" w:after="283"/>
              <w:jc w:val="left"/>
              <w:rPr/>
            </w:pPr>
            <w:r>
              <w:rPr/>
              <w:t> </w:t>
            </w:r>
          </w:p>
        </w:tc>
        <w:tc>
          <w:tcPr>
            <w:tcW w:w="152" w:type="dxa"/>
            <w:tcBorders>
              <w:bottom w:val="single" w:sz="12" w:space="0" w:color="000000"/>
            </w:tcBorders>
            <w:tcMar>
              <w:bottom w:w="28" w:type="dxa"/>
            </w:tcMar>
            <w:vAlign w:val="bottom"/>
          </w:tcPr>
          <w:p>
            <w:pPr>
              <w:pStyle w:val="TableContents"/>
              <w:bidi w:val="0"/>
              <w:spacing w:before="0" w:after="0"/>
              <w:jc w:val="left"/>
              <w:rPr/>
            </w:pPr>
            <w:r>
              <w:rPr/>
              <w:t>$</w:t>
            </w:r>
          </w:p>
        </w:tc>
        <w:tc>
          <w:tcPr>
            <w:tcW w:w="822" w:type="dxa"/>
            <w:tcBorders>
              <w:bottom w:val="single" w:sz="12" w:space="0" w:color="000000"/>
            </w:tcBorders>
            <w:tcMar>
              <w:bottom w:w="28" w:type="dxa"/>
            </w:tcMar>
            <w:vAlign w:val="bottom"/>
          </w:tcPr>
          <w:p>
            <w:pPr>
              <w:pStyle w:val="TableContents"/>
              <w:bidi w:val="0"/>
              <w:spacing w:before="0" w:after="0"/>
              <w:jc w:val="right"/>
              <w:rPr/>
            </w:pPr>
            <w:r>
              <w:rPr/>
              <w:t>22,833</w:t>
            </w:r>
          </w:p>
        </w:tc>
        <w:tc>
          <w:tcPr>
            <w:tcW w:w="103"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152" w:type="dxa"/>
            <w:tcBorders>
              <w:bottom w:val="single" w:sz="12" w:space="0" w:color="000000"/>
            </w:tcBorders>
            <w:tcMar>
              <w:bottom w:w="28" w:type="dxa"/>
            </w:tcMar>
            <w:vAlign w:val="bottom"/>
          </w:tcPr>
          <w:p>
            <w:pPr>
              <w:pStyle w:val="TableContents"/>
              <w:bidi w:val="0"/>
              <w:spacing w:before="0" w:after="0"/>
              <w:jc w:val="left"/>
              <w:rPr/>
            </w:pPr>
            <w:r>
              <w:rPr/>
              <w:t>$</w:t>
            </w:r>
          </w:p>
        </w:tc>
        <w:tc>
          <w:tcPr>
            <w:tcW w:w="822" w:type="dxa"/>
            <w:tcBorders>
              <w:bottom w:val="single" w:sz="12" w:space="0" w:color="000000"/>
            </w:tcBorders>
            <w:tcMar>
              <w:bottom w:w="28" w:type="dxa"/>
            </w:tcMar>
            <w:vAlign w:val="bottom"/>
          </w:tcPr>
          <w:p>
            <w:pPr>
              <w:pStyle w:val="TableContents"/>
              <w:bidi w:val="0"/>
              <w:spacing w:before="0" w:after="0"/>
              <w:jc w:val="right"/>
              <w:rPr/>
            </w:pPr>
            <w:r>
              <w:rPr/>
              <w:t>24,157</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2" w:type="dxa"/>
            <w:tcBorders>
              <w:bottom w:val="single" w:sz="12" w:space="0" w:color="000000"/>
            </w:tcBorders>
            <w:tcMar>
              <w:bottom w:w="28" w:type="dxa"/>
            </w:tcMar>
            <w:vAlign w:val="bottom"/>
          </w:tcPr>
          <w:p>
            <w:pPr>
              <w:pStyle w:val="TableContents"/>
              <w:bidi w:val="0"/>
              <w:spacing w:before="0" w:after="0"/>
              <w:jc w:val="left"/>
              <w:rPr/>
            </w:pPr>
            <w:r>
              <w:rPr/>
              <w:t>$</w:t>
            </w:r>
          </w:p>
        </w:tc>
        <w:tc>
          <w:tcPr>
            <w:tcW w:w="770" w:type="dxa"/>
            <w:tcBorders>
              <w:bottom w:val="single" w:sz="12" w:space="0" w:color="000000"/>
            </w:tcBorders>
            <w:tcMar>
              <w:bottom w:w="28" w:type="dxa"/>
            </w:tcMar>
            <w:vAlign w:val="bottom"/>
          </w:tcPr>
          <w:p>
            <w:pPr>
              <w:pStyle w:val="TableContents"/>
              <w:bidi w:val="0"/>
              <w:spacing w:before="0" w:after="0"/>
              <w:jc w:val="right"/>
              <w:rPr/>
            </w:pPr>
            <w:r>
              <w:rPr/>
              <w:t>48,616</w:t>
            </w:r>
          </w:p>
        </w:tc>
        <w:tc>
          <w:tcPr>
            <w:tcW w:w="96"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142" w:type="dxa"/>
            <w:tcBorders>
              <w:bottom w:val="single" w:sz="12" w:space="0" w:color="000000"/>
            </w:tcBorders>
            <w:tcMar>
              <w:bottom w:w="28" w:type="dxa"/>
            </w:tcMar>
            <w:vAlign w:val="bottom"/>
          </w:tcPr>
          <w:p>
            <w:pPr>
              <w:pStyle w:val="TableContents"/>
              <w:bidi w:val="0"/>
              <w:spacing w:before="0" w:after="0"/>
              <w:jc w:val="left"/>
              <w:rPr/>
            </w:pPr>
            <w:r>
              <w:rPr/>
              <w:t>$</w:t>
            </w:r>
          </w:p>
        </w:tc>
        <w:tc>
          <w:tcPr>
            <w:tcW w:w="770" w:type="dxa"/>
            <w:tcBorders>
              <w:bottom w:val="single" w:sz="12" w:space="0" w:color="000000"/>
            </w:tcBorders>
            <w:tcMar>
              <w:bottom w:w="28" w:type="dxa"/>
            </w:tcMar>
            <w:vAlign w:val="bottom"/>
          </w:tcPr>
          <w:p>
            <w:pPr>
              <w:pStyle w:val="TableContents"/>
              <w:bidi w:val="0"/>
              <w:spacing w:before="0" w:after="0"/>
              <w:jc w:val="right"/>
              <w:rPr/>
            </w:pPr>
            <w:r>
              <w:rPr/>
              <w:t>93,181</w:t>
            </w:r>
          </w:p>
        </w:tc>
        <w:tc>
          <w:tcPr>
            <w:tcW w:w="95" w:type="dxa"/>
            <w:tcBorders/>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HorizontalLine"/>
        <w:bidi w:val="0"/>
        <w:jc w:val="left"/>
        <w:rPr/>
      </w:pPr>
      <w:r>
        <w:rPr/>
      </w:r>
    </w:p>
    <w:tbl>
      <w:tblPr>
        <w:tblW w:w="9603" w:type="dxa"/>
        <w:jc w:val="left"/>
        <w:tblInd w:w="0" w:type="dxa"/>
        <w:tblLayout w:type="fixed"/>
        <w:tblCellMar>
          <w:top w:w="0" w:type="dxa"/>
          <w:left w:w="0" w:type="dxa"/>
          <w:bottom w:w="0" w:type="dxa"/>
          <w:right w:w="0" w:type="dxa"/>
        </w:tblCellMar>
      </w:tblPr>
      <w:tblGrid>
        <w:gridCol w:w="38"/>
        <w:gridCol w:w="290"/>
        <w:gridCol w:w="9275"/>
      </w:tblGrid>
      <w:tr>
        <w:trPr/>
        <w:tc>
          <w:tcPr>
            <w:tcW w:w="38" w:type="dxa"/>
            <w:tcBorders/>
            <w:vAlign w:val="center"/>
          </w:tcPr>
          <w:p>
            <w:pPr>
              <w:pStyle w:val="TableContents"/>
              <w:bidi w:val="0"/>
              <w:spacing w:before="0" w:after="283"/>
              <w:jc w:val="left"/>
              <w:rPr/>
            </w:pPr>
            <w:r>
              <w:rPr/>
            </w:r>
          </w:p>
        </w:tc>
        <w:tc>
          <w:tcPr>
            <w:tcW w:w="290" w:type="dxa"/>
            <w:tcBorders/>
            <w:vAlign w:val="center"/>
          </w:tcPr>
          <w:p>
            <w:pPr>
              <w:pStyle w:val="TableContents"/>
              <w:bidi w:val="0"/>
              <w:spacing w:before="0" w:after="283"/>
              <w:jc w:val="left"/>
              <w:rPr/>
            </w:pPr>
            <w:r>
              <w:rPr/>
              <w:t>(1)</w:t>
            </w:r>
          </w:p>
        </w:tc>
        <w:tc>
          <w:tcPr>
            <w:tcW w:w="9275" w:type="dxa"/>
            <w:tcBorders/>
            <w:vAlign w:val="center"/>
          </w:tcPr>
          <w:p>
            <w:pPr>
              <w:pStyle w:val="TableContents"/>
              <w:bidi w:val="0"/>
              <w:spacing w:before="0" w:after="0"/>
              <w:jc w:val="both"/>
              <w:rPr/>
            </w:pPr>
            <w:r>
              <w:rPr/>
              <w:t>Costs associated with the Company’s cost restructuring program implemented in September 2022.</w:t>
            </w:r>
          </w:p>
        </w:tc>
      </w:tr>
    </w:tbl>
    <w:tbl>
      <w:tblPr>
        <w:tblW w:w="10205" w:type="dxa"/>
        <w:jc w:val="left"/>
        <w:tblInd w:w="0" w:type="dxa"/>
        <w:tblLayout w:type="fixed"/>
        <w:tblCellMar>
          <w:top w:w="0" w:type="dxa"/>
          <w:left w:w="0" w:type="dxa"/>
          <w:bottom w:w="0" w:type="dxa"/>
          <w:right w:w="0" w:type="dxa"/>
        </w:tblCellMar>
      </w:tblPr>
      <w:tblGrid>
        <w:gridCol w:w="38"/>
        <w:gridCol w:w="264"/>
        <w:gridCol w:w="9903"/>
      </w:tblGrid>
      <w:tr>
        <w:trPr/>
        <w:tc>
          <w:tcPr>
            <w:tcW w:w="38" w:type="dxa"/>
            <w:tcBorders/>
            <w:vAlign w:val="center"/>
          </w:tcPr>
          <w:p>
            <w:pPr>
              <w:pStyle w:val="TableContents"/>
              <w:bidi w:val="0"/>
              <w:spacing w:before="0" w:after="283"/>
              <w:jc w:val="left"/>
              <w:rPr/>
            </w:pPr>
            <w:r>
              <w:rPr/>
            </w:r>
          </w:p>
        </w:tc>
        <w:tc>
          <w:tcPr>
            <w:tcW w:w="264" w:type="dxa"/>
            <w:tcBorders/>
            <w:vAlign w:val="center"/>
          </w:tcPr>
          <w:p>
            <w:pPr>
              <w:pStyle w:val="TableContents"/>
              <w:bidi w:val="0"/>
              <w:spacing w:before="0" w:after="283"/>
              <w:jc w:val="left"/>
              <w:rPr/>
            </w:pPr>
            <w:r>
              <w:rPr/>
              <w:t>(2)</w:t>
            </w:r>
          </w:p>
        </w:tc>
        <w:tc>
          <w:tcPr>
            <w:tcW w:w="9903" w:type="dxa"/>
            <w:tcBorders/>
            <w:vAlign w:val="center"/>
          </w:tcPr>
          <w:p>
            <w:pPr>
              <w:pStyle w:val="TableContents"/>
              <w:bidi w:val="0"/>
              <w:spacing w:before="0" w:after="0"/>
              <w:jc w:val="both"/>
              <w:rPr/>
            </w:pPr>
            <w:r>
              <w:rPr/>
              <w:t>Represents share-based compensation due to holdback of Ordinary shares issuable under compensatory arrangements relating to Connexity acquisition.</w:t>
            </w:r>
          </w:p>
        </w:tc>
      </w:tr>
    </w:tbl>
    <w:tbl>
      <w:tblPr>
        <w:tblW w:w="6153" w:type="dxa"/>
        <w:jc w:val="left"/>
        <w:tblInd w:w="0" w:type="dxa"/>
        <w:tblLayout w:type="fixed"/>
        <w:tblCellMar>
          <w:top w:w="0" w:type="dxa"/>
          <w:left w:w="0" w:type="dxa"/>
          <w:bottom w:w="0" w:type="dxa"/>
          <w:right w:w="0" w:type="dxa"/>
        </w:tblCellMar>
      </w:tblPr>
      <w:tblGrid>
        <w:gridCol w:w="38"/>
        <w:gridCol w:w="290"/>
        <w:gridCol w:w="5825"/>
      </w:tblGrid>
      <w:tr>
        <w:trPr/>
        <w:tc>
          <w:tcPr>
            <w:tcW w:w="38" w:type="dxa"/>
            <w:tcBorders/>
            <w:vAlign w:val="center"/>
          </w:tcPr>
          <w:p>
            <w:pPr>
              <w:pStyle w:val="TableContents"/>
              <w:bidi w:val="0"/>
              <w:spacing w:before="0" w:after="283"/>
              <w:jc w:val="left"/>
              <w:rPr/>
            </w:pPr>
            <w:r>
              <w:rPr/>
            </w:r>
          </w:p>
        </w:tc>
        <w:tc>
          <w:tcPr>
            <w:tcW w:w="290" w:type="dxa"/>
            <w:tcBorders/>
            <w:vAlign w:val="center"/>
          </w:tcPr>
          <w:p>
            <w:pPr>
              <w:pStyle w:val="TableContents"/>
              <w:bidi w:val="0"/>
              <w:spacing w:before="0" w:after="283"/>
              <w:jc w:val="left"/>
              <w:rPr/>
            </w:pPr>
            <w:r>
              <w:rPr/>
              <w:t>(3)</w:t>
            </w:r>
          </w:p>
        </w:tc>
        <w:tc>
          <w:tcPr>
            <w:tcW w:w="5825" w:type="dxa"/>
            <w:tcBorders/>
            <w:vAlign w:val="center"/>
          </w:tcPr>
          <w:p>
            <w:pPr>
              <w:pStyle w:val="TableContents"/>
              <w:bidi w:val="0"/>
              <w:spacing w:before="0" w:after="0"/>
              <w:jc w:val="both"/>
              <w:rPr/>
            </w:pPr>
            <w:r>
              <w:rPr/>
              <w:t>Includes one-time costs related to the Commercial agreement.</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We believe that the Ratio of Adjusted EBITDA to ex-TAC Gross Profit is useful because TAC is what we must pay digital properties to obtain the right to place advertising on their websites, and we believe focusing on ex-TAC Gross Profit better reflects the profitability of our business.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following table reconciles ratio of net loss to gross profit and Ratio of Adjusted EBITDA to ex-TAC Gross Profit:</w:t>
      </w:r>
    </w:p>
    <w:p>
      <w:pPr>
        <w:pStyle w:val="TextBody"/>
        <w:bidi w:val="0"/>
        <w:spacing w:before="0" w:after="0"/>
        <w:jc w:val="left"/>
        <w:rPr>
          <w:color w:val="000000"/>
          <w:shd w:fill="FFFFFF" w:val="clear"/>
        </w:rPr>
      </w:pPr>
      <w:r>
        <w:rPr>
          <w:color w:val="000000"/>
          <w:shd w:fill="FFFFFF" w:val="clear"/>
        </w:rPr>
        <w:t> </w:t>
      </w:r>
    </w:p>
    <w:tbl>
      <w:tblPr>
        <w:tblW w:w="10205" w:type="dxa"/>
        <w:jc w:val="left"/>
        <w:tblInd w:w="0" w:type="dxa"/>
        <w:tblLayout w:type="fixed"/>
        <w:tblCellMar>
          <w:top w:w="0" w:type="dxa"/>
          <w:left w:w="0" w:type="dxa"/>
          <w:bottom w:w="0" w:type="dxa"/>
          <w:right w:w="0" w:type="dxa"/>
        </w:tblCellMar>
      </w:tblPr>
      <w:tblGrid>
        <w:gridCol w:w="5082"/>
        <w:gridCol w:w="60"/>
        <w:gridCol w:w="140"/>
        <w:gridCol w:w="800"/>
        <w:gridCol w:w="280"/>
        <w:gridCol w:w="60"/>
        <w:gridCol w:w="140"/>
        <w:gridCol w:w="800"/>
        <w:gridCol w:w="280"/>
        <w:gridCol w:w="60"/>
        <w:gridCol w:w="140"/>
        <w:gridCol w:w="800"/>
        <w:gridCol w:w="280"/>
        <w:gridCol w:w="60"/>
        <w:gridCol w:w="140"/>
        <w:gridCol w:w="800"/>
        <w:gridCol w:w="283"/>
      </w:tblGrid>
      <w:tr>
        <w:trPr/>
        <w:tc>
          <w:tcPr>
            <w:tcW w:w="508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20" w:type="dxa"/>
            <w:gridSpan w:val="6"/>
            <w:tcBorders>
              <w:bottom w:val="single" w:sz="12" w:space="0" w:color="000000"/>
            </w:tcBorders>
            <w:tcMar>
              <w:bottom w:w="28" w:type="dxa"/>
            </w:tcMar>
            <w:vAlign w:val="bottom"/>
          </w:tcPr>
          <w:p>
            <w:pPr>
              <w:pStyle w:val="TableContents"/>
              <w:bidi w:val="0"/>
              <w:spacing w:before="0" w:after="0"/>
              <w:jc w:val="center"/>
              <w:rPr>
                <w:b/>
              </w:rPr>
            </w:pPr>
            <w:r>
              <w:rPr>
                <w:b/>
              </w:rPr>
              <w:t>Three months ended</w:t>
            </w:r>
          </w:p>
          <w:p>
            <w:pPr>
              <w:pStyle w:val="TableContents"/>
              <w:bidi w:val="0"/>
              <w:spacing w:before="0" w:after="0"/>
              <w:jc w:val="center"/>
              <w:rPr>
                <w:b/>
              </w:rPr>
            </w:pPr>
            <w:r>
              <w:rPr>
                <w:b/>
              </w:rPr>
              <w:t>September 30,</w:t>
            </w:r>
          </w:p>
        </w:tc>
        <w:tc>
          <w:tcPr>
            <w:tcW w:w="2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20" w:type="dxa"/>
            <w:gridSpan w:val="6"/>
            <w:tcBorders>
              <w:bottom w:val="single" w:sz="12" w:space="0" w:color="000000"/>
            </w:tcBorders>
            <w:tcMar>
              <w:bottom w:w="28" w:type="dxa"/>
            </w:tcMar>
            <w:vAlign w:val="bottom"/>
          </w:tcPr>
          <w:p>
            <w:pPr>
              <w:pStyle w:val="TableContents"/>
              <w:bidi w:val="0"/>
              <w:spacing w:before="0" w:after="0"/>
              <w:jc w:val="center"/>
              <w:rPr>
                <w:b/>
              </w:rPr>
            </w:pPr>
            <w:r>
              <w:rPr>
                <w:b/>
              </w:rPr>
              <w:t>Nine months ended</w:t>
            </w:r>
          </w:p>
          <w:p>
            <w:pPr>
              <w:pStyle w:val="TableContents"/>
              <w:bidi w:val="0"/>
              <w:spacing w:before="0" w:after="0"/>
              <w:jc w:val="center"/>
              <w:rPr>
                <w:b/>
              </w:rPr>
            </w:pPr>
            <w:r>
              <w:rPr>
                <w:b/>
              </w:rPr>
              <w:t>September 30,</w:t>
            </w:r>
          </w:p>
        </w:tc>
        <w:tc>
          <w:tcPr>
            <w:tcW w:w="283" w:type="dxa"/>
            <w:tcBorders/>
            <w:vAlign w:val="bottom"/>
          </w:tcPr>
          <w:p>
            <w:pPr>
              <w:pStyle w:val="TableContents"/>
              <w:bidi w:val="0"/>
              <w:spacing w:before="0" w:after="283"/>
              <w:jc w:val="left"/>
              <w:rPr/>
            </w:pPr>
            <w:r>
              <w:rPr/>
              <w:t> </w:t>
            </w:r>
          </w:p>
        </w:tc>
      </w:tr>
      <w:tr>
        <w:trPr/>
        <w:tc>
          <w:tcPr>
            <w:tcW w:w="508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2023</w:t>
            </w:r>
          </w:p>
        </w:tc>
        <w:tc>
          <w:tcPr>
            <w:tcW w:w="2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2022</w:t>
            </w:r>
          </w:p>
        </w:tc>
        <w:tc>
          <w:tcPr>
            <w:tcW w:w="2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2023</w:t>
            </w:r>
          </w:p>
        </w:tc>
        <w:tc>
          <w:tcPr>
            <w:tcW w:w="2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2022</w:t>
            </w:r>
          </w:p>
        </w:tc>
        <w:tc>
          <w:tcPr>
            <w:tcW w:w="283" w:type="dxa"/>
            <w:tcBorders/>
            <w:vAlign w:val="bottom"/>
          </w:tcPr>
          <w:p>
            <w:pPr>
              <w:pStyle w:val="TableContents"/>
              <w:bidi w:val="0"/>
              <w:spacing w:before="0" w:after="283"/>
              <w:jc w:val="left"/>
              <w:rPr/>
            </w:pPr>
            <w:r>
              <w:rPr/>
              <w:t> </w:t>
            </w:r>
          </w:p>
        </w:tc>
      </w:tr>
      <w:tr>
        <w:trPr/>
        <w:tc>
          <w:tcPr>
            <w:tcW w:w="508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780" w:type="dxa"/>
            <w:gridSpan w:val="14"/>
            <w:tcBorders/>
            <w:vAlign w:val="bottom"/>
          </w:tcPr>
          <w:p>
            <w:pPr>
              <w:pStyle w:val="TableContents"/>
              <w:bidi w:val="0"/>
              <w:spacing w:before="0" w:after="0"/>
              <w:jc w:val="center"/>
              <w:rPr/>
            </w:pPr>
            <w:r>
              <w:rPr/>
              <w:t>(dollars in thousands)</w:t>
            </w:r>
          </w:p>
        </w:tc>
        <w:tc>
          <w:tcPr>
            <w:tcW w:w="283" w:type="dxa"/>
            <w:tcBorders/>
            <w:vAlign w:val="bottom"/>
          </w:tcPr>
          <w:p>
            <w:pPr>
              <w:pStyle w:val="TableContents"/>
              <w:bidi w:val="0"/>
              <w:spacing w:before="0" w:after="283"/>
              <w:jc w:val="left"/>
              <w:rPr/>
            </w:pPr>
            <w:r>
              <w:rPr/>
              <w:t> </w:t>
            </w:r>
          </w:p>
        </w:tc>
      </w:tr>
      <w:tr>
        <w:trPr/>
        <w:tc>
          <w:tcPr>
            <w:tcW w:w="5082" w:type="dxa"/>
            <w:tcBorders/>
            <w:shd w:fill="CCEEFF" w:val="clear"/>
            <w:vAlign w:val="bottom"/>
          </w:tcPr>
          <w:p>
            <w:pPr>
              <w:pStyle w:val="TableContents"/>
              <w:bidi w:val="0"/>
              <w:spacing w:before="0" w:after="0"/>
              <w:jc w:val="left"/>
              <w:rPr/>
            </w:pPr>
            <w:r>
              <w:rPr/>
              <w:t>Gross profit</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0"/>
              <w:jc w:val="left"/>
              <w:rPr/>
            </w:pPr>
            <w:r>
              <w:rPr/>
              <w:t>$</w:t>
            </w:r>
          </w:p>
        </w:tc>
        <w:tc>
          <w:tcPr>
            <w:tcW w:w="800" w:type="dxa"/>
            <w:tcBorders/>
            <w:shd w:fill="CCEEFF" w:val="clear"/>
            <w:vAlign w:val="bottom"/>
          </w:tcPr>
          <w:p>
            <w:pPr>
              <w:pStyle w:val="TableContents"/>
              <w:bidi w:val="0"/>
              <w:spacing w:before="0" w:after="0"/>
              <w:jc w:val="right"/>
              <w:rPr/>
            </w:pPr>
            <w:r>
              <w:rPr/>
              <w:t>100,659</w:t>
            </w:r>
          </w:p>
        </w:tc>
        <w:tc>
          <w:tcPr>
            <w:tcW w:w="2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0"/>
              <w:jc w:val="left"/>
              <w:rPr/>
            </w:pPr>
            <w:r>
              <w:rPr/>
              <w:t>$</w:t>
            </w:r>
          </w:p>
        </w:tc>
        <w:tc>
          <w:tcPr>
            <w:tcW w:w="800" w:type="dxa"/>
            <w:tcBorders/>
            <w:shd w:fill="CCEEFF" w:val="clear"/>
            <w:vAlign w:val="bottom"/>
          </w:tcPr>
          <w:p>
            <w:pPr>
              <w:pStyle w:val="TableContents"/>
              <w:bidi w:val="0"/>
              <w:spacing w:before="0" w:after="0"/>
              <w:jc w:val="right"/>
              <w:rPr/>
            </w:pPr>
            <w:r>
              <w:rPr/>
              <w:t>102,688</w:t>
            </w:r>
          </w:p>
        </w:tc>
        <w:tc>
          <w:tcPr>
            <w:tcW w:w="2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0"/>
              <w:jc w:val="left"/>
              <w:rPr/>
            </w:pPr>
            <w:r>
              <w:rPr/>
              <w:t>$</w:t>
            </w:r>
          </w:p>
        </w:tc>
        <w:tc>
          <w:tcPr>
            <w:tcW w:w="800" w:type="dxa"/>
            <w:tcBorders/>
            <w:shd w:fill="CCEEFF" w:val="clear"/>
            <w:vAlign w:val="bottom"/>
          </w:tcPr>
          <w:p>
            <w:pPr>
              <w:pStyle w:val="TableContents"/>
              <w:bidi w:val="0"/>
              <w:spacing w:before="0" w:after="0"/>
              <w:jc w:val="right"/>
              <w:rPr/>
            </w:pPr>
            <w:r>
              <w:rPr/>
              <w:t>287,308</w:t>
            </w:r>
          </w:p>
        </w:tc>
        <w:tc>
          <w:tcPr>
            <w:tcW w:w="2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0"/>
              <w:jc w:val="left"/>
              <w:rPr/>
            </w:pPr>
            <w:r>
              <w:rPr/>
              <w:t>$</w:t>
            </w:r>
          </w:p>
        </w:tc>
        <w:tc>
          <w:tcPr>
            <w:tcW w:w="800" w:type="dxa"/>
            <w:tcBorders/>
            <w:shd w:fill="CCEEFF" w:val="clear"/>
            <w:vAlign w:val="bottom"/>
          </w:tcPr>
          <w:p>
            <w:pPr>
              <w:pStyle w:val="TableContents"/>
              <w:bidi w:val="0"/>
              <w:spacing w:before="0" w:after="0"/>
              <w:jc w:val="right"/>
              <w:rPr/>
            </w:pPr>
            <w:r>
              <w:rPr/>
              <w:t>331,079</w:t>
            </w:r>
          </w:p>
        </w:tc>
        <w:tc>
          <w:tcPr>
            <w:tcW w:w="283" w:type="dxa"/>
            <w:tcBorders/>
            <w:shd w:fill="CCEEFF" w:val="clear"/>
            <w:vAlign w:val="bottom"/>
          </w:tcPr>
          <w:p>
            <w:pPr>
              <w:pStyle w:val="TableContents"/>
              <w:bidi w:val="0"/>
              <w:spacing w:before="0" w:after="283"/>
              <w:jc w:val="left"/>
              <w:rPr/>
            </w:pPr>
            <w:r>
              <w:rPr/>
              <w:t> </w:t>
            </w:r>
          </w:p>
        </w:tc>
      </w:tr>
      <w:tr>
        <w:trPr/>
        <w:tc>
          <w:tcPr>
            <w:tcW w:w="5082" w:type="dxa"/>
            <w:tcBorders/>
            <w:vAlign w:val="bottom"/>
          </w:tcPr>
          <w:p>
            <w:pPr>
              <w:pStyle w:val="TableContents"/>
              <w:bidi w:val="0"/>
              <w:spacing w:before="0" w:after="0"/>
              <w:jc w:val="left"/>
              <w:rPr/>
            </w:pPr>
            <w:r>
              <w:rPr/>
              <w:t>Net loss</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0"/>
              <w:jc w:val="left"/>
              <w:rPr/>
            </w:pPr>
            <w:r>
              <w:rPr/>
              <w:t>$</w:t>
            </w:r>
          </w:p>
        </w:tc>
        <w:tc>
          <w:tcPr>
            <w:tcW w:w="800" w:type="dxa"/>
            <w:tcBorders/>
            <w:vAlign w:val="bottom"/>
          </w:tcPr>
          <w:p>
            <w:pPr>
              <w:pStyle w:val="TableContents"/>
              <w:bidi w:val="0"/>
              <w:spacing w:before="0" w:after="0"/>
              <w:jc w:val="right"/>
              <w:rPr/>
            </w:pPr>
            <w:r>
              <w:rPr/>
              <w:t>(23,136</w:t>
            </w:r>
          </w:p>
        </w:tc>
        <w:tc>
          <w:tcPr>
            <w:tcW w:w="280" w:type="dxa"/>
            <w:tcBorders/>
            <w:vAlign w:val="bottom"/>
          </w:tcPr>
          <w:p>
            <w:pPr>
              <w:pStyle w:val="TableContents"/>
              <w:bidi w:val="0"/>
              <w:spacing w:before="0" w:after="0"/>
              <w:jc w:val="left"/>
              <w:rPr/>
            </w:pPr>
            <w:r>
              <w:rPr/>
              <w:t>)</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0"/>
              <w:jc w:val="left"/>
              <w:rPr/>
            </w:pPr>
            <w:r>
              <w:rPr/>
              <w:t>$</w:t>
            </w:r>
          </w:p>
        </w:tc>
        <w:tc>
          <w:tcPr>
            <w:tcW w:w="800" w:type="dxa"/>
            <w:tcBorders/>
            <w:vAlign w:val="bottom"/>
          </w:tcPr>
          <w:p>
            <w:pPr>
              <w:pStyle w:val="TableContents"/>
              <w:bidi w:val="0"/>
              <w:spacing w:before="0" w:after="0"/>
              <w:jc w:val="right"/>
              <w:rPr/>
            </w:pPr>
            <w:r>
              <w:rPr/>
              <w:t>(26,026</w:t>
            </w:r>
          </w:p>
        </w:tc>
        <w:tc>
          <w:tcPr>
            <w:tcW w:w="280" w:type="dxa"/>
            <w:tcBorders/>
            <w:vAlign w:val="bottom"/>
          </w:tcPr>
          <w:p>
            <w:pPr>
              <w:pStyle w:val="TableContents"/>
              <w:bidi w:val="0"/>
              <w:spacing w:before="0" w:after="0"/>
              <w:jc w:val="left"/>
              <w:rPr/>
            </w:pPr>
            <w:r>
              <w:rPr/>
              <w:t>)</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0"/>
              <w:jc w:val="left"/>
              <w:rPr/>
            </w:pPr>
            <w:r>
              <w:rPr/>
              <w:t>$</w:t>
            </w:r>
          </w:p>
        </w:tc>
        <w:tc>
          <w:tcPr>
            <w:tcW w:w="800" w:type="dxa"/>
            <w:tcBorders/>
            <w:vAlign w:val="bottom"/>
          </w:tcPr>
          <w:p>
            <w:pPr>
              <w:pStyle w:val="TableContents"/>
              <w:bidi w:val="0"/>
              <w:spacing w:before="0" w:after="0"/>
              <w:jc w:val="right"/>
              <w:rPr/>
            </w:pPr>
            <w:r>
              <w:rPr/>
              <w:t>(85,763</w:t>
            </w:r>
          </w:p>
        </w:tc>
        <w:tc>
          <w:tcPr>
            <w:tcW w:w="280" w:type="dxa"/>
            <w:tcBorders/>
            <w:vAlign w:val="bottom"/>
          </w:tcPr>
          <w:p>
            <w:pPr>
              <w:pStyle w:val="TableContents"/>
              <w:bidi w:val="0"/>
              <w:spacing w:before="0" w:after="0"/>
              <w:jc w:val="left"/>
              <w:rPr/>
            </w:pPr>
            <w:r>
              <w:rPr/>
              <w:t>)</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0"/>
              <w:jc w:val="left"/>
              <w:rPr/>
            </w:pPr>
            <w:r>
              <w:rPr/>
              <w:t>$</w:t>
            </w:r>
          </w:p>
        </w:tc>
        <w:tc>
          <w:tcPr>
            <w:tcW w:w="800" w:type="dxa"/>
            <w:tcBorders/>
            <w:vAlign w:val="bottom"/>
          </w:tcPr>
          <w:p>
            <w:pPr>
              <w:pStyle w:val="TableContents"/>
              <w:bidi w:val="0"/>
              <w:spacing w:before="0" w:after="0"/>
              <w:jc w:val="right"/>
              <w:rPr/>
            </w:pPr>
            <w:r>
              <w:rPr/>
              <w:t>(27,159</w:t>
            </w:r>
          </w:p>
        </w:tc>
        <w:tc>
          <w:tcPr>
            <w:tcW w:w="283" w:type="dxa"/>
            <w:tcBorders/>
            <w:vAlign w:val="bottom"/>
          </w:tcPr>
          <w:p>
            <w:pPr>
              <w:pStyle w:val="TableContents"/>
              <w:bidi w:val="0"/>
              <w:spacing w:before="0" w:after="0"/>
              <w:jc w:val="left"/>
              <w:rPr/>
            </w:pPr>
            <w:r>
              <w:rPr/>
              <w:t>)</w:t>
            </w:r>
          </w:p>
        </w:tc>
      </w:tr>
      <w:tr>
        <w:trPr/>
        <w:tc>
          <w:tcPr>
            <w:tcW w:w="5082" w:type="dxa"/>
            <w:tcBorders/>
            <w:shd w:fill="CCEEFF" w:val="clear"/>
            <w:vAlign w:val="bottom"/>
          </w:tcPr>
          <w:p>
            <w:pPr>
              <w:pStyle w:val="TableContents"/>
              <w:bidi w:val="0"/>
              <w:spacing w:before="0" w:after="0"/>
              <w:jc w:val="left"/>
              <w:rPr/>
            </w:pPr>
            <w:r>
              <w:rPr/>
              <w:t>Ratio of net loss to gross profit</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0"/>
              <w:jc w:val="right"/>
              <w:rPr/>
            </w:pPr>
            <w:r>
              <w:rPr/>
              <w:t>(23.0</w:t>
            </w:r>
          </w:p>
        </w:tc>
        <w:tc>
          <w:tcPr>
            <w:tcW w:w="280" w:type="dxa"/>
            <w:tcBorders/>
            <w:shd w:fill="CCEEFF" w:val="clear"/>
            <w:vAlign w:val="bottom"/>
          </w:tcPr>
          <w:p>
            <w:pPr>
              <w:pStyle w:val="TableContents"/>
              <w:bidi w:val="0"/>
              <w:spacing w:before="0" w:after="0"/>
              <w:jc w:val="left"/>
              <w:rPr/>
            </w:pPr>
            <w:r>
              <w:rPr/>
              <w:t>%)</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0"/>
              <w:jc w:val="right"/>
              <w:rPr/>
            </w:pPr>
            <w:r>
              <w:rPr/>
              <w:t>(25.3</w:t>
            </w:r>
          </w:p>
        </w:tc>
        <w:tc>
          <w:tcPr>
            <w:tcW w:w="280" w:type="dxa"/>
            <w:tcBorders/>
            <w:shd w:fill="CCEEFF" w:val="clear"/>
            <w:vAlign w:val="bottom"/>
          </w:tcPr>
          <w:p>
            <w:pPr>
              <w:pStyle w:val="TableContents"/>
              <w:bidi w:val="0"/>
              <w:spacing w:before="0" w:after="0"/>
              <w:jc w:val="left"/>
              <w:rPr/>
            </w:pPr>
            <w:r>
              <w:rPr/>
              <w:t>%)</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0"/>
              <w:jc w:val="right"/>
              <w:rPr/>
            </w:pPr>
            <w:r>
              <w:rPr/>
              <w:t>(29.9</w:t>
            </w:r>
          </w:p>
        </w:tc>
        <w:tc>
          <w:tcPr>
            <w:tcW w:w="280" w:type="dxa"/>
            <w:tcBorders/>
            <w:shd w:fill="CCEEFF" w:val="clear"/>
            <w:vAlign w:val="bottom"/>
          </w:tcPr>
          <w:p>
            <w:pPr>
              <w:pStyle w:val="TableContents"/>
              <w:bidi w:val="0"/>
              <w:spacing w:before="0" w:after="0"/>
              <w:jc w:val="left"/>
              <w:rPr/>
            </w:pPr>
            <w:r>
              <w:rPr/>
              <w:t>%)</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0"/>
              <w:jc w:val="right"/>
              <w:rPr/>
            </w:pPr>
            <w:r>
              <w:rPr/>
              <w:t>(8.2</w:t>
            </w:r>
          </w:p>
        </w:tc>
        <w:tc>
          <w:tcPr>
            <w:tcW w:w="283" w:type="dxa"/>
            <w:tcBorders/>
            <w:shd w:fill="CCEEFF" w:val="clear"/>
            <w:vAlign w:val="bottom"/>
          </w:tcPr>
          <w:p>
            <w:pPr>
              <w:pStyle w:val="TableContents"/>
              <w:bidi w:val="0"/>
              <w:spacing w:before="0" w:after="0"/>
              <w:jc w:val="left"/>
              <w:rPr/>
            </w:pPr>
            <w:r>
              <w:rPr/>
              <w:t>%)</w:t>
            </w:r>
          </w:p>
        </w:tc>
      </w:tr>
      <w:tr>
        <w:trPr/>
        <w:tc>
          <w:tcPr>
            <w:tcW w:w="508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2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2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2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283" w:type="dxa"/>
            <w:tcBorders/>
            <w:vAlign w:val="bottom"/>
          </w:tcPr>
          <w:p>
            <w:pPr>
              <w:pStyle w:val="TableContents"/>
              <w:bidi w:val="0"/>
              <w:spacing w:before="0" w:after="283"/>
              <w:jc w:val="left"/>
              <w:rPr/>
            </w:pPr>
            <w:r>
              <w:rPr/>
              <w:t> </w:t>
            </w:r>
          </w:p>
        </w:tc>
      </w:tr>
      <w:tr>
        <w:trPr/>
        <w:tc>
          <w:tcPr>
            <w:tcW w:w="5082" w:type="dxa"/>
            <w:tcBorders/>
            <w:shd w:fill="CCEEFF" w:val="clear"/>
            <w:vAlign w:val="bottom"/>
          </w:tcPr>
          <w:p>
            <w:pPr>
              <w:pStyle w:val="TableContents"/>
              <w:bidi w:val="0"/>
              <w:spacing w:before="0" w:after="0"/>
              <w:jc w:val="left"/>
              <w:rPr/>
            </w:pPr>
            <w:r>
              <w:rPr/>
              <w:t>ex-TAC Gross Profit</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0"/>
              <w:jc w:val="left"/>
              <w:rPr/>
            </w:pPr>
            <w:r>
              <w:rPr/>
              <w:t>$</w:t>
            </w:r>
          </w:p>
        </w:tc>
        <w:tc>
          <w:tcPr>
            <w:tcW w:w="800" w:type="dxa"/>
            <w:tcBorders/>
            <w:shd w:fill="CCEEFF" w:val="clear"/>
            <w:vAlign w:val="bottom"/>
          </w:tcPr>
          <w:p>
            <w:pPr>
              <w:pStyle w:val="TableContents"/>
              <w:bidi w:val="0"/>
              <w:spacing w:before="0" w:after="0"/>
              <w:jc w:val="right"/>
              <w:rPr/>
            </w:pPr>
            <w:r>
              <w:rPr/>
              <w:t>128,435</w:t>
            </w:r>
          </w:p>
        </w:tc>
        <w:tc>
          <w:tcPr>
            <w:tcW w:w="2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0"/>
              <w:jc w:val="left"/>
              <w:rPr/>
            </w:pPr>
            <w:r>
              <w:rPr/>
              <w:t>$</w:t>
            </w:r>
          </w:p>
        </w:tc>
        <w:tc>
          <w:tcPr>
            <w:tcW w:w="800" w:type="dxa"/>
            <w:tcBorders/>
            <w:shd w:fill="CCEEFF" w:val="clear"/>
            <w:vAlign w:val="bottom"/>
          </w:tcPr>
          <w:p>
            <w:pPr>
              <w:pStyle w:val="TableContents"/>
              <w:bidi w:val="0"/>
              <w:spacing w:before="0" w:after="0"/>
              <w:jc w:val="right"/>
              <w:rPr/>
            </w:pPr>
            <w:r>
              <w:rPr/>
              <w:t>129,337</w:t>
            </w:r>
          </w:p>
        </w:tc>
        <w:tc>
          <w:tcPr>
            <w:tcW w:w="2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0"/>
              <w:jc w:val="left"/>
              <w:rPr/>
            </w:pPr>
            <w:r>
              <w:rPr/>
              <w:t>$</w:t>
            </w:r>
          </w:p>
        </w:tc>
        <w:tc>
          <w:tcPr>
            <w:tcW w:w="800" w:type="dxa"/>
            <w:tcBorders/>
            <w:shd w:fill="CCEEFF" w:val="clear"/>
            <w:vAlign w:val="bottom"/>
          </w:tcPr>
          <w:p>
            <w:pPr>
              <w:pStyle w:val="TableContents"/>
              <w:bidi w:val="0"/>
              <w:spacing w:before="0" w:after="0"/>
              <w:jc w:val="right"/>
              <w:rPr/>
            </w:pPr>
            <w:r>
              <w:rPr/>
              <w:t>367,309</w:t>
            </w:r>
          </w:p>
        </w:tc>
        <w:tc>
          <w:tcPr>
            <w:tcW w:w="2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0"/>
              <w:jc w:val="left"/>
              <w:rPr/>
            </w:pPr>
            <w:r>
              <w:rPr/>
              <w:t>$</w:t>
            </w:r>
          </w:p>
        </w:tc>
        <w:tc>
          <w:tcPr>
            <w:tcW w:w="800" w:type="dxa"/>
            <w:tcBorders/>
            <w:shd w:fill="CCEEFF" w:val="clear"/>
            <w:vAlign w:val="bottom"/>
          </w:tcPr>
          <w:p>
            <w:pPr>
              <w:pStyle w:val="TableContents"/>
              <w:bidi w:val="0"/>
              <w:spacing w:before="0" w:after="0"/>
              <w:jc w:val="right"/>
              <w:rPr/>
            </w:pPr>
            <w:r>
              <w:rPr/>
              <w:t>410,774</w:t>
            </w:r>
          </w:p>
        </w:tc>
        <w:tc>
          <w:tcPr>
            <w:tcW w:w="283" w:type="dxa"/>
            <w:tcBorders/>
            <w:shd w:fill="CCEEFF" w:val="clear"/>
            <w:vAlign w:val="bottom"/>
          </w:tcPr>
          <w:p>
            <w:pPr>
              <w:pStyle w:val="TableContents"/>
              <w:bidi w:val="0"/>
              <w:spacing w:before="0" w:after="283"/>
              <w:jc w:val="left"/>
              <w:rPr/>
            </w:pPr>
            <w:r>
              <w:rPr/>
              <w:t> </w:t>
            </w:r>
          </w:p>
        </w:tc>
      </w:tr>
      <w:tr>
        <w:trPr/>
        <w:tc>
          <w:tcPr>
            <w:tcW w:w="5082" w:type="dxa"/>
            <w:tcBorders/>
            <w:vAlign w:val="bottom"/>
          </w:tcPr>
          <w:p>
            <w:pPr>
              <w:pStyle w:val="TableContents"/>
              <w:bidi w:val="0"/>
              <w:spacing w:before="0" w:after="0"/>
              <w:jc w:val="left"/>
              <w:rPr/>
            </w:pPr>
            <w:r>
              <w:rPr/>
              <w:t>Adjusted EBITDA</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0"/>
              <w:jc w:val="left"/>
              <w:rPr/>
            </w:pPr>
            <w:r>
              <w:rPr/>
              <w:t>$</w:t>
            </w:r>
          </w:p>
        </w:tc>
        <w:tc>
          <w:tcPr>
            <w:tcW w:w="800" w:type="dxa"/>
            <w:tcBorders/>
            <w:vAlign w:val="bottom"/>
          </w:tcPr>
          <w:p>
            <w:pPr>
              <w:pStyle w:val="TableContents"/>
              <w:bidi w:val="0"/>
              <w:spacing w:before="0" w:after="0"/>
              <w:jc w:val="right"/>
              <w:rPr/>
            </w:pPr>
            <w:r>
              <w:rPr/>
              <w:t>22,833</w:t>
            </w:r>
          </w:p>
        </w:tc>
        <w:tc>
          <w:tcPr>
            <w:tcW w:w="2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0"/>
              <w:jc w:val="left"/>
              <w:rPr/>
            </w:pPr>
            <w:r>
              <w:rPr/>
              <w:t>$</w:t>
            </w:r>
          </w:p>
        </w:tc>
        <w:tc>
          <w:tcPr>
            <w:tcW w:w="800" w:type="dxa"/>
            <w:tcBorders/>
            <w:vAlign w:val="bottom"/>
          </w:tcPr>
          <w:p>
            <w:pPr>
              <w:pStyle w:val="TableContents"/>
              <w:bidi w:val="0"/>
              <w:spacing w:before="0" w:after="0"/>
              <w:jc w:val="right"/>
              <w:rPr/>
            </w:pPr>
            <w:r>
              <w:rPr/>
              <w:t>24,157</w:t>
            </w:r>
          </w:p>
        </w:tc>
        <w:tc>
          <w:tcPr>
            <w:tcW w:w="2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0"/>
              <w:jc w:val="left"/>
              <w:rPr/>
            </w:pPr>
            <w:r>
              <w:rPr/>
              <w:t>$</w:t>
            </w:r>
          </w:p>
        </w:tc>
        <w:tc>
          <w:tcPr>
            <w:tcW w:w="800" w:type="dxa"/>
            <w:tcBorders/>
            <w:vAlign w:val="bottom"/>
          </w:tcPr>
          <w:p>
            <w:pPr>
              <w:pStyle w:val="TableContents"/>
              <w:bidi w:val="0"/>
              <w:spacing w:before="0" w:after="0"/>
              <w:jc w:val="right"/>
              <w:rPr/>
            </w:pPr>
            <w:r>
              <w:rPr/>
              <w:t>48,616</w:t>
            </w:r>
          </w:p>
        </w:tc>
        <w:tc>
          <w:tcPr>
            <w:tcW w:w="2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0"/>
              <w:jc w:val="left"/>
              <w:rPr/>
            </w:pPr>
            <w:r>
              <w:rPr/>
              <w:t>$</w:t>
            </w:r>
          </w:p>
        </w:tc>
        <w:tc>
          <w:tcPr>
            <w:tcW w:w="800" w:type="dxa"/>
            <w:tcBorders/>
            <w:vAlign w:val="bottom"/>
          </w:tcPr>
          <w:p>
            <w:pPr>
              <w:pStyle w:val="TableContents"/>
              <w:bidi w:val="0"/>
              <w:spacing w:before="0" w:after="0"/>
              <w:jc w:val="right"/>
              <w:rPr/>
            </w:pPr>
            <w:r>
              <w:rPr/>
              <w:t>93,181</w:t>
            </w:r>
          </w:p>
        </w:tc>
        <w:tc>
          <w:tcPr>
            <w:tcW w:w="283" w:type="dxa"/>
            <w:tcBorders/>
            <w:vAlign w:val="bottom"/>
          </w:tcPr>
          <w:p>
            <w:pPr>
              <w:pStyle w:val="TableContents"/>
              <w:bidi w:val="0"/>
              <w:spacing w:before="0" w:after="283"/>
              <w:jc w:val="left"/>
              <w:rPr/>
            </w:pPr>
            <w:r>
              <w:rPr/>
              <w:t> </w:t>
            </w:r>
          </w:p>
        </w:tc>
      </w:tr>
      <w:tr>
        <w:trPr/>
        <w:tc>
          <w:tcPr>
            <w:tcW w:w="5082" w:type="dxa"/>
            <w:tcBorders/>
            <w:shd w:fill="CCEEFF" w:val="clear"/>
            <w:vAlign w:val="bottom"/>
          </w:tcPr>
          <w:p>
            <w:pPr>
              <w:pStyle w:val="TableContents"/>
              <w:bidi w:val="0"/>
              <w:spacing w:before="0" w:after="0"/>
              <w:jc w:val="left"/>
              <w:rPr/>
            </w:pPr>
            <w:r>
              <w:rPr/>
              <w:t>Ratio of Adjusted EBITDA margin to ex-TAC Gross Profit</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0"/>
              <w:jc w:val="right"/>
              <w:rPr/>
            </w:pPr>
            <w:r>
              <w:rPr/>
              <w:t>17.8</w:t>
            </w:r>
          </w:p>
        </w:tc>
        <w:tc>
          <w:tcPr>
            <w:tcW w:w="280" w:type="dxa"/>
            <w:tcBorders/>
            <w:shd w:fill="CCEEFF" w:val="clear"/>
            <w:vAlign w:val="bottom"/>
          </w:tcPr>
          <w:p>
            <w:pPr>
              <w:pStyle w:val="TableContents"/>
              <w:bidi w:val="0"/>
              <w:spacing w:before="0" w:after="0"/>
              <w:jc w:val="left"/>
              <w:rPr/>
            </w:pPr>
            <w:r>
              <w:rPr/>
              <w:t>%</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0"/>
              <w:jc w:val="right"/>
              <w:rPr/>
            </w:pPr>
            <w:r>
              <w:rPr/>
              <w:t>18.7</w:t>
            </w:r>
          </w:p>
        </w:tc>
        <w:tc>
          <w:tcPr>
            <w:tcW w:w="280" w:type="dxa"/>
            <w:tcBorders/>
            <w:shd w:fill="CCEEFF" w:val="clear"/>
            <w:vAlign w:val="bottom"/>
          </w:tcPr>
          <w:p>
            <w:pPr>
              <w:pStyle w:val="TableContents"/>
              <w:bidi w:val="0"/>
              <w:spacing w:before="0" w:after="0"/>
              <w:jc w:val="left"/>
              <w:rPr/>
            </w:pPr>
            <w:r>
              <w:rPr/>
              <w:t>%</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0"/>
              <w:jc w:val="right"/>
              <w:rPr/>
            </w:pPr>
            <w:r>
              <w:rPr/>
              <w:t>13.2</w:t>
            </w:r>
          </w:p>
        </w:tc>
        <w:tc>
          <w:tcPr>
            <w:tcW w:w="280" w:type="dxa"/>
            <w:tcBorders/>
            <w:shd w:fill="CCEEFF" w:val="clear"/>
            <w:vAlign w:val="bottom"/>
          </w:tcPr>
          <w:p>
            <w:pPr>
              <w:pStyle w:val="TableContents"/>
              <w:bidi w:val="0"/>
              <w:spacing w:before="0" w:after="0"/>
              <w:jc w:val="left"/>
              <w:rPr/>
            </w:pPr>
            <w:r>
              <w:rPr/>
              <w:t>%</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0"/>
              <w:jc w:val="right"/>
              <w:rPr/>
            </w:pPr>
            <w:r>
              <w:rPr/>
              <w:t>22.7</w:t>
            </w:r>
          </w:p>
        </w:tc>
        <w:tc>
          <w:tcPr>
            <w:tcW w:w="283" w:type="dxa"/>
            <w:tcBorders/>
            <w:shd w:fill="CCEEFF" w:val="clear"/>
            <w:vAlign w:val="bottom"/>
          </w:tcPr>
          <w:p>
            <w:pPr>
              <w:pStyle w:val="TableContents"/>
              <w:bidi w:val="0"/>
              <w:spacing w:before="0" w:after="0"/>
              <w:jc w:val="left"/>
              <w:rPr/>
            </w:pPr>
            <w:r>
              <w:rPr/>
              <w:t>%</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36</w:t>
      </w:r>
    </w:p>
    <w:p>
      <w:pPr>
        <w:pStyle w:val="HorizontalLine"/>
        <w:bidi w:val="0"/>
        <w:spacing w:before="200" w:after="200"/>
        <w:jc w:val="left"/>
        <w:rPr/>
      </w:pPr>
      <w:r>
        <w:rPr/>
      </w:r>
    </w:p>
    <w:p>
      <w:pPr>
        <w:pStyle w:val="TextBody"/>
        <w:bidi w:val="0"/>
        <w:spacing w:before="200" w:after="200"/>
        <w:jc w:val="left"/>
        <w:rPr/>
      </w:pPr>
      <w:hyperlink w:anchor="Contents">
        <w:r>
          <w:rPr>
            <w:rStyle w:val="InternetLink"/>
            <w:rFonts w:ascii="Times New Roman" w:hAnsi="Times New Roman"/>
            <w:i/>
            <w:color w:val="000000"/>
            <w:sz w:val="16"/>
            <w:shd w:fill="FFFFFF" w:val="clear"/>
          </w:rPr>
          <w:t>Table of Contents</w:t>
        </w:r>
      </w:hyperlink>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Non-GAAP Net Income (Loss)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We believe that Non-GAAP Net Income (Loss) is useful because it allows us and others to measure our operating performance and trends without regard to items such as the revaluation of our Warrants liability, share-based compensation expense, cash and non-cash M&amp;A costs including amortization of acquired intangible assets, foreign currency exchange rate (gains) losses, net and other noteworthy items that change from period to period and related tax effects. These items can vary substantially depending on our share price, acquisition activity, the method by which assets are acquired and other factors. Limitations on the use of Non-GAAP Net Income (Loss) include the following:</w:t>
      </w:r>
    </w:p>
    <w:p>
      <w:pPr>
        <w:pStyle w:val="TextBody"/>
        <w:bidi w:val="0"/>
        <w:spacing w:before="0" w:after="0"/>
        <w:jc w:val="left"/>
        <w:rPr>
          <w:color w:val="000000"/>
          <w:shd w:fill="FFFFFF" w:val="clear"/>
        </w:rPr>
      </w:pPr>
      <w:r>
        <w:rPr>
          <w:color w:val="000000"/>
          <w:shd w:fill="FFFFFF" w:val="clea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both"/>
              <w:rPr/>
            </w:pPr>
            <w:r>
              <w:rPr/>
              <w:t>Non-GAAP Net Income (Loss) excludes share-based compensation expense, which has been, and will continue to be for the foreseeable future, a significant recurring expense for our business and an important part of our compensation strategy;</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both"/>
              <w:rPr/>
            </w:pPr>
            <w:r>
              <w:rPr/>
              <w:t>Non-GAAP Net Income (Loss) will generally be more favorable than our net income (loss) for the same period due to the nature of the items being excluded from its calculation; and</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both"/>
              <w:rPr/>
            </w:pPr>
            <w:r>
              <w:rPr/>
              <w:t>Non-GAAP Net Income (Loss) is a performance measure and should not be used as a measure of liquidity.</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following table reconciles net income (loss) to Non-GAAP Net Income (Loss) for the periods shown:</w:t>
      </w:r>
    </w:p>
    <w:p>
      <w:pPr>
        <w:pStyle w:val="TextBody"/>
        <w:bidi w:val="0"/>
        <w:spacing w:before="0" w:after="0"/>
        <w:jc w:val="left"/>
        <w:rPr>
          <w:color w:val="000000"/>
          <w:shd w:fill="FFFFFF" w:val="clear"/>
        </w:rPr>
      </w:pPr>
      <w:r>
        <w:rPr>
          <w:color w:val="000000"/>
          <w:shd w:fill="FFFFFF" w:val="clear"/>
        </w:rPr>
        <w:t> </w:t>
      </w:r>
    </w:p>
    <w:tbl>
      <w:tblPr>
        <w:tblW w:w="8357" w:type="dxa"/>
        <w:jc w:val="left"/>
        <w:tblInd w:w="0" w:type="dxa"/>
        <w:tblLayout w:type="fixed"/>
        <w:tblCellMar>
          <w:top w:w="0" w:type="dxa"/>
          <w:left w:w="0" w:type="dxa"/>
          <w:bottom w:w="0" w:type="dxa"/>
          <w:right w:w="0" w:type="dxa"/>
        </w:tblCellMar>
      </w:tblPr>
      <w:tblGrid>
        <w:gridCol w:w="3950"/>
        <w:gridCol w:w="60"/>
        <w:gridCol w:w="152"/>
        <w:gridCol w:w="822"/>
        <w:gridCol w:w="103"/>
        <w:gridCol w:w="65"/>
        <w:gridCol w:w="152"/>
        <w:gridCol w:w="822"/>
        <w:gridCol w:w="95"/>
        <w:gridCol w:w="60"/>
        <w:gridCol w:w="142"/>
        <w:gridCol w:w="770"/>
        <w:gridCol w:w="96"/>
        <w:gridCol w:w="61"/>
        <w:gridCol w:w="142"/>
        <w:gridCol w:w="770"/>
        <w:gridCol w:w="95"/>
      </w:tblGrid>
      <w:tr>
        <w:trPr/>
        <w:tc>
          <w:tcPr>
            <w:tcW w:w="39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16" w:type="dxa"/>
            <w:gridSpan w:val="6"/>
            <w:tcBorders>
              <w:bottom w:val="single" w:sz="12" w:space="0" w:color="000000"/>
            </w:tcBorders>
            <w:tcMar>
              <w:bottom w:w="28" w:type="dxa"/>
            </w:tcMar>
            <w:vAlign w:val="bottom"/>
          </w:tcPr>
          <w:p>
            <w:pPr>
              <w:pStyle w:val="TableContents"/>
              <w:bidi w:val="0"/>
              <w:spacing w:before="0" w:after="0"/>
              <w:jc w:val="center"/>
              <w:rPr>
                <w:b/>
              </w:rPr>
            </w:pPr>
            <w:r>
              <w:rPr>
                <w:b/>
              </w:rPr>
              <w:t>Three months ended</w:t>
            </w:r>
          </w:p>
          <w:p>
            <w:pPr>
              <w:pStyle w:val="TableContents"/>
              <w:bidi w:val="0"/>
              <w:spacing w:before="0" w:after="0"/>
              <w:jc w:val="center"/>
              <w:rPr>
                <w:b/>
              </w:rPr>
            </w:pPr>
            <w:r>
              <w:rPr>
                <w:b/>
              </w:rPr>
              <w:t>September 30,</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81" w:type="dxa"/>
            <w:gridSpan w:val="6"/>
            <w:tcBorders>
              <w:bottom w:val="single" w:sz="12" w:space="0" w:color="000000"/>
            </w:tcBorders>
            <w:tcMar>
              <w:bottom w:w="28" w:type="dxa"/>
            </w:tcMar>
            <w:vAlign w:val="bottom"/>
          </w:tcPr>
          <w:p>
            <w:pPr>
              <w:pStyle w:val="TableContents"/>
              <w:bidi w:val="0"/>
              <w:spacing w:before="0" w:after="0"/>
              <w:jc w:val="center"/>
              <w:rPr>
                <w:b/>
              </w:rPr>
            </w:pPr>
            <w:r>
              <w:rPr>
                <w:b/>
              </w:rPr>
              <w:t>Nine months ended</w:t>
            </w:r>
          </w:p>
          <w:p>
            <w:pPr>
              <w:pStyle w:val="TableContents"/>
              <w:bidi w:val="0"/>
              <w:spacing w:before="0" w:after="0"/>
              <w:jc w:val="center"/>
              <w:rPr>
                <w:b/>
              </w:rPr>
            </w:pPr>
            <w:r>
              <w:rPr>
                <w:b/>
              </w:rPr>
              <w:t>September 30,</w:t>
            </w:r>
          </w:p>
        </w:tc>
        <w:tc>
          <w:tcPr>
            <w:tcW w:w="95" w:type="dxa"/>
            <w:tcBorders/>
            <w:vAlign w:val="bottom"/>
          </w:tcPr>
          <w:p>
            <w:pPr>
              <w:pStyle w:val="TableContents"/>
              <w:bidi w:val="0"/>
              <w:spacing w:before="0" w:after="283"/>
              <w:jc w:val="left"/>
              <w:rPr/>
            </w:pPr>
            <w:r>
              <w:rPr/>
              <w:t> </w:t>
            </w:r>
          </w:p>
        </w:tc>
      </w:tr>
      <w:tr>
        <w:trPr/>
        <w:tc>
          <w:tcPr>
            <w:tcW w:w="39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74"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2023</w:t>
            </w:r>
          </w:p>
        </w:tc>
        <w:tc>
          <w:tcPr>
            <w:tcW w:w="103"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974"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2022</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12"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2023</w:t>
            </w:r>
          </w:p>
        </w:tc>
        <w:tc>
          <w:tcPr>
            <w:tcW w:w="96"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912"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2022</w:t>
            </w:r>
          </w:p>
        </w:tc>
        <w:tc>
          <w:tcPr>
            <w:tcW w:w="95" w:type="dxa"/>
            <w:tcBorders/>
            <w:vAlign w:val="bottom"/>
          </w:tcPr>
          <w:p>
            <w:pPr>
              <w:pStyle w:val="TableContents"/>
              <w:bidi w:val="0"/>
              <w:spacing w:before="0" w:after="283"/>
              <w:jc w:val="left"/>
              <w:rPr/>
            </w:pPr>
            <w:r>
              <w:rPr/>
              <w:t> </w:t>
            </w:r>
          </w:p>
        </w:tc>
      </w:tr>
      <w:tr>
        <w:trPr/>
        <w:tc>
          <w:tcPr>
            <w:tcW w:w="39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252" w:type="dxa"/>
            <w:gridSpan w:val="14"/>
            <w:tcBorders/>
            <w:vAlign w:val="bottom"/>
          </w:tcPr>
          <w:p>
            <w:pPr>
              <w:pStyle w:val="TableContents"/>
              <w:bidi w:val="0"/>
              <w:spacing w:before="0" w:after="0"/>
              <w:jc w:val="center"/>
              <w:rPr/>
            </w:pPr>
            <w:r>
              <w:rPr/>
              <w:t>(dollars in thousands)</w:t>
            </w:r>
          </w:p>
        </w:tc>
        <w:tc>
          <w:tcPr>
            <w:tcW w:w="95" w:type="dxa"/>
            <w:tcBorders/>
            <w:vAlign w:val="bottom"/>
          </w:tcPr>
          <w:p>
            <w:pPr>
              <w:pStyle w:val="TableContents"/>
              <w:bidi w:val="0"/>
              <w:spacing w:before="0" w:after="283"/>
              <w:jc w:val="left"/>
              <w:rPr/>
            </w:pPr>
            <w:r>
              <w:rPr/>
              <w:t> </w:t>
            </w:r>
          </w:p>
        </w:tc>
      </w:tr>
      <w:tr>
        <w:trPr/>
        <w:tc>
          <w:tcPr>
            <w:tcW w:w="3950" w:type="dxa"/>
            <w:tcBorders/>
            <w:shd w:fill="CCEEFF" w:val="clear"/>
            <w:vAlign w:val="bottom"/>
          </w:tcPr>
          <w:p>
            <w:pPr>
              <w:pStyle w:val="TableContents"/>
              <w:bidi w:val="0"/>
              <w:spacing w:before="0" w:after="0"/>
              <w:jc w:val="left"/>
              <w:rPr/>
            </w:pPr>
            <w:r>
              <w:rPr/>
              <w:t>Net loss</w:t>
            </w:r>
          </w:p>
        </w:tc>
        <w:tc>
          <w:tcPr>
            <w:tcW w:w="60"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0"/>
              <w:jc w:val="left"/>
              <w:rPr/>
            </w:pPr>
            <w:r>
              <w:rPr/>
              <w:t>$</w:t>
            </w:r>
          </w:p>
        </w:tc>
        <w:tc>
          <w:tcPr>
            <w:tcW w:w="822" w:type="dxa"/>
            <w:tcBorders/>
            <w:shd w:fill="CCEEFF" w:val="clear"/>
            <w:vAlign w:val="bottom"/>
          </w:tcPr>
          <w:p>
            <w:pPr>
              <w:pStyle w:val="TableContents"/>
              <w:bidi w:val="0"/>
              <w:spacing w:before="0" w:after="0"/>
              <w:jc w:val="right"/>
              <w:rPr/>
            </w:pPr>
            <w:r>
              <w:rPr/>
              <w:t>(23,136</w:t>
            </w:r>
          </w:p>
        </w:tc>
        <w:tc>
          <w:tcPr>
            <w:tcW w:w="103" w:type="dxa"/>
            <w:tcBorders/>
            <w:shd w:fill="CCEEFF" w:val="clear"/>
            <w:vAlign w:val="bottom"/>
          </w:tcPr>
          <w:p>
            <w:pPr>
              <w:pStyle w:val="TableContents"/>
              <w:bidi w:val="0"/>
              <w:spacing w:before="0" w:after="0"/>
              <w:jc w:val="left"/>
              <w:rPr/>
            </w:pPr>
            <w:r>
              <w:rPr/>
              <w:t>)</w:t>
            </w:r>
          </w:p>
        </w:tc>
        <w:tc>
          <w:tcPr>
            <w:tcW w:w="65"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0"/>
              <w:jc w:val="left"/>
              <w:rPr/>
            </w:pPr>
            <w:r>
              <w:rPr/>
              <w:t>$</w:t>
            </w:r>
          </w:p>
        </w:tc>
        <w:tc>
          <w:tcPr>
            <w:tcW w:w="822" w:type="dxa"/>
            <w:tcBorders/>
            <w:shd w:fill="CCEEFF" w:val="clear"/>
            <w:vAlign w:val="bottom"/>
          </w:tcPr>
          <w:p>
            <w:pPr>
              <w:pStyle w:val="TableContents"/>
              <w:bidi w:val="0"/>
              <w:spacing w:before="0" w:after="0"/>
              <w:jc w:val="right"/>
              <w:rPr/>
            </w:pPr>
            <w:r>
              <w:rPr/>
              <w:t>(26,026</w:t>
            </w:r>
          </w:p>
        </w:tc>
        <w:tc>
          <w:tcPr>
            <w:tcW w:w="95" w:type="dxa"/>
            <w:tcBorders/>
            <w:shd w:fill="CCEEFF" w:val="clear"/>
            <w:vAlign w:val="bottom"/>
          </w:tcPr>
          <w:p>
            <w:pPr>
              <w:pStyle w:val="TableContents"/>
              <w:bidi w:val="0"/>
              <w:spacing w:before="0" w:after="0"/>
              <w:jc w:val="left"/>
              <w:rPr/>
            </w:pPr>
            <w:r>
              <w:rPr/>
              <w:t>)</w:t>
            </w:r>
          </w:p>
        </w:tc>
        <w:tc>
          <w:tcPr>
            <w:tcW w:w="6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0"/>
              <w:jc w:val="left"/>
              <w:rPr/>
            </w:pPr>
            <w:r>
              <w:rPr/>
              <w:t>$</w:t>
            </w:r>
          </w:p>
        </w:tc>
        <w:tc>
          <w:tcPr>
            <w:tcW w:w="770" w:type="dxa"/>
            <w:tcBorders/>
            <w:shd w:fill="CCEEFF" w:val="clear"/>
            <w:vAlign w:val="bottom"/>
          </w:tcPr>
          <w:p>
            <w:pPr>
              <w:pStyle w:val="TableContents"/>
              <w:bidi w:val="0"/>
              <w:spacing w:before="0" w:after="0"/>
              <w:jc w:val="right"/>
              <w:rPr/>
            </w:pPr>
            <w:r>
              <w:rPr/>
              <w:t>(85,763</w:t>
            </w:r>
          </w:p>
        </w:tc>
        <w:tc>
          <w:tcPr>
            <w:tcW w:w="96" w:type="dxa"/>
            <w:tcBorders/>
            <w:shd w:fill="CCEEFF" w:val="clear"/>
            <w:vAlign w:val="bottom"/>
          </w:tcPr>
          <w:p>
            <w:pPr>
              <w:pStyle w:val="TableContents"/>
              <w:bidi w:val="0"/>
              <w:spacing w:before="0" w:after="0"/>
              <w:jc w:val="left"/>
              <w:rPr/>
            </w:pPr>
            <w:r>
              <w:rPr/>
              <w:t>)</w:t>
            </w:r>
          </w:p>
        </w:tc>
        <w:tc>
          <w:tcPr>
            <w:tcW w:w="61"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0"/>
              <w:jc w:val="left"/>
              <w:rPr/>
            </w:pPr>
            <w:r>
              <w:rPr/>
              <w:t>$</w:t>
            </w:r>
          </w:p>
        </w:tc>
        <w:tc>
          <w:tcPr>
            <w:tcW w:w="770" w:type="dxa"/>
            <w:tcBorders/>
            <w:shd w:fill="CCEEFF" w:val="clear"/>
            <w:vAlign w:val="bottom"/>
          </w:tcPr>
          <w:p>
            <w:pPr>
              <w:pStyle w:val="TableContents"/>
              <w:bidi w:val="0"/>
              <w:spacing w:before="0" w:after="0"/>
              <w:jc w:val="right"/>
              <w:rPr/>
            </w:pPr>
            <w:r>
              <w:rPr/>
              <w:t>(27,159</w:t>
            </w:r>
          </w:p>
        </w:tc>
        <w:tc>
          <w:tcPr>
            <w:tcW w:w="95" w:type="dxa"/>
            <w:tcBorders/>
            <w:shd w:fill="CCEEFF" w:val="clear"/>
            <w:vAlign w:val="bottom"/>
          </w:tcPr>
          <w:p>
            <w:pPr>
              <w:pStyle w:val="TableContents"/>
              <w:bidi w:val="0"/>
              <w:spacing w:before="0" w:after="0"/>
              <w:jc w:val="left"/>
              <w:rPr/>
            </w:pPr>
            <w:r>
              <w:rPr/>
              <w:t>)</w:t>
            </w:r>
          </w:p>
        </w:tc>
      </w:tr>
      <w:tr>
        <w:trPr/>
        <w:tc>
          <w:tcPr>
            <w:tcW w:w="3950" w:type="dxa"/>
            <w:tcBorders/>
            <w:vAlign w:val="bottom"/>
          </w:tcPr>
          <w:p>
            <w:pPr>
              <w:pStyle w:val="TableContents"/>
              <w:bidi w:val="0"/>
              <w:spacing w:before="0" w:after="0"/>
              <w:jc w:val="left"/>
              <w:rPr/>
            </w:pPr>
            <w:r>
              <w:rPr/>
              <w:t>Amortization of acquired intangibles</w:t>
            </w:r>
          </w:p>
        </w:tc>
        <w:tc>
          <w:tcPr>
            <w:tcW w:w="6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822" w:type="dxa"/>
            <w:tcBorders/>
            <w:vAlign w:val="bottom"/>
          </w:tcPr>
          <w:p>
            <w:pPr>
              <w:pStyle w:val="TableContents"/>
              <w:bidi w:val="0"/>
              <w:spacing w:before="0" w:after="0"/>
              <w:jc w:val="right"/>
              <w:rPr/>
            </w:pPr>
            <w:r>
              <w:rPr/>
              <w:t>15,980</w:t>
            </w:r>
          </w:p>
        </w:tc>
        <w:tc>
          <w:tcPr>
            <w:tcW w:w="103"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822" w:type="dxa"/>
            <w:tcBorders/>
            <w:vAlign w:val="bottom"/>
          </w:tcPr>
          <w:p>
            <w:pPr>
              <w:pStyle w:val="TableContents"/>
              <w:bidi w:val="0"/>
              <w:spacing w:before="0" w:after="0"/>
              <w:jc w:val="right"/>
              <w:rPr/>
            </w:pPr>
            <w:r>
              <w:rPr/>
              <w:t>15,983</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770" w:type="dxa"/>
            <w:tcBorders/>
            <w:vAlign w:val="bottom"/>
          </w:tcPr>
          <w:p>
            <w:pPr>
              <w:pStyle w:val="TableContents"/>
              <w:bidi w:val="0"/>
              <w:spacing w:before="0" w:after="0"/>
              <w:jc w:val="right"/>
              <w:rPr/>
            </w:pPr>
            <w:r>
              <w:rPr/>
              <w:t>47,911</w:t>
            </w:r>
          </w:p>
        </w:tc>
        <w:tc>
          <w:tcPr>
            <w:tcW w:w="96"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770" w:type="dxa"/>
            <w:tcBorders/>
            <w:vAlign w:val="bottom"/>
          </w:tcPr>
          <w:p>
            <w:pPr>
              <w:pStyle w:val="TableContents"/>
              <w:bidi w:val="0"/>
              <w:spacing w:before="0" w:after="0"/>
              <w:jc w:val="right"/>
              <w:rPr/>
            </w:pPr>
            <w:r>
              <w:rPr/>
              <w:t>47,591</w:t>
            </w:r>
          </w:p>
        </w:tc>
        <w:tc>
          <w:tcPr>
            <w:tcW w:w="95" w:type="dxa"/>
            <w:tcBorders/>
            <w:vAlign w:val="bottom"/>
          </w:tcPr>
          <w:p>
            <w:pPr>
              <w:pStyle w:val="TableContents"/>
              <w:bidi w:val="0"/>
              <w:spacing w:before="0" w:after="283"/>
              <w:jc w:val="left"/>
              <w:rPr/>
            </w:pPr>
            <w:r>
              <w:rPr/>
              <w:t> </w:t>
            </w:r>
          </w:p>
        </w:tc>
      </w:tr>
      <w:tr>
        <w:trPr/>
        <w:tc>
          <w:tcPr>
            <w:tcW w:w="3950" w:type="dxa"/>
            <w:tcBorders/>
            <w:shd w:fill="CCEEFF" w:val="clear"/>
            <w:vAlign w:val="bottom"/>
          </w:tcPr>
          <w:p>
            <w:pPr>
              <w:pStyle w:val="TableContents"/>
              <w:bidi w:val="0"/>
              <w:spacing w:before="0" w:after="0"/>
              <w:jc w:val="left"/>
              <w:rPr/>
            </w:pPr>
            <w:r>
              <w:rPr/>
              <w:t>Share-based compensation expenses</w:t>
            </w:r>
          </w:p>
        </w:tc>
        <w:tc>
          <w:tcPr>
            <w:tcW w:w="60"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822" w:type="dxa"/>
            <w:tcBorders/>
            <w:shd w:fill="CCEEFF" w:val="clear"/>
            <w:vAlign w:val="bottom"/>
          </w:tcPr>
          <w:p>
            <w:pPr>
              <w:pStyle w:val="TableContents"/>
              <w:bidi w:val="0"/>
              <w:spacing w:before="0" w:after="0"/>
              <w:jc w:val="right"/>
              <w:rPr/>
            </w:pPr>
            <w:r>
              <w:rPr/>
              <w:t>13,605</w:t>
            </w:r>
          </w:p>
        </w:tc>
        <w:tc>
          <w:tcPr>
            <w:tcW w:w="103"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822" w:type="dxa"/>
            <w:tcBorders/>
            <w:shd w:fill="CCEEFF" w:val="clear"/>
            <w:vAlign w:val="bottom"/>
          </w:tcPr>
          <w:p>
            <w:pPr>
              <w:pStyle w:val="TableContents"/>
              <w:bidi w:val="0"/>
              <w:spacing w:before="0" w:after="0"/>
              <w:jc w:val="right"/>
              <w:rPr/>
            </w:pPr>
            <w:r>
              <w:rPr/>
              <w:t>15,937</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770" w:type="dxa"/>
            <w:tcBorders/>
            <w:shd w:fill="CCEEFF" w:val="clear"/>
            <w:vAlign w:val="bottom"/>
          </w:tcPr>
          <w:p>
            <w:pPr>
              <w:pStyle w:val="TableContents"/>
              <w:bidi w:val="0"/>
              <w:spacing w:before="0" w:after="0"/>
              <w:jc w:val="right"/>
              <w:rPr/>
            </w:pPr>
            <w:r>
              <w:rPr/>
              <w:t>41,022</w:t>
            </w:r>
          </w:p>
        </w:tc>
        <w:tc>
          <w:tcPr>
            <w:tcW w:w="96"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770" w:type="dxa"/>
            <w:tcBorders/>
            <w:shd w:fill="CCEEFF" w:val="clear"/>
            <w:vAlign w:val="bottom"/>
          </w:tcPr>
          <w:p>
            <w:pPr>
              <w:pStyle w:val="TableContents"/>
              <w:bidi w:val="0"/>
              <w:spacing w:before="0" w:after="0"/>
              <w:jc w:val="right"/>
              <w:rPr/>
            </w:pPr>
            <w:r>
              <w:rPr/>
              <w:t>50,616</w:t>
            </w:r>
          </w:p>
        </w:tc>
        <w:tc>
          <w:tcPr>
            <w:tcW w:w="95" w:type="dxa"/>
            <w:tcBorders/>
            <w:shd w:fill="CCEEFF" w:val="clear"/>
            <w:vAlign w:val="bottom"/>
          </w:tcPr>
          <w:p>
            <w:pPr>
              <w:pStyle w:val="TableContents"/>
              <w:bidi w:val="0"/>
              <w:spacing w:before="0" w:after="283"/>
              <w:jc w:val="left"/>
              <w:rPr/>
            </w:pPr>
            <w:r>
              <w:rPr/>
              <w:t> </w:t>
            </w:r>
          </w:p>
        </w:tc>
      </w:tr>
      <w:tr>
        <w:trPr/>
        <w:tc>
          <w:tcPr>
            <w:tcW w:w="3950" w:type="dxa"/>
            <w:tcBorders/>
            <w:vAlign w:val="bottom"/>
          </w:tcPr>
          <w:p>
            <w:pPr>
              <w:pStyle w:val="TableContents"/>
              <w:bidi w:val="0"/>
              <w:spacing w:before="0" w:after="0"/>
              <w:jc w:val="left"/>
              <w:rPr/>
            </w:pPr>
            <w:r>
              <w:rPr/>
              <w:t>Restructuring expenses (1)</w:t>
            </w:r>
          </w:p>
        </w:tc>
        <w:tc>
          <w:tcPr>
            <w:tcW w:w="6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822" w:type="dxa"/>
            <w:tcBorders/>
            <w:vAlign w:val="bottom"/>
          </w:tcPr>
          <w:p>
            <w:pPr>
              <w:pStyle w:val="TableContents"/>
              <w:bidi w:val="0"/>
              <w:spacing w:before="0" w:after="0"/>
              <w:jc w:val="right"/>
              <w:rPr/>
            </w:pPr>
            <w:r>
              <w:rPr/>
              <w:t>—</w:t>
            </w:r>
          </w:p>
        </w:tc>
        <w:tc>
          <w:tcPr>
            <w:tcW w:w="103"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822" w:type="dxa"/>
            <w:tcBorders/>
            <w:vAlign w:val="bottom"/>
          </w:tcPr>
          <w:p>
            <w:pPr>
              <w:pStyle w:val="TableContents"/>
              <w:bidi w:val="0"/>
              <w:spacing w:before="0" w:after="0"/>
              <w:jc w:val="right"/>
              <w:rPr/>
            </w:pPr>
            <w:r>
              <w:rPr/>
              <w:t>3,383</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770" w:type="dxa"/>
            <w:tcBorders/>
            <w:vAlign w:val="bottom"/>
          </w:tcPr>
          <w:p>
            <w:pPr>
              <w:pStyle w:val="TableContents"/>
              <w:bidi w:val="0"/>
              <w:spacing w:before="0" w:after="0"/>
              <w:jc w:val="right"/>
              <w:rPr/>
            </w:pPr>
            <w:r>
              <w:rPr/>
              <w:t>—</w:t>
            </w:r>
          </w:p>
        </w:tc>
        <w:tc>
          <w:tcPr>
            <w:tcW w:w="96"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770" w:type="dxa"/>
            <w:tcBorders/>
            <w:vAlign w:val="bottom"/>
          </w:tcPr>
          <w:p>
            <w:pPr>
              <w:pStyle w:val="TableContents"/>
              <w:bidi w:val="0"/>
              <w:spacing w:before="0" w:after="0"/>
              <w:jc w:val="right"/>
              <w:rPr/>
            </w:pPr>
            <w:r>
              <w:rPr/>
              <w:t>3,383</w:t>
            </w:r>
          </w:p>
        </w:tc>
        <w:tc>
          <w:tcPr>
            <w:tcW w:w="95" w:type="dxa"/>
            <w:tcBorders/>
            <w:vAlign w:val="bottom"/>
          </w:tcPr>
          <w:p>
            <w:pPr>
              <w:pStyle w:val="TableContents"/>
              <w:bidi w:val="0"/>
              <w:spacing w:before="0" w:after="283"/>
              <w:jc w:val="left"/>
              <w:rPr/>
            </w:pPr>
            <w:r>
              <w:rPr/>
              <w:t> </w:t>
            </w:r>
          </w:p>
        </w:tc>
      </w:tr>
      <w:tr>
        <w:trPr/>
        <w:tc>
          <w:tcPr>
            <w:tcW w:w="3950" w:type="dxa"/>
            <w:tcBorders/>
            <w:shd w:fill="CCEEFF" w:val="clear"/>
            <w:vAlign w:val="bottom"/>
          </w:tcPr>
          <w:p>
            <w:pPr>
              <w:pStyle w:val="TableContents"/>
              <w:bidi w:val="0"/>
              <w:spacing w:before="0" w:after="0"/>
              <w:jc w:val="left"/>
              <w:rPr/>
            </w:pPr>
            <w:r>
              <w:rPr/>
              <w:t>Holdback compensation expenses (2)</w:t>
            </w:r>
          </w:p>
        </w:tc>
        <w:tc>
          <w:tcPr>
            <w:tcW w:w="60"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822" w:type="dxa"/>
            <w:tcBorders/>
            <w:shd w:fill="CCEEFF" w:val="clear"/>
            <w:vAlign w:val="bottom"/>
          </w:tcPr>
          <w:p>
            <w:pPr>
              <w:pStyle w:val="TableContents"/>
              <w:bidi w:val="0"/>
              <w:spacing w:before="0" w:after="0"/>
              <w:jc w:val="right"/>
              <w:rPr/>
            </w:pPr>
            <w:r>
              <w:rPr/>
              <w:t>2,646</w:t>
            </w:r>
          </w:p>
        </w:tc>
        <w:tc>
          <w:tcPr>
            <w:tcW w:w="103"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822" w:type="dxa"/>
            <w:tcBorders/>
            <w:shd w:fill="CCEEFF" w:val="clear"/>
            <w:vAlign w:val="bottom"/>
          </w:tcPr>
          <w:p>
            <w:pPr>
              <w:pStyle w:val="TableContents"/>
              <w:bidi w:val="0"/>
              <w:spacing w:before="0" w:after="0"/>
              <w:jc w:val="right"/>
              <w:rPr/>
            </w:pPr>
            <w:r>
              <w:rPr/>
              <w:t>2,773</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770" w:type="dxa"/>
            <w:tcBorders/>
            <w:shd w:fill="CCEEFF" w:val="clear"/>
            <w:vAlign w:val="bottom"/>
          </w:tcPr>
          <w:p>
            <w:pPr>
              <w:pStyle w:val="TableContents"/>
              <w:bidi w:val="0"/>
              <w:spacing w:before="0" w:after="0"/>
              <w:jc w:val="right"/>
              <w:rPr/>
            </w:pPr>
            <w:r>
              <w:rPr/>
              <w:t>7,846</w:t>
            </w:r>
          </w:p>
        </w:tc>
        <w:tc>
          <w:tcPr>
            <w:tcW w:w="96"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770" w:type="dxa"/>
            <w:tcBorders/>
            <w:shd w:fill="CCEEFF" w:val="clear"/>
            <w:vAlign w:val="bottom"/>
          </w:tcPr>
          <w:p>
            <w:pPr>
              <w:pStyle w:val="TableContents"/>
              <w:bidi w:val="0"/>
              <w:spacing w:before="0" w:after="0"/>
              <w:jc w:val="right"/>
              <w:rPr/>
            </w:pPr>
            <w:r>
              <w:rPr/>
              <w:t>8,355</w:t>
            </w:r>
          </w:p>
        </w:tc>
        <w:tc>
          <w:tcPr>
            <w:tcW w:w="95" w:type="dxa"/>
            <w:tcBorders/>
            <w:shd w:fill="CCEEFF" w:val="clear"/>
            <w:vAlign w:val="bottom"/>
          </w:tcPr>
          <w:p>
            <w:pPr>
              <w:pStyle w:val="TableContents"/>
              <w:bidi w:val="0"/>
              <w:spacing w:before="0" w:after="283"/>
              <w:jc w:val="left"/>
              <w:rPr/>
            </w:pPr>
            <w:r>
              <w:rPr/>
              <w:t> </w:t>
            </w:r>
          </w:p>
        </w:tc>
      </w:tr>
      <w:tr>
        <w:trPr/>
        <w:tc>
          <w:tcPr>
            <w:tcW w:w="3950" w:type="dxa"/>
            <w:tcBorders/>
            <w:vAlign w:val="bottom"/>
          </w:tcPr>
          <w:p>
            <w:pPr>
              <w:pStyle w:val="TableContents"/>
              <w:bidi w:val="0"/>
              <w:spacing w:before="0" w:after="0"/>
              <w:jc w:val="left"/>
              <w:rPr/>
            </w:pPr>
            <w:r>
              <w:rPr/>
              <w:t>M&amp;A and other costs (3)</w:t>
            </w:r>
          </w:p>
        </w:tc>
        <w:tc>
          <w:tcPr>
            <w:tcW w:w="6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822" w:type="dxa"/>
            <w:tcBorders/>
            <w:vAlign w:val="bottom"/>
          </w:tcPr>
          <w:p>
            <w:pPr>
              <w:pStyle w:val="TableContents"/>
              <w:bidi w:val="0"/>
              <w:spacing w:before="0" w:after="0"/>
              <w:jc w:val="right"/>
              <w:rPr/>
            </w:pPr>
            <w:r>
              <w:rPr/>
              <w:t>—</w:t>
            </w:r>
          </w:p>
        </w:tc>
        <w:tc>
          <w:tcPr>
            <w:tcW w:w="103"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822" w:type="dxa"/>
            <w:tcBorders/>
            <w:vAlign w:val="bottom"/>
          </w:tcPr>
          <w:p>
            <w:pPr>
              <w:pStyle w:val="TableContents"/>
              <w:bidi w:val="0"/>
              <w:spacing w:before="0" w:after="0"/>
              <w:jc w:val="right"/>
              <w:rPr/>
            </w:pPr>
            <w:r>
              <w:rPr/>
              <w:t>292</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770" w:type="dxa"/>
            <w:tcBorders/>
            <w:vAlign w:val="bottom"/>
          </w:tcPr>
          <w:p>
            <w:pPr>
              <w:pStyle w:val="TableContents"/>
              <w:bidi w:val="0"/>
              <w:spacing w:before="0" w:after="0"/>
              <w:jc w:val="right"/>
              <w:rPr/>
            </w:pPr>
            <w:r>
              <w:rPr/>
              <w:t>1,571</w:t>
            </w:r>
          </w:p>
        </w:tc>
        <w:tc>
          <w:tcPr>
            <w:tcW w:w="96"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770" w:type="dxa"/>
            <w:tcBorders/>
            <w:vAlign w:val="bottom"/>
          </w:tcPr>
          <w:p>
            <w:pPr>
              <w:pStyle w:val="TableContents"/>
              <w:bidi w:val="0"/>
              <w:spacing w:before="0" w:after="0"/>
              <w:jc w:val="right"/>
              <w:rPr/>
            </w:pPr>
            <w:r>
              <w:rPr/>
              <w:t>816</w:t>
            </w:r>
          </w:p>
        </w:tc>
        <w:tc>
          <w:tcPr>
            <w:tcW w:w="95" w:type="dxa"/>
            <w:tcBorders/>
            <w:vAlign w:val="bottom"/>
          </w:tcPr>
          <w:p>
            <w:pPr>
              <w:pStyle w:val="TableContents"/>
              <w:bidi w:val="0"/>
              <w:spacing w:before="0" w:after="283"/>
              <w:jc w:val="left"/>
              <w:rPr/>
            </w:pPr>
            <w:r>
              <w:rPr/>
              <w:t> </w:t>
            </w:r>
          </w:p>
        </w:tc>
      </w:tr>
      <w:tr>
        <w:trPr/>
        <w:tc>
          <w:tcPr>
            <w:tcW w:w="3950" w:type="dxa"/>
            <w:tcBorders/>
            <w:shd w:fill="CCEEFF" w:val="clear"/>
            <w:vAlign w:val="bottom"/>
          </w:tcPr>
          <w:p>
            <w:pPr>
              <w:pStyle w:val="TableContents"/>
              <w:bidi w:val="0"/>
              <w:spacing w:before="0" w:after="0"/>
              <w:jc w:val="left"/>
              <w:rPr/>
            </w:pPr>
            <w:r>
              <w:rPr/>
              <w:t>Revaluation of Warrants</w:t>
            </w:r>
          </w:p>
        </w:tc>
        <w:tc>
          <w:tcPr>
            <w:tcW w:w="60"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822" w:type="dxa"/>
            <w:tcBorders/>
            <w:shd w:fill="CCEEFF" w:val="clear"/>
            <w:vAlign w:val="bottom"/>
          </w:tcPr>
          <w:p>
            <w:pPr>
              <w:pStyle w:val="TableContents"/>
              <w:bidi w:val="0"/>
              <w:spacing w:before="0" w:after="0"/>
              <w:jc w:val="right"/>
              <w:rPr/>
            </w:pPr>
            <w:r>
              <w:rPr/>
              <w:t>241</w:t>
            </w:r>
          </w:p>
        </w:tc>
        <w:tc>
          <w:tcPr>
            <w:tcW w:w="103"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822" w:type="dxa"/>
            <w:tcBorders/>
            <w:shd w:fill="CCEEFF" w:val="clear"/>
            <w:vAlign w:val="bottom"/>
          </w:tcPr>
          <w:p>
            <w:pPr>
              <w:pStyle w:val="TableContents"/>
              <w:bidi w:val="0"/>
              <w:spacing w:before="0" w:after="0"/>
              <w:jc w:val="right"/>
              <w:rPr/>
            </w:pPr>
            <w:r>
              <w:rPr/>
              <w:t>(988</w:t>
            </w:r>
          </w:p>
        </w:tc>
        <w:tc>
          <w:tcPr>
            <w:tcW w:w="95" w:type="dxa"/>
            <w:tcBorders/>
            <w:shd w:fill="CCEEFF" w:val="clear"/>
            <w:vAlign w:val="bottom"/>
          </w:tcPr>
          <w:p>
            <w:pPr>
              <w:pStyle w:val="TableContents"/>
              <w:bidi w:val="0"/>
              <w:spacing w:before="0" w:after="0"/>
              <w:jc w:val="left"/>
              <w:rPr/>
            </w:pPr>
            <w:r>
              <w:rPr/>
              <w:t>)</w:t>
            </w:r>
          </w:p>
        </w:tc>
        <w:tc>
          <w:tcPr>
            <w:tcW w:w="6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770" w:type="dxa"/>
            <w:tcBorders/>
            <w:shd w:fill="CCEEFF" w:val="clear"/>
            <w:vAlign w:val="bottom"/>
          </w:tcPr>
          <w:p>
            <w:pPr>
              <w:pStyle w:val="TableContents"/>
              <w:bidi w:val="0"/>
              <w:spacing w:before="0" w:after="0"/>
              <w:jc w:val="right"/>
              <w:rPr/>
            </w:pPr>
            <w:r>
              <w:rPr/>
              <w:t>(733</w:t>
            </w:r>
          </w:p>
        </w:tc>
        <w:tc>
          <w:tcPr>
            <w:tcW w:w="96" w:type="dxa"/>
            <w:tcBorders/>
            <w:shd w:fill="CCEEFF" w:val="clear"/>
            <w:vAlign w:val="bottom"/>
          </w:tcPr>
          <w:p>
            <w:pPr>
              <w:pStyle w:val="TableContents"/>
              <w:bidi w:val="0"/>
              <w:spacing w:before="0" w:after="0"/>
              <w:jc w:val="left"/>
              <w:rPr/>
            </w:pPr>
            <w:r>
              <w:rPr/>
              <w:t>)</w:t>
            </w:r>
          </w:p>
        </w:tc>
        <w:tc>
          <w:tcPr>
            <w:tcW w:w="61"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770" w:type="dxa"/>
            <w:tcBorders/>
            <w:shd w:fill="CCEEFF" w:val="clear"/>
            <w:vAlign w:val="bottom"/>
          </w:tcPr>
          <w:p>
            <w:pPr>
              <w:pStyle w:val="TableContents"/>
              <w:bidi w:val="0"/>
              <w:spacing w:before="0" w:after="0"/>
              <w:jc w:val="right"/>
              <w:rPr/>
            </w:pPr>
            <w:r>
              <w:rPr/>
              <w:t>(26,988</w:t>
            </w:r>
          </w:p>
        </w:tc>
        <w:tc>
          <w:tcPr>
            <w:tcW w:w="95" w:type="dxa"/>
            <w:tcBorders/>
            <w:shd w:fill="CCEEFF" w:val="clear"/>
            <w:vAlign w:val="bottom"/>
          </w:tcPr>
          <w:p>
            <w:pPr>
              <w:pStyle w:val="TableContents"/>
              <w:bidi w:val="0"/>
              <w:spacing w:before="0" w:after="0"/>
              <w:jc w:val="left"/>
              <w:rPr/>
            </w:pPr>
            <w:r>
              <w:rPr/>
              <w:t>)</w:t>
            </w:r>
          </w:p>
        </w:tc>
      </w:tr>
      <w:tr>
        <w:trPr/>
        <w:tc>
          <w:tcPr>
            <w:tcW w:w="3950" w:type="dxa"/>
            <w:tcBorders/>
            <w:vAlign w:val="bottom"/>
          </w:tcPr>
          <w:p>
            <w:pPr>
              <w:pStyle w:val="TableContents"/>
              <w:bidi w:val="0"/>
              <w:spacing w:before="0" w:after="0"/>
              <w:jc w:val="left"/>
              <w:rPr/>
            </w:pPr>
            <w:r>
              <w:rPr/>
              <w:t>Foreign currency exchange rate losses (4)</w:t>
            </w:r>
          </w:p>
        </w:tc>
        <w:tc>
          <w:tcPr>
            <w:tcW w:w="6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822" w:type="dxa"/>
            <w:tcBorders/>
            <w:vAlign w:val="bottom"/>
          </w:tcPr>
          <w:p>
            <w:pPr>
              <w:pStyle w:val="TableContents"/>
              <w:bidi w:val="0"/>
              <w:spacing w:before="0" w:after="0"/>
              <w:jc w:val="right"/>
              <w:rPr/>
            </w:pPr>
            <w:r>
              <w:rPr/>
              <w:t>859</w:t>
            </w:r>
          </w:p>
        </w:tc>
        <w:tc>
          <w:tcPr>
            <w:tcW w:w="103"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822" w:type="dxa"/>
            <w:tcBorders/>
            <w:vAlign w:val="bottom"/>
          </w:tcPr>
          <w:p>
            <w:pPr>
              <w:pStyle w:val="TableContents"/>
              <w:bidi w:val="0"/>
              <w:spacing w:before="0" w:after="0"/>
              <w:jc w:val="right"/>
              <w:rPr/>
            </w:pPr>
            <w:r>
              <w:rPr/>
              <w:t>347</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770" w:type="dxa"/>
            <w:tcBorders/>
            <w:vAlign w:val="bottom"/>
          </w:tcPr>
          <w:p>
            <w:pPr>
              <w:pStyle w:val="TableContents"/>
              <w:bidi w:val="0"/>
              <w:spacing w:before="0" w:after="0"/>
              <w:jc w:val="right"/>
              <w:rPr/>
            </w:pPr>
            <w:r>
              <w:rPr/>
              <w:t>625</w:t>
            </w:r>
          </w:p>
        </w:tc>
        <w:tc>
          <w:tcPr>
            <w:tcW w:w="96"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770" w:type="dxa"/>
            <w:tcBorders/>
            <w:vAlign w:val="bottom"/>
          </w:tcPr>
          <w:p>
            <w:pPr>
              <w:pStyle w:val="TableContents"/>
              <w:bidi w:val="0"/>
              <w:spacing w:before="0" w:after="0"/>
              <w:jc w:val="right"/>
              <w:rPr/>
            </w:pPr>
            <w:r>
              <w:rPr/>
              <w:t>3,053</w:t>
            </w:r>
          </w:p>
        </w:tc>
        <w:tc>
          <w:tcPr>
            <w:tcW w:w="95" w:type="dxa"/>
            <w:tcBorders/>
            <w:vAlign w:val="bottom"/>
          </w:tcPr>
          <w:p>
            <w:pPr>
              <w:pStyle w:val="TableContents"/>
              <w:bidi w:val="0"/>
              <w:spacing w:before="0" w:after="283"/>
              <w:jc w:val="left"/>
              <w:rPr/>
            </w:pPr>
            <w:r>
              <w:rPr/>
              <w:t> </w:t>
            </w:r>
          </w:p>
        </w:tc>
      </w:tr>
      <w:tr>
        <w:trPr/>
        <w:tc>
          <w:tcPr>
            <w:tcW w:w="3950" w:type="dxa"/>
            <w:tcBorders/>
            <w:shd w:fill="CCEEFF" w:val="clear"/>
            <w:vAlign w:val="bottom"/>
          </w:tcPr>
          <w:p>
            <w:pPr>
              <w:pStyle w:val="TableContents"/>
              <w:bidi w:val="0"/>
              <w:spacing w:before="0" w:after="0"/>
              <w:jc w:val="left"/>
              <w:rPr/>
            </w:pPr>
            <w:r>
              <w:rPr/>
              <w:t>Income tax effects</w:t>
            </w:r>
          </w:p>
        </w:tc>
        <w:tc>
          <w:tcPr>
            <w:tcW w:w="60" w:type="dxa"/>
            <w:tcBorders/>
            <w:shd w:fill="CCEEFF" w:val="clear"/>
            <w:vAlign w:val="bottom"/>
          </w:tcPr>
          <w:p>
            <w:pPr>
              <w:pStyle w:val="TableContents"/>
              <w:bidi w:val="0"/>
              <w:spacing w:before="0" w:after="283"/>
              <w:jc w:val="left"/>
              <w:rPr/>
            </w:pPr>
            <w:r>
              <w:rPr/>
              <w:t> </w:t>
            </w:r>
          </w:p>
        </w:tc>
        <w:tc>
          <w:tcPr>
            <w:tcW w:w="15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22" w:type="dxa"/>
            <w:tcBorders>
              <w:bottom w:val="single" w:sz="12" w:space="0" w:color="000000"/>
            </w:tcBorders>
            <w:shd w:fill="CCEEFF" w:val="clear"/>
            <w:tcMar>
              <w:bottom w:w="28" w:type="dxa"/>
            </w:tcMar>
            <w:vAlign w:val="bottom"/>
          </w:tcPr>
          <w:p>
            <w:pPr>
              <w:pStyle w:val="TableContents"/>
              <w:bidi w:val="0"/>
              <w:spacing w:before="0" w:after="0"/>
              <w:jc w:val="right"/>
              <w:rPr/>
            </w:pPr>
            <w:r>
              <w:rPr/>
              <w:t>(3,491</w:t>
            </w:r>
          </w:p>
        </w:tc>
        <w:tc>
          <w:tcPr>
            <w:tcW w:w="103" w:type="dxa"/>
            <w:tcBorders/>
            <w:shd w:fill="CCEEFF" w:val="clear"/>
            <w:vAlign w:val="bottom"/>
          </w:tcPr>
          <w:p>
            <w:pPr>
              <w:pStyle w:val="TableContents"/>
              <w:bidi w:val="0"/>
              <w:spacing w:before="0" w:after="0"/>
              <w:jc w:val="left"/>
              <w:rPr/>
            </w:pPr>
            <w:r>
              <w:rPr/>
              <w:t>)</w:t>
            </w:r>
          </w:p>
        </w:tc>
        <w:tc>
          <w:tcPr>
            <w:tcW w:w="65" w:type="dxa"/>
            <w:tcBorders/>
            <w:shd w:fill="CCEEFF" w:val="clear"/>
            <w:vAlign w:val="bottom"/>
          </w:tcPr>
          <w:p>
            <w:pPr>
              <w:pStyle w:val="TableContents"/>
              <w:bidi w:val="0"/>
              <w:spacing w:before="0" w:after="283"/>
              <w:jc w:val="left"/>
              <w:rPr/>
            </w:pPr>
            <w:r>
              <w:rPr/>
              <w:t> </w:t>
            </w:r>
          </w:p>
        </w:tc>
        <w:tc>
          <w:tcPr>
            <w:tcW w:w="15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22" w:type="dxa"/>
            <w:tcBorders>
              <w:bottom w:val="single" w:sz="12" w:space="0" w:color="000000"/>
            </w:tcBorders>
            <w:shd w:fill="CCEEFF" w:val="clear"/>
            <w:tcMar>
              <w:bottom w:w="28" w:type="dxa"/>
            </w:tcMar>
            <w:vAlign w:val="bottom"/>
          </w:tcPr>
          <w:p>
            <w:pPr>
              <w:pStyle w:val="TableContents"/>
              <w:bidi w:val="0"/>
              <w:spacing w:before="0" w:after="0"/>
              <w:jc w:val="right"/>
              <w:rPr/>
            </w:pPr>
            <w:r>
              <w:rPr/>
              <w:t>(1,486</w:t>
            </w:r>
          </w:p>
        </w:tc>
        <w:tc>
          <w:tcPr>
            <w:tcW w:w="95" w:type="dxa"/>
            <w:tcBorders/>
            <w:shd w:fill="CCEEFF" w:val="clear"/>
            <w:vAlign w:val="bottom"/>
          </w:tcPr>
          <w:p>
            <w:pPr>
              <w:pStyle w:val="TableContents"/>
              <w:bidi w:val="0"/>
              <w:spacing w:before="0" w:after="0"/>
              <w:jc w:val="left"/>
              <w:rPr/>
            </w:pPr>
            <w:r>
              <w:rPr/>
              <w:t>)</w:t>
            </w:r>
          </w:p>
        </w:tc>
        <w:tc>
          <w:tcPr>
            <w:tcW w:w="60" w:type="dxa"/>
            <w:tcBorders/>
            <w:shd w:fill="CCEEFF" w:val="clear"/>
            <w:vAlign w:val="bottom"/>
          </w:tcPr>
          <w:p>
            <w:pPr>
              <w:pStyle w:val="TableContents"/>
              <w:bidi w:val="0"/>
              <w:spacing w:before="0" w:after="283"/>
              <w:jc w:val="left"/>
              <w:rPr/>
            </w:pPr>
            <w:r>
              <w:rPr/>
              <w:t> </w:t>
            </w:r>
          </w:p>
        </w:tc>
        <w:tc>
          <w:tcPr>
            <w:tcW w:w="14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70" w:type="dxa"/>
            <w:tcBorders>
              <w:bottom w:val="single" w:sz="12" w:space="0" w:color="000000"/>
            </w:tcBorders>
            <w:shd w:fill="CCEEFF" w:val="clear"/>
            <w:tcMar>
              <w:bottom w:w="28" w:type="dxa"/>
            </w:tcMar>
            <w:vAlign w:val="bottom"/>
          </w:tcPr>
          <w:p>
            <w:pPr>
              <w:pStyle w:val="TableContents"/>
              <w:bidi w:val="0"/>
              <w:spacing w:before="0" w:after="0"/>
              <w:jc w:val="right"/>
              <w:rPr/>
            </w:pPr>
            <w:r>
              <w:rPr/>
              <w:t>(11,282</w:t>
            </w:r>
          </w:p>
        </w:tc>
        <w:tc>
          <w:tcPr>
            <w:tcW w:w="96" w:type="dxa"/>
            <w:tcBorders/>
            <w:shd w:fill="CCEEFF" w:val="clear"/>
            <w:vAlign w:val="bottom"/>
          </w:tcPr>
          <w:p>
            <w:pPr>
              <w:pStyle w:val="TableContents"/>
              <w:bidi w:val="0"/>
              <w:spacing w:before="0" w:after="0"/>
              <w:jc w:val="left"/>
              <w:rPr/>
            </w:pPr>
            <w:r>
              <w:rPr/>
              <w:t>)</w:t>
            </w:r>
          </w:p>
        </w:tc>
        <w:tc>
          <w:tcPr>
            <w:tcW w:w="61" w:type="dxa"/>
            <w:tcBorders/>
            <w:shd w:fill="CCEEFF" w:val="clear"/>
            <w:vAlign w:val="bottom"/>
          </w:tcPr>
          <w:p>
            <w:pPr>
              <w:pStyle w:val="TableContents"/>
              <w:bidi w:val="0"/>
              <w:spacing w:before="0" w:after="283"/>
              <w:jc w:val="left"/>
              <w:rPr/>
            </w:pPr>
            <w:r>
              <w:rPr/>
              <w:t> </w:t>
            </w:r>
          </w:p>
        </w:tc>
        <w:tc>
          <w:tcPr>
            <w:tcW w:w="14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70" w:type="dxa"/>
            <w:tcBorders>
              <w:bottom w:val="single" w:sz="12" w:space="0" w:color="000000"/>
            </w:tcBorders>
            <w:shd w:fill="CCEEFF" w:val="clear"/>
            <w:tcMar>
              <w:bottom w:w="28" w:type="dxa"/>
            </w:tcMar>
            <w:vAlign w:val="bottom"/>
          </w:tcPr>
          <w:p>
            <w:pPr>
              <w:pStyle w:val="TableContents"/>
              <w:bidi w:val="0"/>
              <w:spacing w:before="0" w:after="0"/>
              <w:jc w:val="right"/>
              <w:rPr/>
            </w:pPr>
            <w:r>
              <w:rPr/>
              <w:t>(11,563</w:t>
            </w:r>
          </w:p>
        </w:tc>
        <w:tc>
          <w:tcPr>
            <w:tcW w:w="95" w:type="dxa"/>
            <w:tcBorders/>
            <w:shd w:fill="CCEEFF" w:val="clear"/>
            <w:vAlign w:val="bottom"/>
          </w:tcPr>
          <w:p>
            <w:pPr>
              <w:pStyle w:val="TableContents"/>
              <w:bidi w:val="0"/>
              <w:spacing w:before="0" w:after="0"/>
              <w:jc w:val="left"/>
              <w:rPr/>
            </w:pPr>
            <w:r>
              <w:rPr/>
              <w:t>)</w:t>
            </w:r>
          </w:p>
        </w:tc>
      </w:tr>
      <w:tr>
        <w:trPr/>
        <w:tc>
          <w:tcPr>
            <w:tcW w:w="3950" w:type="dxa"/>
            <w:tcBorders/>
            <w:vAlign w:val="bottom"/>
          </w:tcPr>
          <w:p>
            <w:pPr>
              <w:pStyle w:val="TableContents"/>
              <w:bidi w:val="0"/>
              <w:spacing w:before="0" w:after="0"/>
              <w:jc w:val="left"/>
              <w:rPr/>
            </w:pPr>
            <w:r>
              <w:rPr/>
              <w:t>Non-GAAP Net Income</w:t>
            </w:r>
          </w:p>
        </w:tc>
        <w:tc>
          <w:tcPr>
            <w:tcW w:w="60" w:type="dxa"/>
            <w:tcBorders/>
            <w:vAlign w:val="bottom"/>
          </w:tcPr>
          <w:p>
            <w:pPr>
              <w:pStyle w:val="TableContents"/>
              <w:bidi w:val="0"/>
              <w:spacing w:before="0" w:after="283"/>
              <w:jc w:val="left"/>
              <w:rPr/>
            </w:pPr>
            <w:r>
              <w:rPr/>
              <w:t> </w:t>
            </w:r>
          </w:p>
        </w:tc>
        <w:tc>
          <w:tcPr>
            <w:tcW w:w="152" w:type="dxa"/>
            <w:tcBorders>
              <w:bottom w:val="single" w:sz="12" w:space="0" w:color="000000"/>
            </w:tcBorders>
            <w:tcMar>
              <w:bottom w:w="28" w:type="dxa"/>
            </w:tcMar>
            <w:vAlign w:val="bottom"/>
          </w:tcPr>
          <w:p>
            <w:pPr>
              <w:pStyle w:val="TableContents"/>
              <w:bidi w:val="0"/>
              <w:spacing w:before="0" w:after="0"/>
              <w:jc w:val="left"/>
              <w:rPr/>
            </w:pPr>
            <w:r>
              <w:rPr/>
              <w:t>$</w:t>
            </w:r>
          </w:p>
        </w:tc>
        <w:tc>
          <w:tcPr>
            <w:tcW w:w="822" w:type="dxa"/>
            <w:tcBorders>
              <w:bottom w:val="single" w:sz="12" w:space="0" w:color="000000"/>
            </w:tcBorders>
            <w:tcMar>
              <w:bottom w:w="28" w:type="dxa"/>
            </w:tcMar>
            <w:vAlign w:val="bottom"/>
          </w:tcPr>
          <w:p>
            <w:pPr>
              <w:pStyle w:val="TableContents"/>
              <w:bidi w:val="0"/>
              <w:spacing w:before="0" w:after="0"/>
              <w:jc w:val="right"/>
              <w:rPr/>
            </w:pPr>
            <w:r>
              <w:rPr/>
              <w:t>6,704</w:t>
            </w:r>
          </w:p>
        </w:tc>
        <w:tc>
          <w:tcPr>
            <w:tcW w:w="103"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152" w:type="dxa"/>
            <w:tcBorders>
              <w:bottom w:val="single" w:sz="12" w:space="0" w:color="000000"/>
            </w:tcBorders>
            <w:tcMar>
              <w:bottom w:w="28" w:type="dxa"/>
            </w:tcMar>
            <w:vAlign w:val="bottom"/>
          </w:tcPr>
          <w:p>
            <w:pPr>
              <w:pStyle w:val="TableContents"/>
              <w:bidi w:val="0"/>
              <w:spacing w:before="0" w:after="0"/>
              <w:jc w:val="left"/>
              <w:rPr/>
            </w:pPr>
            <w:r>
              <w:rPr/>
              <w:t>$</w:t>
            </w:r>
          </w:p>
        </w:tc>
        <w:tc>
          <w:tcPr>
            <w:tcW w:w="822" w:type="dxa"/>
            <w:tcBorders>
              <w:bottom w:val="single" w:sz="12" w:space="0" w:color="000000"/>
            </w:tcBorders>
            <w:tcMar>
              <w:bottom w:w="28" w:type="dxa"/>
            </w:tcMar>
            <w:vAlign w:val="bottom"/>
          </w:tcPr>
          <w:p>
            <w:pPr>
              <w:pStyle w:val="TableContents"/>
              <w:bidi w:val="0"/>
              <w:spacing w:before="0" w:after="0"/>
              <w:jc w:val="right"/>
              <w:rPr/>
            </w:pPr>
            <w:r>
              <w:rPr/>
              <w:t>10,215</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2" w:type="dxa"/>
            <w:tcBorders>
              <w:bottom w:val="single" w:sz="12" w:space="0" w:color="000000"/>
            </w:tcBorders>
            <w:tcMar>
              <w:bottom w:w="28" w:type="dxa"/>
            </w:tcMar>
            <w:vAlign w:val="bottom"/>
          </w:tcPr>
          <w:p>
            <w:pPr>
              <w:pStyle w:val="TableContents"/>
              <w:bidi w:val="0"/>
              <w:spacing w:before="0" w:after="0"/>
              <w:jc w:val="left"/>
              <w:rPr/>
            </w:pPr>
            <w:r>
              <w:rPr/>
              <w:t>$</w:t>
            </w:r>
          </w:p>
        </w:tc>
        <w:tc>
          <w:tcPr>
            <w:tcW w:w="770" w:type="dxa"/>
            <w:tcBorders>
              <w:bottom w:val="single" w:sz="12" w:space="0" w:color="000000"/>
            </w:tcBorders>
            <w:tcMar>
              <w:bottom w:w="28" w:type="dxa"/>
            </w:tcMar>
            <w:vAlign w:val="bottom"/>
          </w:tcPr>
          <w:p>
            <w:pPr>
              <w:pStyle w:val="TableContents"/>
              <w:bidi w:val="0"/>
              <w:spacing w:before="0" w:after="0"/>
              <w:jc w:val="right"/>
              <w:rPr/>
            </w:pPr>
            <w:r>
              <w:rPr/>
              <w:t>1,197</w:t>
            </w:r>
          </w:p>
        </w:tc>
        <w:tc>
          <w:tcPr>
            <w:tcW w:w="96"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142" w:type="dxa"/>
            <w:tcBorders>
              <w:bottom w:val="single" w:sz="12" w:space="0" w:color="000000"/>
            </w:tcBorders>
            <w:tcMar>
              <w:bottom w:w="28" w:type="dxa"/>
            </w:tcMar>
            <w:vAlign w:val="bottom"/>
          </w:tcPr>
          <w:p>
            <w:pPr>
              <w:pStyle w:val="TableContents"/>
              <w:bidi w:val="0"/>
              <w:spacing w:before="0" w:after="0"/>
              <w:jc w:val="left"/>
              <w:rPr/>
            </w:pPr>
            <w:r>
              <w:rPr/>
              <w:t>$</w:t>
            </w:r>
          </w:p>
        </w:tc>
        <w:tc>
          <w:tcPr>
            <w:tcW w:w="770" w:type="dxa"/>
            <w:tcBorders>
              <w:bottom w:val="single" w:sz="12" w:space="0" w:color="000000"/>
            </w:tcBorders>
            <w:tcMar>
              <w:bottom w:w="28" w:type="dxa"/>
            </w:tcMar>
            <w:vAlign w:val="bottom"/>
          </w:tcPr>
          <w:p>
            <w:pPr>
              <w:pStyle w:val="TableContents"/>
              <w:bidi w:val="0"/>
              <w:spacing w:before="0" w:after="0"/>
              <w:jc w:val="right"/>
              <w:rPr/>
            </w:pPr>
            <w:r>
              <w:rPr/>
              <w:t>48,104</w:t>
            </w:r>
          </w:p>
        </w:tc>
        <w:tc>
          <w:tcPr>
            <w:tcW w:w="95" w:type="dxa"/>
            <w:tcBorders/>
            <w:vAlign w:val="bottom"/>
          </w:tcPr>
          <w:p>
            <w:pPr>
              <w:pStyle w:val="TableContents"/>
              <w:bidi w:val="0"/>
              <w:spacing w:before="0" w:after="283"/>
              <w:jc w:val="left"/>
              <w:rPr/>
            </w:pPr>
            <w:r>
              <w:rPr/>
              <w:t> </w:t>
            </w:r>
          </w:p>
        </w:tc>
      </w:tr>
    </w:tbl>
    <w:p>
      <w:pPr>
        <w:pStyle w:val="TextBody"/>
        <w:bidi w:val="0"/>
        <w:spacing w:before="0" w:after="0"/>
        <w:jc w:val="left"/>
        <w:rPr>
          <w:color w:val="000000"/>
          <w:shd w:fill="FFFFFF" w:val="clear"/>
        </w:rPr>
      </w:pPr>
      <w:r>
        <w:rPr>
          <w:color w:val="000000"/>
          <w:shd w:fill="FFFFFF" w:val="clear"/>
        </w:rPr>
        <w:t> </w:t>
      </w:r>
    </w:p>
    <w:p>
      <w:pPr>
        <w:pStyle w:val="HorizontalLine"/>
        <w:bidi w:val="0"/>
        <w:jc w:val="left"/>
        <w:rPr/>
      </w:pPr>
      <w:r>
        <w:rPr/>
      </w:r>
    </w:p>
    <w:tbl>
      <w:tblPr>
        <w:tblW w:w="9603" w:type="dxa"/>
        <w:jc w:val="left"/>
        <w:tblInd w:w="0" w:type="dxa"/>
        <w:tblLayout w:type="fixed"/>
        <w:tblCellMar>
          <w:top w:w="0" w:type="dxa"/>
          <w:left w:w="0" w:type="dxa"/>
          <w:bottom w:w="0" w:type="dxa"/>
          <w:right w:w="0" w:type="dxa"/>
        </w:tblCellMar>
      </w:tblPr>
      <w:tblGrid>
        <w:gridCol w:w="38"/>
        <w:gridCol w:w="290"/>
        <w:gridCol w:w="9275"/>
      </w:tblGrid>
      <w:tr>
        <w:trPr/>
        <w:tc>
          <w:tcPr>
            <w:tcW w:w="38" w:type="dxa"/>
            <w:tcBorders/>
            <w:vAlign w:val="center"/>
          </w:tcPr>
          <w:p>
            <w:pPr>
              <w:pStyle w:val="TableContents"/>
              <w:bidi w:val="0"/>
              <w:spacing w:before="0" w:after="283"/>
              <w:jc w:val="left"/>
              <w:rPr/>
            </w:pPr>
            <w:r>
              <w:rPr/>
            </w:r>
          </w:p>
        </w:tc>
        <w:tc>
          <w:tcPr>
            <w:tcW w:w="290" w:type="dxa"/>
            <w:tcBorders/>
            <w:vAlign w:val="center"/>
          </w:tcPr>
          <w:p>
            <w:pPr>
              <w:pStyle w:val="TableContents"/>
              <w:bidi w:val="0"/>
              <w:spacing w:before="0" w:after="283"/>
              <w:jc w:val="left"/>
              <w:rPr/>
            </w:pPr>
            <w:r>
              <w:rPr/>
              <w:t>(1)</w:t>
            </w:r>
          </w:p>
        </w:tc>
        <w:tc>
          <w:tcPr>
            <w:tcW w:w="9275" w:type="dxa"/>
            <w:tcBorders/>
            <w:vAlign w:val="center"/>
          </w:tcPr>
          <w:p>
            <w:pPr>
              <w:pStyle w:val="TableContents"/>
              <w:bidi w:val="0"/>
              <w:spacing w:before="0" w:after="0"/>
              <w:jc w:val="both"/>
              <w:rPr/>
            </w:pPr>
            <w:r>
              <w:rPr/>
              <w:t>Costs associated with the Company’s cost restructuring program implemented in September 2022.</w:t>
            </w:r>
          </w:p>
        </w:tc>
      </w:tr>
    </w:tbl>
    <w:tbl>
      <w:tblPr>
        <w:tblW w:w="10205" w:type="dxa"/>
        <w:jc w:val="left"/>
        <w:tblInd w:w="0" w:type="dxa"/>
        <w:tblLayout w:type="fixed"/>
        <w:tblCellMar>
          <w:top w:w="0" w:type="dxa"/>
          <w:left w:w="0" w:type="dxa"/>
          <w:bottom w:w="0" w:type="dxa"/>
          <w:right w:w="0" w:type="dxa"/>
        </w:tblCellMar>
      </w:tblPr>
      <w:tblGrid>
        <w:gridCol w:w="38"/>
        <w:gridCol w:w="264"/>
        <w:gridCol w:w="9903"/>
      </w:tblGrid>
      <w:tr>
        <w:trPr/>
        <w:tc>
          <w:tcPr>
            <w:tcW w:w="38" w:type="dxa"/>
            <w:tcBorders/>
            <w:vAlign w:val="center"/>
          </w:tcPr>
          <w:p>
            <w:pPr>
              <w:pStyle w:val="TableContents"/>
              <w:bidi w:val="0"/>
              <w:spacing w:before="0" w:after="283"/>
              <w:jc w:val="left"/>
              <w:rPr/>
            </w:pPr>
            <w:r>
              <w:rPr/>
            </w:r>
          </w:p>
        </w:tc>
        <w:tc>
          <w:tcPr>
            <w:tcW w:w="264" w:type="dxa"/>
            <w:tcBorders/>
            <w:vAlign w:val="center"/>
          </w:tcPr>
          <w:p>
            <w:pPr>
              <w:pStyle w:val="TableContents"/>
              <w:bidi w:val="0"/>
              <w:spacing w:before="0" w:after="283"/>
              <w:jc w:val="left"/>
              <w:rPr/>
            </w:pPr>
            <w:r>
              <w:rPr/>
              <w:t>(2)</w:t>
            </w:r>
          </w:p>
        </w:tc>
        <w:tc>
          <w:tcPr>
            <w:tcW w:w="9903" w:type="dxa"/>
            <w:tcBorders/>
            <w:vAlign w:val="center"/>
          </w:tcPr>
          <w:p>
            <w:pPr>
              <w:pStyle w:val="TableContents"/>
              <w:bidi w:val="0"/>
              <w:spacing w:before="0" w:after="0"/>
              <w:jc w:val="both"/>
              <w:rPr/>
            </w:pPr>
            <w:r>
              <w:rPr/>
              <w:t>Represents share-based compensation due to holdback of Ordinary shares issuable under compensatory arrangements relating to Connexity acquisition.</w:t>
            </w:r>
          </w:p>
        </w:tc>
      </w:tr>
    </w:tbl>
    <w:tbl>
      <w:tblPr>
        <w:tblW w:w="6153" w:type="dxa"/>
        <w:jc w:val="left"/>
        <w:tblInd w:w="0" w:type="dxa"/>
        <w:tblLayout w:type="fixed"/>
        <w:tblCellMar>
          <w:top w:w="0" w:type="dxa"/>
          <w:left w:w="0" w:type="dxa"/>
          <w:bottom w:w="0" w:type="dxa"/>
          <w:right w:w="0" w:type="dxa"/>
        </w:tblCellMar>
      </w:tblPr>
      <w:tblGrid>
        <w:gridCol w:w="38"/>
        <w:gridCol w:w="290"/>
        <w:gridCol w:w="5825"/>
      </w:tblGrid>
      <w:tr>
        <w:trPr/>
        <w:tc>
          <w:tcPr>
            <w:tcW w:w="38" w:type="dxa"/>
            <w:tcBorders/>
            <w:vAlign w:val="center"/>
          </w:tcPr>
          <w:p>
            <w:pPr>
              <w:pStyle w:val="TableContents"/>
              <w:bidi w:val="0"/>
              <w:spacing w:before="0" w:after="283"/>
              <w:jc w:val="left"/>
              <w:rPr/>
            </w:pPr>
            <w:r>
              <w:rPr/>
            </w:r>
          </w:p>
        </w:tc>
        <w:tc>
          <w:tcPr>
            <w:tcW w:w="290" w:type="dxa"/>
            <w:tcBorders/>
            <w:vAlign w:val="center"/>
          </w:tcPr>
          <w:p>
            <w:pPr>
              <w:pStyle w:val="TableContents"/>
              <w:bidi w:val="0"/>
              <w:spacing w:before="0" w:after="283"/>
              <w:jc w:val="left"/>
              <w:rPr/>
            </w:pPr>
            <w:r>
              <w:rPr/>
              <w:t>(3)</w:t>
            </w:r>
          </w:p>
        </w:tc>
        <w:tc>
          <w:tcPr>
            <w:tcW w:w="5825" w:type="dxa"/>
            <w:tcBorders/>
            <w:vAlign w:val="center"/>
          </w:tcPr>
          <w:p>
            <w:pPr>
              <w:pStyle w:val="TableContents"/>
              <w:bidi w:val="0"/>
              <w:spacing w:before="0" w:after="0"/>
              <w:jc w:val="both"/>
              <w:rPr/>
            </w:pPr>
            <w:r>
              <w:rPr/>
              <w:t>Includes one-time costs related to the Commercial agreement.</w:t>
            </w:r>
          </w:p>
        </w:tc>
      </w:tr>
    </w:tbl>
    <w:tbl>
      <w:tblPr>
        <w:tblW w:w="10205" w:type="dxa"/>
        <w:jc w:val="left"/>
        <w:tblInd w:w="0" w:type="dxa"/>
        <w:tblLayout w:type="fixed"/>
        <w:tblCellMar>
          <w:top w:w="0" w:type="dxa"/>
          <w:left w:w="0" w:type="dxa"/>
          <w:bottom w:w="0" w:type="dxa"/>
          <w:right w:w="0" w:type="dxa"/>
        </w:tblCellMar>
      </w:tblPr>
      <w:tblGrid>
        <w:gridCol w:w="38"/>
        <w:gridCol w:w="245"/>
        <w:gridCol w:w="9922"/>
      </w:tblGrid>
      <w:tr>
        <w:trPr/>
        <w:tc>
          <w:tcPr>
            <w:tcW w:w="38" w:type="dxa"/>
            <w:tcBorders/>
            <w:vAlign w:val="center"/>
          </w:tcPr>
          <w:p>
            <w:pPr>
              <w:pStyle w:val="TableContents"/>
              <w:bidi w:val="0"/>
              <w:spacing w:before="0" w:after="283"/>
              <w:jc w:val="left"/>
              <w:rPr/>
            </w:pPr>
            <w:r>
              <w:rPr/>
            </w:r>
          </w:p>
        </w:tc>
        <w:tc>
          <w:tcPr>
            <w:tcW w:w="245" w:type="dxa"/>
            <w:tcBorders/>
            <w:vAlign w:val="center"/>
          </w:tcPr>
          <w:p>
            <w:pPr>
              <w:pStyle w:val="TableContents"/>
              <w:bidi w:val="0"/>
              <w:spacing w:before="0" w:after="283"/>
              <w:jc w:val="left"/>
              <w:rPr/>
            </w:pPr>
            <w:r>
              <w:rPr/>
              <w:t>(4)</w:t>
            </w:r>
          </w:p>
        </w:tc>
        <w:tc>
          <w:tcPr>
            <w:tcW w:w="9922" w:type="dxa"/>
            <w:tcBorders/>
            <w:vAlign w:val="center"/>
          </w:tcPr>
          <w:p>
            <w:pPr>
              <w:pStyle w:val="TableContents"/>
              <w:bidi w:val="0"/>
              <w:spacing w:before="0" w:after="0"/>
              <w:jc w:val="both"/>
              <w:rPr/>
            </w:pPr>
            <w:r>
              <w:rPr/>
              <w:t>Represents non-operating foreign currency exchange rate gains or losses related to the remeasurement of monetary assets and liabilities to the Company’s functional currency using exchange rates in effect at the end of the reporting period.</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37</w:t>
      </w:r>
    </w:p>
    <w:p>
      <w:pPr>
        <w:pStyle w:val="HorizontalLine"/>
        <w:bidi w:val="0"/>
        <w:spacing w:before="200" w:after="200"/>
        <w:jc w:val="left"/>
        <w:rPr/>
      </w:pPr>
      <w:r>
        <w:rPr/>
      </w:r>
    </w:p>
    <w:p>
      <w:pPr>
        <w:pStyle w:val="TextBody"/>
        <w:bidi w:val="0"/>
        <w:spacing w:before="200" w:after="200"/>
        <w:jc w:val="left"/>
        <w:rPr/>
      </w:pPr>
      <w:hyperlink w:anchor="Contents">
        <w:r>
          <w:rPr>
            <w:rStyle w:val="InternetLink"/>
            <w:rFonts w:ascii="Times New Roman" w:hAnsi="Times New Roman"/>
            <w:i/>
            <w:color w:val="000000"/>
            <w:sz w:val="16"/>
            <w:shd w:fill="FFFFFF" w:val="clear"/>
          </w:rPr>
          <w:t>Table of Contents</w:t>
        </w:r>
      </w:hyperlink>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Free Cash Flow</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We believe that Free Cash Flow is useful to provide management and others with information about the amount of cash generated from our operations that can be used for strategic initiatives, including investing in our business, making strategic acquisitions, and strengthening our balance sheet. We expect our Free Cash Flow to fluctuate in future periods as we invest in our business to support our plans for growth. Limitations on the use of Free Cash Flow include the following:</w:t>
      </w:r>
    </w:p>
    <w:p>
      <w:pPr>
        <w:pStyle w:val="TextBody"/>
        <w:bidi w:val="0"/>
        <w:spacing w:before="0" w:after="0"/>
        <w:jc w:val="left"/>
        <w:rPr>
          <w:color w:val="000000"/>
          <w:shd w:fill="FFFFFF" w:val="clear"/>
        </w:rPr>
      </w:pPr>
      <w:r>
        <w:rPr>
          <w:color w:val="000000"/>
          <w:shd w:fill="FFFFFF" w:val="clea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both"/>
              <w:rPr/>
            </w:pPr>
            <w:r>
              <w:rPr/>
              <w:t>It should not be inferred that the entire Free Cash Flow amount is available for discretionary expenditures. For example, cash is still required to satisfy other working capital needs, including short-term investment policy, restricted cash, repayment of loan and intangible assets;</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both"/>
              <w:rPr/>
            </w:pPr>
            <w:r>
              <w:rPr/>
              <w:t>Free Cash Flow has limitations as an analytical tool, and it should not be considered in isolation or as a substitute for analysis of other GAAP financial measures, such as net cash provided by operating activities; and</w:t>
            </w:r>
          </w:p>
        </w:tc>
      </w:tr>
    </w:tbl>
    <w:tbl>
      <w:tblPr>
        <w:tblW w:w="6273" w:type="dxa"/>
        <w:jc w:val="left"/>
        <w:tblInd w:w="0" w:type="dxa"/>
        <w:tblLayout w:type="fixed"/>
        <w:tblCellMar>
          <w:top w:w="0" w:type="dxa"/>
          <w:left w:w="0" w:type="dxa"/>
          <w:bottom w:w="0" w:type="dxa"/>
          <w:right w:w="0" w:type="dxa"/>
        </w:tblCellMar>
      </w:tblPr>
      <w:tblGrid>
        <w:gridCol w:w="38"/>
        <w:gridCol w:w="170"/>
        <w:gridCol w:w="6065"/>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pPr>
            <w:r>
              <w:rPr/>
              <w:t>●</w:t>
            </w:r>
          </w:p>
        </w:tc>
        <w:tc>
          <w:tcPr>
            <w:tcW w:w="6065" w:type="dxa"/>
            <w:tcBorders/>
            <w:vAlign w:val="center"/>
          </w:tcPr>
          <w:p>
            <w:pPr>
              <w:pStyle w:val="TableContents"/>
              <w:bidi w:val="0"/>
              <w:spacing w:before="0" w:after="0"/>
              <w:jc w:val="both"/>
              <w:rPr/>
            </w:pPr>
            <w:r>
              <w:rPr/>
              <w:t>This metric does not reflect our future contractual commitments.</w:t>
            </w:r>
          </w:p>
        </w:tc>
      </w:tr>
    </w:tbl>
    <w:p>
      <w:pPr>
        <w:pStyle w:val="TextBody"/>
        <w:bidi w:val="0"/>
        <w:spacing w:before="0" w:after="0"/>
        <w:jc w:val="left"/>
        <w:rPr>
          <w:color w:val="000000"/>
          <w:shd w:fill="FFFFFF" w:val="clear"/>
        </w:rPr>
      </w:pPr>
      <w:r>
        <w:rPr>
          <w:color w:val="000000"/>
          <w:shd w:fill="FFFFFF" w:val="clear"/>
        </w:rPr>
        <w:t> </w:t>
      </w:r>
    </w:p>
    <w:tbl>
      <w:tblPr>
        <w:tblW w:w="10205" w:type="dxa"/>
        <w:jc w:val="left"/>
        <w:tblInd w:w="0" w:type="dxa"/>
        <w:tblLayout w:type="fixed"/>
        <w:tblCellMar>
          <w:top w:w="0" w:type="dxa"/>
          <w:left w:w="0" w:type="dxa"/>
          <w:bottom w:w="0" w:type="dxa"/>
          <w:right w:w="0" w:type="dxa"/>
        </w:tblCellMar>
      </w:tblPr>
      <w:tblGrid>
        <w:gridCol w:w="5873"/>
        <w:gridCol w:w="60"/>
        <w:gridCol w:w="153"/>
        <w:gridCol w:w="745"/>
        <w:gridCol w:w="103"/>
        <w:gridCol w:w="65"/>
        <w:gridCol w:w="153"/>
        <w:gridCol w:w="828"/>
        <w:gridCol w:w="95"/>
        <w:gridCol w:w="60"/>
        <w:gridCol w:w="141"/>
        <w:gridCol w:w="765"/>
        <w:gridCol w:w="95"/>
        <w:gridCol w:w="60"/>
        <w:gridCol w:w="141"/>
        <w:gridCol w:w="765"/>
        <w:gridCol w:w="103"/>
      </w:tblGrid>
      <w:tr>
        <w:trPr/>
        <w:tc>
          <w:tcPr>
            <w:tcW w:w="587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47" w:type="dxa"/>
            <w:gridSpan w:val="6"/>
            <w:tcBorders>
              <w:bottom w:val="single" w:sz="12" w:space="0" w:color="000000"/>
            </w:tcBorders>
            <w:tcMar>
              <w:bottom w:w="28" w:type="dxa"/>
            </w:tcMar>
            <w:vAlign w:val="bottom"/>
          </w:tcPr>
          <w:p>
            <w:pPr>
              <w:pStyle w:val="TableContents"/>
              <w:bidi w:val="0"/>
              <w:spacing w:before="0" w:after="0"/>
              <w:jc w:val="center"/>
              <w:rPr>
                <w:b/>
              </w:rPr>
            </w:pPr>
            <w:r>
              <w:rPr>
                <w:b/>
              </w:rPr>
              <w:t>Three months ended</w:t>
            </w:r>
          </w:p>
          <w:p>
            <w:pPr>
              <w:pStyle w:val="TableContents"/>
              <w:bidi w:val="0"/>
              <w:spacing w:before="0" w:after="0"/>
              <w:jc w:val="center"/>
              <w:rPr>
                <w:b/>
              </w:rPr>
            </w:pPr>
            <w:r>
              <w:rPr>
                <w:b/>
              </w:rPr>
              <w:t>September 30,</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67" w:type="dxa"/>
            <w:gridSpan w:val="6"/>
            <w:tcBorders>
              <w:bottom w:val="single" w:sz="12" w:space="0" w:color="000000"/>
            </w:tcBorders>
            <w:tcMar>
              <w:bottom w:w="28" w:type="dxa"/>
            </w:tcMar>
            <w:vAlign w:val="bottom"/>
          </w:tcPr>
          <w:p>
            <w:pPr>
              <w:pStyle w:val="TableContents"/>
              <w:bidi w:val="0"/>
              <w:spacing w:before="0" w:after="0"/>
              <w:jc w:val="center"/>
              <w:rPr>
                <w:b/>
              </w:rPr>
            </w:pPr>
            <w:r>
              <w:rPr>
                <w:b/>
              </w:rPr>
              <w:t>Nine months ended</w:t>
            </w:r>
          </w:p>
          <w:p>
            <w:pPr>
              <w:pStyle w:val="TableContents"/>
              <w:bidi w:val="0"/>
              <w:spacing w:before="0" w:after="0"/>
              <w:jc w:val="center"/>
              <w:rPr>
                <w:b/>
              </w:rPr>
            </w:pPr>
            <w:r>
              <w:rPr>
                <w:b/>
              </w:rPr>
              <w:t>September 30,</w:t>
            </w:r>
          </w:p>
        </w:tc>
        <w:tc>
          <w:tcPr>
            <w:tcW w:w="103" w:type="dxa"/>
            <w:tcBorders/>
            <w:vAlign w:val="bottom"/>
          </w:tcPr>
          <w:p>
            <w:pPr>
              <w:pStyle w:val="TableContents"/>
              <w:bidi w:val="0"/>
              <w:spacing w:before="0" w:after="283"/>
              <w:jc w:val="left"/>
              <w:rPr/>
            </w:pPr>
            <w:r>
              <w:rPr/>
              <w:t> </w:t>
            </w:r>
          </w:p>
        </w:tc>
      </w:tr>
      <w:tr>
        <w:trPr/>
        <w:tc>
          <w:tcPr>
            <w:tcW w:w="587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98"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2023</w:t>
            </w:r>
          </w:p>
        </w:tc>
        <w:tc>
          <w:tcPr>
            <w:tcW w:w="103"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981"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2022</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06"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2023</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06"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2022</w:t>
            </w:r>
          </w:p>
        </w:tc>
        <w:tc>
          <w:tcPr>
            <w:tcW w:w="103" w:type="dxa"/>
            <w:tcBorders/>
            <w:vAlign w:val="bottom"/>
          </w:tcPr>
          <w:p>
            <w:pPr>
              <w:pStyle w:val="TableContents"/>
              <w:bidi w:val="0"/>
              <w:spacing w:before="0" w:after="283"/>
              <w:jc w:val="left"/>
              <w:rPr/>
            </w:pPr>
            <w:r>
              <w:rPr/>
              <w:t> </w:t>
            </w:r>
          </w:p>
        </w:tc>
      </w:tr>
      <w:tr>
        <w:trPr/>
        <w:tc>
          <w:tcPr>
            <w:tcW w:w="587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169" w:type="dxa"/>
            <w:gridSpan w:val="14"/>
            <w:tcBorders/>
            <w:vAlign w:val="bottom"/>
          </w:tcPr>
          <w:p>
            <w:pPr>
              <w:pStyle w:val="TableContents"/>
              <w:bidi w:val="0"/>
              <w:spacing w:before="0" w:after="0"/>
              <w:jc w:val="center"/>
              <w:rPr/>
            </w:pPr>
            <w:r>
              <w:rPr/>
              <w:t>(dollars in thousands)</w:t>
            </w:r>
          </w:p>
        </w:tc>
        <w:tc>
          <w:tcPr>
            <w:tcW w:w="103" w:type="dxa"/>
            <w:tcBorders/>
            <w:vAlign w:val="bottom"/>
          </w:tcPr>
          <w:p>
            <w:pPr>
              <w:pStyle w:val="TableContents"/>
              <w:bidi w:val="0"/>
              <w:spacing w:before="0" w:after="283"/>
              <w:jc w:val="left"/>
              <w:rPr/>
            </w:pPr>
            <w:r>
              <w:rPr/>
              <w:t> </w:t>
            </w:r>
          </w:p>
        </w:tc>
      </w:tr>
      <w:tr>
        <w:trPr/>
        <w:tc>
          <w:tcPr>
            <w:tcW w:w="5873" w:type="dxa"/>
            <w:tcBorders/>
            <w:shd w:fill="CCEEFF" w:val="clear"/>
            <w:vAlign w:val="bottom"/>
          </w:tcPr>
          <w:p>
            <w:pPr>
              <w:pStyle w:val="TableContents"/>
              <w:bidi w:val="0"/>
              <w:spacing w:before="0" w:after="0"/>
              <w:jc w:val="left"/>
              <w:rPr/>
            </w:pPr>
            <w:r>
              <w:rPr/>
              <w:t>Net cash provided by operating activities</w:t>
            </w:r>
          </w:p>
        </w:tc>
        <w:tc>
          <w:tcPr>
            <w:tcW w:w="60"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0"/>
              <w:jc w:val="left"/>
              <w:rPr/>
            </w:pPr>
            <w:r>
              <w:rPr/>
              <w:t>$</w:t>
            </w:r>
          </w:p>
        </w:tc>
        <w:tc>
          <w:tcPr>
            <w:tcW w:w="745" w:type="dxa"/>
            <w:tcBorders/>
            <w:shd w:fill="CCEEFF" w:val="clear"/>
            <w:vAlign w:val="bottom"/>
          </w:tcPr>
          <w:p>
            <w:pPr>
              <w:pStyle w:val="TableContents"/>
              <w:bidi w:val="0"/>
              <w:spacing w:before="0" w:after="0"/>
              <w:jc w:val="right"/>
              <w:rPr/>
            </w:pPr>
            <w:r>
              <w:rPr/>
              <w:t>32,459</w:t>
            </w:r>
          </w:p>
        </w:tc>
        <w:tc>
          <w:tcPr>
            <w:tcW w:w="103"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0"/>
              <w:jc w:val="left"/>
              <w:rPr/>
            </w:pPr>
            <w:r>
              <w:rPr/>
              <w:t>$</w:t>
            </w:r>
          </w:p>
        </w:tc>
        <w:tc>
          <w:tcPr>
            <w:tcW w:w="828" w:type="dxa"/>
            <w:tcBorders/>
            <w:shd w:fill="CCEEFF" w:val="clear"/>
            <w:vAlign w:val="bottom"/>
          </w:tcPr>
          <w:p>
            <w:pPr>
              <w:pStyle w:val="TableContents"/>
              <w:bidi w:val="0"/>
              <w:spacing w:before="0" w:after="0"/>
              <w:jc w:val="right"/>
              <w:rPr/>
            </w:pPr>
            <w:r>
              <w:rPr/>
              <w:t>23,219</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0"/>
              <w:jc w:val="left"/>
              <w:rPr/>
            </w:pPr>
            <w:r>
              <w:rPr/>
              <w:t>$</w:t>
            </w:r>
          </w:p>
        </w:tc>
        <w:tc>
          <w:tcPr>
            <w:tcW w:w="765" w:type="dxa"/>
            <w:tcBorders/>
            <w:shd w:fill="CCEEFF" w:val="clear"/>
            <w:vAlign w:val="bottom"/>
          </w:tcPr>
          <w:p>
            <w:pPr>
              <w:pStyle w:val="TableContents"/>
              <w:bidi w:val="0"/>
              <w:spacing w:before="0" w:after="0"/>
              <w:jc w:val="right"/>
              <w:rPr/>
            </w:pPr>
            <w:r>
              <w:rPr/>
              <w:t>61,581</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0"/>
              <w:jc w:val="left"/>
              <w:rPr/>
            </w:pPr>
            <w:r>
              <w:rPr/>
              <w:t>$</w:t>
            </w:r>
          </w:p>
        </w:tc>
        <w:tc>
          <w:tcPr>
            <w:tcW w:w="765" w:type="dxa"/>
            <w:tcBorders/>
            <w:shd w:fill="CCEEFF" w:val="clear"/>
            <w:vAlign w:val="bottom"/>
          </w:tcPr>
          <w:p>
            <w:pPr>
              <w:pStyle w:val="TableContents"/>
              <w:bidi w:val="0"/>
              <w:spacing w:before="0" w:after="0"/>
              <w:jc w:val="right"/>
              <w:rPr/>
            </w:pPr>
            <w:r>
              <w:rPr/>
              <w:t>33,426</w:t>
            </w:r>
          </w:p>
        </w:tc>
        <w:tc>
          <w:tcPr>
            <w:tcW w:w="103" w:type="dxa"/>
            <w:tcBorders/>
            <w:shd w:fill="CCEEFF" w:val="clear"/>
            <w:vAlign w:val="bottom"/>
          </w:tcPr>
          <w:p>
            <w:pPr>
              <w:pStyle w:val="TableContents"/>
              <w:bidi w:val="0"/>
              <w:spacing w:before="0" w:after="283"/>
              <w:jc w:val="left"/>
              <w:rPr/>
            </w:pPr>
            <w:r>
              <w:rPr/>
              <w:t> </w:t>
            </w:r>
          </w:p>
        </w:tc>
      </w:tr>
      <w:tr>
        <w:trPr/>
        <w:tc>
          <w:tcPr>
            <w:tcW w:w="5873" w:type="dxa"/>
            <w:tcBorders/>
            <w:vAlign w:val="bottom"/>
          </w:tcPr>
          <w:p>
            <w:pPr>
              <w:pStyle w:val="TableContents"/>
              <w:bidi w:val="0"/>
              <w:spacing w:before="0" w:after="0"/>
              <w:jc w:val="left"/>
              <w:rPr/>
            </w:pPr>
            <w:r>
              <w:rPr/>
              <w:t>Purchases of property and equipment, including capitalized internal-use software</w:t>
            </w:r>
          </w:p>
        </w:tc>
        <w:tc>
          <w:tcPr>
            <w:tcW w:w="60" w:type="dxa"/>
            <w:tcBorders/>
            <w:vAlign w:val="bottom"/>
          </w:tcPr>
          <w:p>
            <w:pPr>
              <w:pStyle w:val="TableContents"/>
              <w:bidi w:val="0"/>
              <w:spacing w:before="0" w:after="283"/>
              <w:jc w:val="left"/>
              <w:rPr/>
            </w:pPr>
            <w:r>
              <w:rPr/>
              <w:t> </w:t>
            </w:r>
          </w:p>
        </w:tc>
        <w:tc>
          <w:tcPr>
            <w:tcW w:w="153" w:type="dxa"/>
            <w:tcBorders>
              <w:bottom w:val="single" w:sz="12" w:space="0" w:color="000000"/>
            </w:tcBorders>
            <w:tcMar>
              <w:bottom w:w="28" w:type="dxa"/>
            </w:tcMar>
            <w:vAlign w:val="bottom"/>
          </w:tcPr>
          <w:p>
            <w:pPr>
              <w:pStyle w:val="TableContents"/>
              <w:bidi w:val="0"/>
              <w:spacing w:before="0" w:after="283"/>
              <w:jc w:val="left"/>
              <w:rPr/>
            </w:pPr>
            <w:r>
              <w:rPr/>
              <w:t> </w:t>
            </w:r>
          </w:p>
        </w:tc>
        <w:tc>
          <w:tcPr>
            <w:tcW w:w="745" w:type="dxa"/>
            <w:tcBorders>
              <w:bottom w:val="single" w:sz="12" w:space="0" w:color="000000"/>
            </w:tcBorders>
            <w:tcMar>
              <w:bottom w:w="28" w:type="dxa"/>
            </w:tcMar>
            <w:vAlign w:val="bottom"/>
          </w:tcPr>
          <w:p>
            <w:pPr>
              <w:pStyle w:val="TableContents"/>
              <w:bidi w:val="0"/>
              <w:spacing w:before="0" w:after="0"/>
              <w:jc w:val="right"/>
              <w:rPr/>
            </w:pPr>
            <w:r>
              <w:rPr/>
              <w:t>(9,661</w:t>
            </w:r>
          </w:p>
        </w:tc>
        <w:tc>
          <w:tcPr>
            <w:tcW w:w="103" w:type="dxa"/>
            <w:tcBorders/>
            <w:vAlign w:val="bottom"/>
          </w:tcPr>
          <w:p>
            <w:pPr>
              <w:pStyle w:val="TableContents"/>
              <w:bidi w:val="0"/>
              <w:spacing w:before="0" w:after="0"/>
              <w:jc w:val="left"/>
              <w:rPr/>
            </w:pPr>
            <w:r>
              <w:rPr/>
              <w:t>)</w:t>
            </w:r>
          </w:p>
        </w:tc>
        <w:tc>
          <w:tcPr>
            <w:tcW w:w="65" w:type="dxa"/>
            <w:tcBorders/>
            <w:vAlign w:val="bottom"/>
          </w:tcPr>
          <w:p>
            <w:pPr>
              <w:pStyle w:val="TableContents"/>
              <w:bidi w:val="0"/>
              <w:spacing w:before="0" w:after="283"/>
              <w:jc w:val="left"/>
              <w:rPr/>
            </w:pPr>
            <w:r>
              <w:rPr/>
              <w:t> </w:t>
            </w:r>
          </w:p>
        </w:tc>
        <w:tc>
          <w:tcPr>
            <w:tcW w:w="153" w:type="dxa"/>
            <w:tcBorders>
              <w:bottom w:val="single" w:sz="12" w:space="0" w:color="000000"/>
            </w:tcBorders>
            <w:tcMar>
              <w:bottom w:w="28" w:type="dxa"/>
            </w:tcMar>
            <w:vAlign w:val="bottom"/>
          </w:tcPr>
          <w:p>
            <w:pPr>
              <w:pStyle w:val="TableContents"/>
              <w:bidi w:val="0"/>
              <w:spacing w:before="0" w:after="283"/>
              <w:jc w:val="left"/>
              <w:rPr/>
            </w:pPr>
            <w:r>
              <w:rPr/>
              <w:t> </w:t>
            </w:r>
          </w:p>
        </w:tc>
        <w:tc>
          <w:tcPr>
            <w:tcW w:w="828" w:type="dxa"/>
            <w:tcBorders>
              <w:bottom w:val="single" w:sz="12" w:space="0" w:color="000000"/>
            </w:tcBorders>
            <w:tcMar>
              <w:bottom w:w="28" w:type="dxa"/>
            </w:tcMar>
            <w:vAlign w:val="bottom"/>
          </w:tcPr>
          <w:p>
            <w:pPr>
              <w:pStyle w:val="TableContents"/>
              <w:bidi w:val="0"/>
              <w:spacing w:before="0" w:after="0"/>
              <w:jc w:val="right"/>
              <w:rPr/>
            </w:pPr>
            <w:r>
              <w:rPr/>
              <w:t>(12,224</w:t>
            </w:r>
          </w:p>
        </w:tc>
        <w:tc>
          <w:tcPr>
            <w:tcW w:w="95" w:type="dxa"/>
            <w:tcBorders/>
            <w:vAlign w:val="bottom"/>
          </w:tcPr>
          <w:p>
            <w:pPr>
              <w:pStyle w:val="TableContents"/>
              <w:bidi w:val="0"/>
              <w:spacing w:before="0" w:after="0"/>
              <w:jc w:val="left"/>
              <w:rPr/>
            </w:pPr>
            <w:r>
              <w:rPr/>
              <w:t>)</w:t>
            </w:r>
          </w:p>
        </w:tc>
        <w:tc>
          <w:tcPr>
            <w:tcW w:w="60" w:type="dxa"/>
            <w:tcBorders/>
            <w:vAlign w:val="bottom"/>
          </w:tcPr>
          <w:p>
            <w:pPr>
              <w:pStyle w:val="TableContents"/>
              <w:bidi w:val="0"/>
              <w:spacing w:before="0" w:after="283"/>
              <w:jc w:val="left"/>
              <w:rPr/>
            </w:pPr>
            <w:r>
              <w:rPr/>
              <w:t> </w:t>
            </w:r>
          </w:p>
        </w:tc>
        <w:tc>
          <w:tcPr>
            <w:tcW w:w="141" w:type="dxa"/>
            <w:tcBorders>
              <w:bottom w:val="single" w:sz="12" w:space="0" w:color="000000"/>
            </w:tcBorders>
            <w:tcMar>
              <w:bottom w:w="28" w:type="dxa"/>
            </w:tcMar>
            <w:vAlign w:val="bottom"/>
          </w:tcPr>
          <w:p>
            <w:pPr>
              <w:pStyle w:val="TableContents"/>
              <w:bidi w:val="0"/>
              <w:spacing w:before="0" w:after="283"/>
              <w:jc w:val="left"/>
              <w:rPr/>
            </w:pPr>
            <w:r>
              <w:rPr/>
              <w:t> </w:t>
            </w:r>
          </w:p>
        </w:tc>
        <w:tc>
          <w:tcPr>
            <w:tcW w:w="765" w:type="dxa"/>
            <w:tcBorders>
              <w:bottom w:val="single" w:sz="12" w:space="0" w:color="000000"/>
            </w:tcBorders>
            <w:tcMar>
              <w:bottom w:w="28" w:type="dxa"/>
            </w:tcMar>
            <w:vAlign w:val="bottom"/>
          </w:tcPr>
          <w:p>
            <w:pPr>
              <w:pStyle w:val="TableContents"/>
              <w:bidi w:val="0"/>
              <w:spacing w:before="0" w:after="0"/>
              <w:jc w:val="right"/>
              <w:rPr/>
            </w:pPr>
            <w:r>
              <w:rPr/>
              <w:t>(19,839</w:t>
            </w:r>
          </w:p>
        </w:tc>
        <w:tc>
          <w:tcPr>
            <w:tcW w:w="95" w:type="dxa"/>
            <w:tcBorders/>
            <w:vAlign w:val="bottom"/>
          </w:tcPr>
          <w:p>
            <w:pPr>
              <w:pStyle w:val="TableContents"/>
              <w:bidi w:val="0"/>
              <w:spacing w:before="0" w:after="0"/>
              <w:jc w:val="left"/>
              <w:rPr/>
            </w:pPr>
            <w:r>
              <w:rPr/>
              <w:t>)</w:t>
            </w:r>
          </w:p>
        </w:tc>
        <w:tc>
          <w:tcPr>
            <w:tcW w:w="60" w:type="dxa"/>
            <w:tcBorders/>
            <w:vAlign w:val="bottom"/>
          </w:tcPr>
          <w:p>
            <w:pPr>
              <w:pStyle w:val="TableContents"/>
              <w:bidi w:val="0"/>
              <w:spacing w:before="0" w:after="283"/>
              <w:jc w:val="left"/>
              <w:rPr/>
            </w:pPr>
            <w:r>
              <w:rPr/>
              <w:t> </w:t>
            </w:r>
          </w:p>
        </w:tc>
        <w:tc>
          <w:tcPr>
            <w:tcW w:w="141" w:type="dxa"/>
            <w:tcBorders>
              <w:bottom w:val="single" w:sz="12" w:space="0" w:color="000000"/>
            </w:tcBorders>
            <w:tcMar>
              <w:bottom w:w="28" w:type="dxa"/>
            </w:tcMar>
            <w:vAlign w:val="bottom"/>
          </w:tcPr>
          <w:p>
            <w:pPr>
              <w:pStyle w:val="TableContents"/>
              <w:bidi w:val="0"/>
              <w:spacing w:before="0" w:after="283"/>
              <w:jc w:val="left"/>
              <w:rPr/>
            </w:pPr>
            <w:r>
              <w:rPr/>
              <w:t> </w:t>
            </w:r>
          </w:p>
        </w:tc>
        <w:tc>
          <w:tcPr>
            <w:tcW w:w="765" w:type="dxa"/>
            <w:tcBorders>
              <w:bottom w:val="single" w:sz="12" w:space="0" w:color="000000"/>
            </w:tcBorders>
            <w:tcMar>
              <w:bottom w:w="28" w:type="dxa"/>
            </w:tcMar>
            <w:vAlign w:val="bottom"/>
          </w:tcPr>
          <w:p>
            <w:pPr>
              <w:pStyle w:val="TableContents"/>
              <w:bidi w:val="0"/>
              <w:spacing w:before="0" w:after="0"/>
              <w:jc w:val="right"/>
              <w:rPr/>
            </w:pPr>
            <w:r>
              <w:rPr/>
              <w:t>(28,476</w:t>
            </w:r>
          </w:p>
        </w:tc>
        <w:tc>
          <w:tcPr>
            <w:tcW w:w="103" w:type="dxa"/>
            <w:tcBorders/>
            <w:vAlign w:val="bottom"/>
          </w:tcPr>
          <w:p>
            <w:pPr>
              <w:pStyle w:val="TableContents"/>
              <w:bidi w:val="0"/>
              <w:spacing w:before="0" w:after="0"/>
              <w:jc w:val="left"/>
              <w:rPr/>
            </w:pPr>
            <w:r>
              <w:rPr/>
              <w:t>)</w:t>
            </w:r>
          </w:p>
        </w:tc>
      </w:tr>
      <w:tr>
        <w:trPr/>
        <w:tc>
          <w:tcPr>
            <w:tcW w:w="5873" w:type="dxa"/>
            <w:tcBorders/>
            <w:shd w:fill="CCEEFF" w:val="clear"/>
            <w:vAlign w:val="bottom"/>
          </w:tcPr>
          <w:p>
            <w:pPr>
              <w:pStyle w:val="TableContents"/>
              <w:bidi w:val="0"/>
              <w:spacing w:before="0" w:after="0"/>
              <w:jc w:val="left"/>
              <w:rPr/>
            </w:pPr>
            <w:r>
              <w:rPr/>
              <w:t>Free Cash Flow</w:t>
            </w:r>
          </w:p>
        </w:tc>
        <w:tc>
          <w:tcPr>
            <w:tcW w:w="60" w:type="dxa"/>
            <w:tcBorders/>
            <w:shd w:fill="CCEEFF" w:val="clear"/>
            <w:vAlign w:val="bottom"/>
          </w:tcPr>
          <w:p>
            <w:pPr>
              <w:pStyle w:val="TableContents"/>
              <w:bidi w:val="0"/>
              <w:spacing w:before="0" w:after="283"/>
              <w:jc w:val="left"/>
              <w:rPr/>
            </w:pPr>
            <w:r>
              <w:rPr/>
              <w:t> </w:t>
            </w:r>
          </w:p>
        </w:tc>
        <w:tc>
          <w:tcPr>
            <w:tcW w:w="153" w:type="dxa"/>
            <w:tcBorders>
              <w:bottom w:val="single" w:sz="12" w:space="0" w:color="000000"/>
            </w:tcBorders>
            <w:shd w:fill="CCEEFF" w:val="clear"/>
            <w:tcMar>
              <w:bottom w:w="28" w:type="dxa"/>
            </w:tcMar>
            <w:vAlign w:val="bottom"/>
          </w:tcPr>
          <w:p>
            <w:pPr>
              <w:pStyle w:val="TableContents"/>
              <w:bidi w:val="0"/>
              <w:spacing w:before="0" w:after="0"/>
              <w:jc w:val="left"/>
              <w:rPr/>
            </w:pPr>
            <w:r>
              <w:rPr/>
              <w:t>$</w:t>
            </w:r>
          </w:p>
        </w:tc>
        <w:tc>
          <w:tcPr>
            <w:tcW w:w="745" w:type="dxa"/>
            <w:tcBorders>
              <w:bottom w:val="single" w:sz="12" w:space="0" w:color="000000"/>
            </w:tcBorders>
            <w:shd w:fill="CCEEFF" w:val="clear"/>
            <w:tcMar>
              <w:bottom w:w="28" w:type="dxa"/>
            </w:tcMar>
            <w:vAlign w:val="bottom"/>
          </w:tcPr>
          <w:p>
            <w:pPr>
              <w:pStyle w:val="TableContents"/>
              <w:bidi w:val="0"/>
              <w:spacing w:before="0" w:after="0"/>
              <w:jc w:val="right"/>
              <w:rPr/>
            </w:pPr>
            <w:r>
              <w:rPr/>
              <w:t>22,798</w:t>
            </w:r>
          </w:p>
        </w:tc>
        <w:tc>
          <w:tcPr>
            <w:tcW w:w="103"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153" w:type="dxa"/>
            <w:tcBorders>
              <w:bottom w:val="single" w:sz="12" w:space="0" w:color="000000"/>
            </w:tcBorders>
            <w:shd w:fill="CCEEFF" w:val="clear"/>
            <w:tcMar>
              <w:bottom w:w="28" w:type="dxa"/>
            </w:tcMar>
            <w:vAlign w:val="bottom"/>
          </w:tcPr>
          <w:p>
            <w:pPr>
              <w:pStyle w:val="TableContents"/>
              <w:bidi w:val="0"/>
              <w:spacing w:before="0" w:after="0"/>
              <w:jc w:val="left"/>
              <w:rPr/>
            </w:pPr>
            <w:r>
              <w:rPr/>
              <w:t>$</w:t>
            </w:r>
          </w:p>
        </w:tc>
        <w:tc>
          <w:tcPr>
            <w:tcW w:w="828" w:type="dxa"/>
            <w:tcBorders>
              <w:bottom w:val="single" w:sz="12" w:space="0" w:color="000000"/>
            </w:tcBorders>
            <w:shd w:fill="CCEEFF" w:val="clear"/>
            <w:tcMar>
              <w:bottom w:w="28" w:type="dxa"/>
            </w:tcMar>
            <w:vAlign w:val="bottom"/>
          </w:tcPr>
          <w:p>
            <w:pPr>
              <w:pStyle w:val="TableContents"/>
              <w:bidi w:val="0"/>
              <w:spacing w:before="0" w:after="0"/>
              <w:jc w:val="right"/>
              <w:rPr/>
            </w:pPr>
            <w:r>
              <w:rPr/>
              <w:t>10,995</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1" w:type="dxa"/>
            <w:tcBorders>
              <w:bottom w:val="single" w:sz="12" w:space="0" w:color="000000"/>
            </w:tcBorders>
            <w:shd w:fill="CCEEFF" w:val="clear"/>
            <w:tcMar>
              <w:bottom w:w="28" w:type="dxa"/>
            </w:tcMar>
            <w:vAlign w:val="bottom"/>
          </w:tcPr>
          <w:p>
            <w:pPr>
              <w:pStyle w:val="TableContents"/>
              <w:bidi w:val="0"/>
              <w:spacing w:before="0" w:after="0"/>
              <w:jc w:val="left"/>
              <w:rPr/>
            </w:pPr>
            <w:r>
              <w:rPr/>
              <w:t>$</w:t>
            </w:r>
          </w:p>
        </w:tc>
        <w:tc>
          <w:tcPr>
            <w:tcW w:w="765" w:type="dxa"/>
            <w:tcBorders>
              <w:bottom w:val="single" w:sz="12" w:space="0" w:color="000000"/>
            </w:tcBorders>
            <w:shd w:fill="CCEEFF" w:val="clear"/>
            <w:tcMar>
              <w:bottom w:w="28" w:type="dxa"/>
            </w:tcMar>
            <w:vAlign w:val="bottom"/>
          </w:tcPr>
          <w:p>
            <w:pPr>
              <w:pStyle w:val="TableContents"/>
              <w:bidi w:val="0"/>
              <w:spacing w:before="0" w:after="0"/>
              <w:jc w:val="right"/>
              <w:rPr/>
            </w:pPr>
            <w:r>
              <w:rPr/>
              <w:t>41,742</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1" w:type="dxa"/>
            <w:tcBorders>
              <w:bottom w:val="single" w:sz="12" w:space="0" w:color="000000"/>
            </w:tcBorders>
            <w:shd w:fill="CCEEFF" w:val="clear"/>
            <w:tcMar>
              <w:bottom w:w="28" w:type="dxa"/>
            </w:tcMar>
            <w:vAlign w:val="bottom"/>
          </w:tcPr>
          <w:p>
            <w:pPr>
              <w:pStyle w:val="TableContents"/>
              <w:bidi w:val="0"/>
              <w:spacing w:before="0" w:after="0"/>
              <w:jc w:val="left"/>
              <w:rPr/>
            </w:pPr>
            <w:r>
              <w:rPr/>
              <w:t>$</w:t>
            </w:r>
          </w:p>
        </w:tc>
        <w:tc>
          <w:tcPr>
            <w:tcW w:w="765" w:type="dxa"/>
            <w:tcBorders>
              <w:bottom w:val="single" w:sz="12" w:space="0" w:color="000000"/>
            </w:tcBorders>
            <w:shd w:fill="CCEEFF" w:val="clear"/>
            <w:tcMar>
              <w:bottom w:w="28" w:type="dxa"/>
            </w:tcMar>
            <w:vAlign w:val="bottom"/>
          </w:tcPr>
          <w:p>
            <w:pPr>
              <w:pStyle w:val="TableContents"/>
              <w:bidi w:val="0"/>
              <w:spacing w:before="0" w:after="0"/>
              <w:jc w:val="right"/>
              <w:rPr/>
            </w:pPr>
            <w:r>
              <w:rPr/>
              <w:t>4,950</w:t>
            </w:r>
          </w:p>
        </w:tc>
        <w:tc>
          <w:tcPr>
            <w:tcW w:w="103"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38</w:t>
      </w:r>
    </w:p>
    <w:p>
      <w:pPr>
        <w:pStyle w:val="HorizontalLine"/>
        <w:bidi w:val="0"/>
        <w:spacing w:before="200" w:after="200"/>
        <w:jc w:val="left"/>
        <w:rPr/>
      </w:pPr>
      <w:r>
        <w:rPr/>
      </w:r>
    </w:p>
    <w:p>
      <w:pPr>
        <w:pStyle w:val="TextBody"/>
        <w:bidi w:val="0"/>
        <w:spacing w:before="200" w:after="200"/>
        <w:jc w:val="left"/>
        <w:rPr/>
      </w:pPr>
      <w:hyperlink w:anchor="Contents">
        <w:r>
          <w:rPr>
            <w:rStyle w:val="InternetLink"/>
            <w:rFonts w:ascii="Times New Roman" w:hAnsi="Times New Roman"/>
            <w:i/>
            <w:color w:val="000000"/>
            <w:sz w:val="16"/>
            <w:shd w:fill="FFFFFF" w:val="clear"/>
          </w:rPr>
          <w:t>Table of Contents</w:t>
        </w:r>
      </w:hyperlink>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Components of Our Results of Operations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Revenues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All of our Revenues are generated from Advertisers with whom we enter into commercial arrangements, defining the terms of our service and the basis for our charges. Generally, our charges are based on a CPC, CPM or CPA basis. For campaigns priced on a CPC basis, we recognize these Revenues when a user clicks on an advertisement we deliver. For campaigns priced on a CPM basis, we recognize these Revenues when an advertisement is displayed. For campaigns priced on a performance-based CPA basis, the Company generates revenue when a user makes an acquisition.</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Cost of revenues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Our cost of revenue primarily includes traffic acquisition cost and also includes other cost of revenue.</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Traffic acquisition cost</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Traffic acquisition cost, or TAC, consists primarily of cost related to digital property compensation for placing our platform on their digital property and cost for advertising impressions purchased from real-time advertising exchanges and other third parties. Traffic acquisition cost also includes up-front payments, incentive payments, or bonuses paid to the digital property partners, which are amortized over the respective contractual term of the digital property arrangement. For the majority of our digital properties partners, we have two primary compensation models for digital properties. The most common model is a revenue share model. In this model, we agree to pay a percentage of our revenue generated from advertisements placed on the digital properties. The second model includes guarantees. Under this model, we pay the greater of a percentage of the revenue generated or a committed guaranteed amount per thousand page views (“Minimum guarantee model”). Actual compensation is settled on a monthly basis. Expenses under both the revenue share model as well as the Minimum guarantee model are recorded as incurred, based on actual revenues generated by us at the respective month.</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Other cost of revenues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Other cost of revenues includes data center and related costs, depreciation expense related to hardware supporting our platform, amortization expense related to capitalized internal-use software and acquired technology, digital and services taxes, personnel costs, and allocated facilities costs. Personnel costs include salaries, bonuses, share-based compensation, and employee benefit costs, and are primarily attributable to our operations group, which supports our platform and our Advertisers.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Gross profit</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Gross profit, calculated as revenues less cost of revenues, has been, and will continue to be, affected by various factors, including fluctuations in the amount and mix of revenue and the amount and timing of investments to expand our digital properties partners and Advertisers base. We hope to increase both our Gross profit in absolute dollars and as a percentage of revenue through enhanced operational efficiency and economies of scale.</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Research and development</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Research and development expenses consist primarily of personnel costs, including salaries, bonuses, share-based compensation and employee benefits costs, allocated facilities costs, professional services and depreciation. We expect research and development expenses to increase in future periods to support our growth, including continuing to invest in optimization, accuracy and reliability of our platform and other technology improvements to support and drive efficiency in our operations. These expenses may vary from period to period as a percentage of revenue, depending primarily upon when we choose to make more significant investments.</w:t>
      </w:r>
    </w:p>
    <w:p>
      <w:pPr>
        <w:pStyle w:val="TextBody"/>
        <w:bidi w:val="0"/>
        <w:spacing w:before="0" w:after="0"/>
        <w:jc w:val="left"/>
        <w:rPr>
          <w:color w:val="000000"/>
          <w:shd w:fill="FFFFFF" w:val="clear"/>
        </w:rPr>
      </w:pPr>
      <w:r>
        <w:rPr>
          <w:color w:val="000000"/>
          <w:shd w:fill="FFFFFF" w:val="clear"/>
        </w:rPr>
        <w:t> </w:t>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39</w:t>
      </w:r>
    </w:p>
    <w:p>
      <w:pPr>
        <w:pStyle w:val="HorizontalLine"/>
        <w:bidi w:val="0"/>
        <w:spacing w:before="200" w:after="200"/>
        <w:jc w:val="left"/>
        <w:rPr/>
      </w:pPr>
      <w:r>
        <w:rPr/>
      </w:r>
    </w:p>
    <w:p>
      <w:pPr>
        <w:pStyle w:val="TextBody"/>
        <w:bidi w:val="0"/>
        <w:spacing w:before="200" w:after="200"/>
        <w:jc w:val="left"/>
        <w:rPr/>
      </w:pPr>
      <w:hyperlink w:anchor="Contents">
        <w:r>
          <w:rPr>
            <w:rStyle w:val="InternetLink"/>
            <w:rFonts w:ascii="Times New Roman" w:hAnsi="Times New Roman"/>
            <w:i/>
            <w:color w:val="000000"/>
            <w:sz w:val="16"/>
            <w:shd w:fill="FFFFFF" w:val="clear"/>
          </w:rPr>
          <w:t>Table of Contents</w:t>
        </w:r>
      </w:hyperlink>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Sales and marketing</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Sales and marketing expenses consist of payroll and other personnel related costs, including salaries, share-based compensation, employee benefits, and travel for our sales and marketing departments, advertising and promotion, rent and depreciation and amortization expenses, particularly related to the acquired intangibles. We expect to increase selling and marketing expenses to support the overall growth in our business.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General and administrative</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General and administrative expenses consist of payroll and other personnel related costs, including salaries, share-based compensation, employee benefits and expenses for executive management, legal, finance and others. In addition, general and administrative expenses include fees for professional services and occupancy costs. We expect our general and administrative expense to increase as we scale up headcount with the growth of our business, and as a result of operating as a public company, including compliance with the rules and regulations of the SEC, legal, audit, additional insurance expenses, investor relations activities, and other administrative and professional services.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Finance income (expenses), net</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Finance income (expenses), net, primarily consists of interest income (expense) including amortization of loan and credit facility issuance costs, Warrants liability fair value adjustments, gains (losses) from foreign exchange fluctuations and bank fees.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Income tax benefit (expenses)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statutory corporate tax rate in Israel was 23% for the nine months ended September 30, 2023 and 2022, although we are entitled to certain tax benefits under Israeli law.</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Pursuant to the Israeli Law for Encouragement of Capital Investments-1959 (the “Investments Law”) and its various amendments, under which we have been granted “Privileged Enterprise” status, we were granted a tax exemption status for the years 2018 and 2019. The 2018 tax exemption resulted in approximately $10.4 million of potential tax savings. In 2019 we did not benefit from the Privileged Enterprise status because we did not have taxable income. The benefits available to a Privileged Enterprise in Israel relate only to taxable income attributable to the specific investment program and are conditioned upon terms stipulated in the Investment Law. We received a Tax Ruling from the Israeli Tax Authority that our activity is an industrial activity and therefore eligible for the status of a Privileged Enterprise, provided that we meet the requirements under the ruling. If we do not fulfill these conditions, in whole or in part, the benefits can be revoked, and we may be required to refund the benefits, in an amount linked to the Israeli consumer price index plus interest. As of September 30, 2023, management believes that we meet the aforementioned conditions.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For 2021 and subsequent tax years, we adopted The “Preferred Technology Enterprises” (“PTE”) Incentives Regime (Amendment 73 to the Investment Law) granting a 12% tax rate in central Israel on income deriving from benefited intangible assets, subject to a number of conditions being fulfilled, including a minimal amount or ratio of annual research and development expenditure and research and development employees, as well as having at least 25% of annual income derived from exports to large markets. PTE is defined as an enterprise which meets the aforementioned conditions and for which total consolidated revenues of its parent company and all subsidiaries are less than NIS 10 billion.</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As of September 30, 2023, we have an accumulated tax loss carry-forward of approximately $87.1 million in Israel. The tax loss can be offset indefinitely. Non-Israeli subsidiaries are taxed according to the tax laws in their respective jurisdictions.</w:t>
      </w:r>
    </w:p>
    <w:p>
      <w:pPr>
        <w:pStyle w:val="TextBody"/>
        <w:bidi w:val="0"/>
        <w:spacing w:before="0" w:after="0"/>
        <w:jc w:val="left"/>
        <w:rPr>
          <w:color w:val="000000"/>
          <w:shd w:fill="FFFFFF" w:val="clear"/>
        </w:rPr>
      </w:pPr>
      <w:r>
        <w:rPr>
          <w:color w:val="000000"/>
          <w:shd w:fill="FFFFFF" w:val="clear"/>
        </w:rPr>
        <w:t> </w:t>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40</w:t>
      </w:r>
    </w:p>
    <w:p>
      <w:pPr>
        <w:pStyle w:val="HorizontalLine"/>
        <w:bidi w:val="0"/>
        <w:spacing w:before="200" w:after="200"/>
        <w:jc w:val="left"/>
        <w:rPr/>
      </w:pPr>
      <w:r>
        <w:rPr/>
      </w:r>
    </w:p>
    <w:p>
      <w:pPr>
        <w:pStyle w:val="TextBody"/>
        <w:bidi w:val="0"/>
        <w:spacing w:before="200" w:after="200"/>
        <w:jc w:val="left"/>
        <w:rPr/>
      </w:pPr>
      <w:hyperlink w:anchor="Contents">
        <w:r>
          <w:rPr>
            <w:rStyle w:val="InternetLink"/>
            <w:rFonts w:ascii="Times New Roman" w:hAnsi="Times New Roman"/>
            <w:i/>
            <w:color w:val="000000"/>
            <w:sz w:val="16"/>
            <w:shd w:fill="FFFFFF" w:val="clear"/>
          </w:rPr>
          <w:t>Table of Contents</w:t>
        </w:r>
      </w:hyperlink>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following table provides consolidated statements of loss data for the periods indicated:</w:t>
      </w:r>
    </w:p>
    <w:p>
      <w:pPr>
        <w:pStyle w:val="TextBody"/>
        <w:bidi w:val="0"/>
        <w:spacing w:before="0" w:after="0"/>
        <w:jc w:val="left"/>
        <w:rPr>
          <w:color w:val="000000"/>
          <w:shd w:fill="FFFFFF" w:val="clear"/>
        </w:rPr>
      </w:pPr>
      <w:r>
        <w:rPr>
          <w:color w:val="000000"/>
          <w:shd w:fill="FFFFFF" w:val="clear"/>
        </w:rPr>
        <w:t> </w:t>
      </w:r>
    </w:p>
    <w:tbl>
      <w:tblPr>
        <w:tblW w:w="5261" w:type="dxa"/>
        <w:jc w:val="left"/>
        <w:tblInd w:w="0" w:type="dxa"/>
        <w:tblLayout w:type="fixed"/>
        <w:tblCellMar>
          <w:top w:w="0" w:type="dxa"/>
          <w:left w:w="0" w:type="dxa"/>
          <w:bottom w:w="0" w:type="dxa"/>
          <w:right w:w="0" w:type="dxa"/>
        </w:tblCellMar>
      </w:tblPr>
      <w:tblGrid>
        <w:gridCol w:w="2990"/>
        <w:gridCol w:w="60"/>
        <w:gridCol w:w="145"/>
        <w:gridCol w:w="833"/>
        <w:gridCol w:w="98"/>
        <w:gridCol w:w="62"/>
        <w:gridCol w:w="145"/>
        <w:gridCol w:w="833"/>
        <w:gridCol w:w="95"/>
      </w:tblGrid>
      <w:tr>
        <w:trPr/>
        <w:tc>
          <w:tcPr>
            <w:tcW w:w="299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16" w:type="dxa"/>
            <w:gridSpan w:val="6"/>
            <w:tcBorders>
              <w:bottom w:val="single" w:sz="12" w:space="0" w:color="000000"/>
            </w:tcBorders>
            <w:tcMar>
              <w:bottom w:w="28" w:type="dxa"/>
            </w:tcMar>
            <w:vAlign w:val="bottom"/>
          </w:tcPr>
          <w:p>
            <w:pPr>
              <w:pStyle w:val="TableContents"/>
              <w:bidi w:val="0"/>
              <w:spacing w:before="0" w:after="0"/>
              <w:jc w:val="center"/>
              <w:rPr>
                <w:b/>
              </w:rPr>
            </w:pPr>
            <w:r>
              <w:rPr>
                <w:b/>
              </w:rPr>
              <w:t>Three months ended</w:t>
            </w:r>
          </w:p>
          <w:p>
            <w:pPr>
              <w:pStyle w:val="TableContents"/>
              <w:bidi w:val="0"/>
              <w:spacing w:before="0" w:after="0"/>
              <w:jc w:val="center"/>
              <w:rPr>
                <w:b/>
              </w:rPr>
            </w:pPr>
            <w:r>
              <w:rPr>
                <w:b/>
              </w:rPr>
              <w:t>September 30,</w:t>
            </w:r>
          </w:p>
        </w:tc>
        <w:tc>
          <w:tcPr>
            <w:tcW w:w="95" w:type="dxa"/>
            <w:tcBorders/>
            <w:vAlign w:val="bottom"/>
          </w:tcPr>
          <w:p>
            <w:pPr>
              <w:pStyle w:val="TableContents"/>
              <w:bidi w:val="0"/>
              <w:spacing w:before="0" w:after="283"/>
              <w:jc w:val="left"/>
              <w:rPr/>
            </w:pPr>
            <w:r>
              <w:rPr/>
              <w:t> </w:t>
            </w:r>
          </w:p>
        </w:tc>
      </w:tr>
      <w:tr>
        <w:trPr/>
        <w:tc>
          <w:tcPr>
            <w:tcW w:w="299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78"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2023</w:t>
            </w:r>
          </w:p>
        </w:tc>
        <w:tc>
          <w:tcPr>
            <w:tcW w:w="98"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978"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2022</w:t>
            </w:r>
          </w:p>
        </w:tc>
        <w:tc>
          <w:tcPr>
            <w:tcW w:w="95" w:type="dxa"/>
            <w:tcBorders/>
            <w:vAlign w:val="bottom"/>
          </w:tcPr>
          <w:p>
            <w:pPr>
              <w:pStyle w:val="TableContents"/>
              <w:bidi w:val="0"/>
              <w:spacing w:before="0" w:after="283"/>
              <w:jc w:val="left"/>
              <w:rPr/>
            </w:pPr>
            <w:r>
              <w:rPr/>
              <w:t> </w:t>
            </w:r>
          </w:p>
        </w:tc>
      </w:tr>
      <w:tr>
        <w:trPr/>
        <w:tc>
          <w:tcPr>
            <w:tcW w:w="299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78" w:type="dxa"/>
            <w:gridSpan w:val="2"/>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978" w:type="dxa"/>
            <w:gridSpan w:val="2"/>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r>
      <w:tr>
        <w:trPr/>
        <w:tc>
          <w:tcPr>
            <w:tcW w:w="2990" w:type="dxa"/>
            <w:tcBorders/>
            <w:shd w:fill="CCEEFF" w:val="clear"/>
            <w:vAlign w:val="bottom"/>
          </w:tcPr>
          <w:p>
            <w:pPr>
              <w:pStyle w:val="TableContents"/>
              <w:bidi w:val="0"/>
              <w:spacing w:before="0" w:after="0"/>
              <w:jc w:val="left"/>
              <w:rPr>
                <w:b/>
              </w:rPr>
            </w:pPr>
            <w:r>
              <w:rPr>
                <w:b/>
              </w:rPr>
              <w:t>Revenues</w:t>
            </w:r>
          </w:p>
        </w:tc>
        <w:tc>
          <w:tcPr>
            <w:tcW w:w="6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0"/>
              <w:jc w:val="left"/>
              <w:rPr>
                <w:b/>
              </w:rPr>
            </w:pPr>
            <w:r>
              <w:rPr>
                <w:b/>
              </w:rPr>
              <w:t>$</w:t>
            </w:r>
          </w:p>
        </w:tc>
        <w:tc>
          <w:tcPr>
            <w:tcW w:w="833" w:type="dxa"/>
            <w:tcBorders/>
            <w:shd w:fill="CCEEFF" w:val="clear"/>
            <w:vAlign w:val="bottom"/>
          </w:tcPr>
          <w:p>
            <w:pPr>
              <w:pStyle w:val="TableContents"/>
              <w:bidi w:val="0"/>
              <w:spacing w:before="0" w:after="0"/>
              <w:jc w:val="right"/>
              <w:rPr>
                <w:b/>
              </w:rPr>
            </w:pPr>
            <w:r>
              <w:rPr>
                <w:b/>
              </w:rPr>
              <w:t>360,221</w:t>
            </w:r>
          </w:p>
        </w:tc>
        <w:tc>
          <w:tcPr>
            <w:tcW w:w="98"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0"/>
              <w:jc w:val="left"/>
              <w:rPr>
                <w:b/>
              </w:rPr>
            </w:pPr>
            <w:r>
              <w:rPr>
                <w:b/>
              </w:rPr>
              <w:t>$</w:t>
            </w:r>
          </w:p>
        </w:tc>
        <w:tc>
          <w:tcPr>
            <w:tcW w:w="833" w:type="dxa"/>
            <w:tcBorders/>
            <w:shd w:fill="CCEEFF" w:val="clear"/>
            <w:vAlign w:val="bottom"/>
          </w:tcPr>
          <w:p>
            <w:pPr>
              <w:pStyle w:val="TableContents"/>
              <w:bidi w:val="0"/>
              <w:spacing w:before="0" w:after="0"/>
              <w:jc w:val="right"/>
              <w:rPr>
                <w:b/>
              </w:rPr>
            </w:pPr>
            <w:r>
              <w:rPr>
                <w:b/>
              </w:rPr>
              <w:t>332,462</w:t>
            </w:r>
          </w:p>
        </w:tc>
        <w:tc>
          <w:tcPr>
            <w:tcW w:w="95" w:type="dxa"/>
            <w:tcBorders/>
            <w:shd w:fill="CCEEFF" w:val="clear"/>
            <w:vAlign w:val="bottom"/>
          </w:tcPr>
          <w:p>
            <w:pPr>
              <w:pStyle w:val="TableContents"/>
              <w:bidi w:val="0"/>
              <w:spacing w:before="0" w:after="283"/>
              <w:jc w:val="left"/>
              <w:rPr/>
            </w:pPr>
            <w:r>
              <w:rPr/>
              <w:t> </w:t>
            </w:r>
          </w:p>
        </w:tc>
      </w:tr>
      <w:tr>
        <w:trPr/>
        <w:tc>
          <w:tcPr>
            <w:tcW w:w="2990" w:type="dxa"/>
            <w:tcBorders/>
            <w:vAlign w:val="bottom"/>
          </w:tcPr>
          <w:p>
            <w:pPr>
              <w:pStyle w:val="TableContents"/>
              <w:bidi w:val="0"/>
              <w:spacing w:before="0" w:after="0"/>
              <w:jc w:val="left"/>
              <w:rPr/>
            </w:pPr>
            <w:r>
              <w:rPr/>
              <w:t>Cost of revenues:</w:t>
            </w:r>
          </w:p>
        </w:tc>
        <w:tc>
          <w:tcPr>
            <w:tcW w:w="6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833" w:type="dxa"/>
            <w:tcBorders/>
            <w:vAlign w:val="bottom"/>
          </w:tcPr>
          <w:p>
            <w:pPr>
              <w:pStyle w:val="TableContents"/>
              <w:bidi w:val="0"/>
              <w:spacing w:before="0" w:after="283"/>
              <w:jc w:val="right"/>
              <w:rPr/>
            </w:pPr>
            <w:r>
              <w:rPr/>
              <w:t> </w:t>
            </w:r>
          </w:p>
        </w:tc>
        <w:tc>
          <w:tcPr>
            <w:tcW w:w="98"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833"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r>
      <w:tr>
        <w:trPr/>
        <w:tc>
          <w:tcPr>
            <w:tcW w:w="2990" w:type="dxa"/>
            <w:tcBorders/>
            <w:shd w:fill="CCEEFF" w:val="clear"/>
            <w:vAlign w:val="bottom"/>
          </w:tcPr>
          <w:p>
            <w:pPr>
              <w:pStyle w:val="TableContents"/>
              <w:bidi w:val="0"/>
              <w:spacing w:before="0" w:after="0"/>
              <w:jc w:val="left"/>
              <w:rPr/>
            </w:pPr>
            <w:r>
              <w:rPr/>
              <w:t>Traffic acquisition cost</w:t>
            </w:r>
          </w:p>
        </w:tc>
        <w:tc>
          <w:tcPr>
            <w:tcW w:w="6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833" w:type="dxa"/>
            <w:tcBorders/>
            <w:shd w:fill="CCEEFF" w:val="clear"/>
            <w:vAlign w:val="bottom"/>
          </w:tcPr>
          <w:p>
            <w:pPr>
              <w:pStyle w:val="TableContents"/>
              <w:bidi w:val="0"/>
              <w:spacing w:before="0" w:after="0"/>
              <w:jc w:val="right"/>
              <w:rPr/>
            </w:pPr>
            <w:r>
              <w:rPr/>
              <w:t>231,786</w:t>
            </w:r>
          </w:p>
        </w:tc>
        <w:tc>
          <w:tcPr>
            <w:tcW w:w="98"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833" w:type="dxa"/>
            <w:tcBorders/>
            <w:shd w:fill="CCEEFF" w:val="clear"/>
            <w:vAlign w:val="bottom"/>
          </w:tcPr>
          <w:p>
            <w:pPr>
              <w:pStyle w:val="TableContents"/>
              <w:bidi w:val="0"/>
              <w:spacing w:before="0" w:after="0"/>
              <w:jc w:val="right"/>
              <w:rPr/>
            </w:pPr>
            <w:r>
              <w:rPr/>
              <w:t>203,125</w:t>
            </w:r>
          </w:p>
        </w:tc>
        <w:tc>
          <w:tcPr>
            <w:tcW w:w="95" w:type="dxa"/>
            <w:tcBorders/>
            <w:shd w:fill="CCEEFF" w:val="clear"/>
            <w:vAlign w:val="bottom"/>
          </w:tcPr>
          <w:p>
            <w:pPr>
              <w:pStyle w:val="TableContents"/>
              <w:bidi w:val="0"/>
              <w:spacing w:before="0" w:after="283"/>
              <w:jc w:val="left"/>
              <w:rPr/>
            </w:pPr>
            <w:r>
              <w:rPr/>
              <w:t> </w:t>
            </w:r>
          </w:p>
        </w:tc>
      </w:tr>
      <w:tr>
        <w:trPr/>
        <w:tc>
          <w:tcPr>
            <w:tcW w:w="2990" w:type="dxa"/>
            <w:tcBorders/>
            <w:vAlign w:val="bottom"/>
          </w:tcPr>
          <w:p>
            <w:pPr>
              <w:pStyle w:val="TableContents"/>
              <w:bidi w:val="0"/>
              <w:spacing w:before="0" w:after="0"/>
              <w:jc w:val="left"/>
              <w:rPr/>
            </w:pPr>
            <w:r>
              <w:rPr/>
              <w:t>Other cost of revenues</w:t>
            </w:r>
          </w:p>
        </w:tc>
        <w:tc>
          <w:tcPr>
            <w:tcW w:w="60" w:type="dxa"/>
            <w:tcBorders/>
            <w:vAlign w:val="bottom"/>
          </w:tcPr>
          <w:p>
            <w:pPr>
              <w:pStyle w:val="TableContents"/>
              <w:bidi w:val="0"/>
              <w:spacing w:before="0" w:after="283"/>
              <w:jc w:val="left"/>
              <w:rPr/>
            </w:pPr>
            <w:r>
              <w:rPr/>
              <w:t> </w:t>
            </w:r>
          </w:p>
        </w:tc>
        <w:tc>
          <w:tcPr>
            <w:tcW w:w="145" w:type="dxa"/>
            <w:tcBorders>
              <w:bottom w:val="single" w:sz="12" w:space="0" w:color="000000"/>
            </w:tcBorders>
            <w:tcMar>
              <w:bottom w:w="28" w:type="dxa"/>
            </w:tcMar>
            <w:vAlign w:val="bottom"/>
          </w:tcPr>
          <w:p>
            <w:pPr>
              <w:pStyle w:val="TableContents"/>
              <w:bidi w:val="0"/>
              <w:spacing w:before="0" w:after="283"/>
              <w:jc w:val="left"/>
              <w:rPr/>
            </w:pPr>
            <w:r>
              <w:rPr/>
              <w:t> </w:t>
            </w:r>
          </w:p>
        </w:tc>
        <w:tc>
          <w:tcPr>
            <w:tcW w:w="833" w:type="dxa"/>
            <w:tcBorders>
              <w:bottom w:val="single" w:sz="12" w:space="0" w:color="000000"/>
            </w:tcBorders>
            <w:tcMar>
              <w:bottom w:w="28" w:type="dxa"/>
            </w:tcMar>
            <w:vAlign w:val="bottom"/>
          </w:tcPr>
          <w:p>
            <w:pPr>
              <w:pStyle w:val="TableContents"/>
              <w:bidi w:val="0"/>
              <w:spacing w:before="0" w:after="0"/>
              <w:jc w:val="right"/>
              <w:rPr/>
            </w:pPr>
            <w:r>
              <w:rPr/>
              <w:t>27,776</w:t>
            </w:r>
          </w:p>
        </w:tc>
        <w:tc>
          <w:tcPr>
            <w:tcW w:w="98"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145" w:type="dxa"/>
            <w:tcBorders>
              <w:bottom w:val="single" w:sz="12" w:space="0" w:color="000000"/>
            </w:tcBorders>
            <w:tcMar>
              <w:bottom w:w="28" w:type="dxa"/>
            </w:tcMar>
            <w:vAlign w:val="bottom"/>
          </w:tcPr>
          <w:p>
            <w:pPr>
              <w:pStyle w:val="TableContents"/>
              <w:bidi w:val="0"/>
              <w:spacing w:before="0" w:after="283"/>
              <w:jc w:val="left"/>
              <w:rPr/>
            </w:pPr>
            <w:r>
              <w:rPr/>
              <w:t> </w:t>
            </w:r>
          </w:p>
        </w:tc>
        <w:tc>
          <w:tcPr>
            <w:tcW w:w="833" w:type="dxa"/>
            <w:tcBorders>
              <w:bottom w:val="single" w:sz="12" w:space="0" w:color="000000"/>
            </w:tcBorders>
            <w:tcMar>
              <w:bottom w:w="28" w:type="dxa"/>
            </w:tcMar>
            <w:vAlign w:val="bottom"/>
          </w:tcPr>
          <w:p>
            <w:pPr>
              <w:pStyle w:val="TableContents"/>
              <w:bidi w:val="0"/>
              <w:spacing w:before="0" w:after="0"/>
              <w:jc w:val="right"/>
              <w:rPr/>
            </w:pPr>
            <w:r>
              <w:rPr/>
              <w:t>26,649</w:t>
            </w:r>
          </w:p>
        </w:tc>
        <w:tc>
          <w:tcPr>
            <w:tcW w:w="95" w:type="dxa"/>
            <w:tcBorders/>
            <w:vAlign w:val="bottom"/>
          </w:tcPr>
          <w:p>
            <w:pPr>
              <w:pStyle w:val="TableContents"/>
              <w:bidi w:val="0"/>
              <w:spacing w:before="0" w:after="283"/>
              <w:jc w:val="left"/>
              <w:rPr/>
            </w:pPr>
            <w:r>
              <w:rPr/>
              <w:t> </w:t>
            </w:r>
          </w:p>
        </w:tc>
      </w:tr>
      <w:tr>
        <w:trPr/>
        <w:tc>
          <w:tcPr>
            <w:tcW w:w="2990" w:type="dxa"/>
            <w:tcBorders/>
            <w:shd w:fill="CCEEFF" w:val="clear"/>
            <w:vAlign w:val="bottom"/>
          </w:tcPr>
          <w:p>
            <w:pPr>
              <w:pStyle w:val="TableContents"/>
              <w:bidi w:val="0"/>
              <w:spacing w:before="0" w:after="0"/>
              <w:jc w:val="left"/>
              <w:rPr/>
            </w:pPr>
            <w:r>
              <w:rPr/>
              <w:t>Total cost of revenues</w:t>
            </w:r>
          </w:p>
        </w:tc>
        <w:tc>
          <w:tcPr>
            <w:tcW w:w="60" w:type="dxa"/>
            <w:tcBorders/>
            <w:shd w:fill="CCEEFF" w:val="clear"/>
            <w:vAlign w:val="bottom"/>
          </w:tcPr>
          <w:p>
            <w:pPr>
              <w:pStyle w:val="TableContents"/>
              <w:bidi w:val="0"/>
              <w:spacing w:before="0" w:after="283"/>
              <w:jc w:val="left"/>
              <w:rPr/>
            </w:pPr>
            <w:r>
              <w:rPr/>
              <w:t> </w:t>
            </w:r>
          </w:p>
        </w:tc>
        <w:tc>
          <w:tcPr>
            <w:tcW w:w="14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33" w:type="dxa"/>
            <w:tcBorders>
              <w:bottom w:val="single" w:sz="12" w:space="0" w:color="000000"/>
            </w:tcBorders>
            <w:shd w:fill="CCEEFF" w:val="clear"/>
            <w:tcMar>
              <w:bottom w:w="28" w:type="dxa"/>
            </w:tcMar>
            <w:vAlign w:val="bottom"/>
          </w:tcPr>
          <w:p>
            <w:pPr>
              <w:pStyle w:val="TableContents"/>
              <w:bidi w:val="0"/>
              <w:spacing w:before="0" w:after="0"/>
              <w:jc w:val="right"/>
              <w:rPr/>
            </w:pPr>
            <w:r>
              <w:rPr/>
              <w:t>259,562</w:t>
            </w:r>
          </w:p>
        </w:tc>
        <w:tc>
          <w:tcPr>
            <w:tcW w:w="98"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14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33" w:type="dxa"/>
            <w:tcBorders>
              <w:bottom w:val="single" w:sz="12" w:space="0" w:color="000000"/>
            </w:tcBorders>
            <w:shd w:fill="CCEEFF" w:val="clear"/>
            <w:tcMar>
              <w:bottom w:w="28" w:type="dxa"/>
            </w:tcMar>
            <w:vAlign w:val="bottom"/>
          </w:tcPr>
          <w:p>
            <w:pPr>
              <w:pStyle w:val="TableContents"/>
              <w:bidi w:val="0"/>
              <w:spacing w:before="0" w:after="0"/>
              <w:jc w:val="right"/>
              <w:rPr/>
            </w:pPr>
            <w:r>
              <w:rPr/>
              <w:t>229,774</w:t>
            </w:r>
          </w:p>
        </w:tc>
        <w:tc>
          <w:tcPr>
            <w:tcW w:w="95" w:type="dxa"/>
            <w:tcBorders/>
            <w:shd w:fill="CCEEFF" w:val="clear"/>
            <w:vAlign w:val="bottom"/>
          </w:tcPr>
          <w:p>
            <w:pPr>
              <w:pStyle w:val="TableContents"/>
              <w:bidi w:val="0"/>
              <w:spacing w:before="0" w:after="283"/>
              <w:jc w:val="left"/>
              <w:rPr/>
            </w:pPr>
            <w:r>
              <w:rPr/>
              <w:t> </w:t>
            </w:r>
          </w:p>
        </w:tc>
      </w:tr>
      <w:tr>
        <w:trPr/>
        <w:tc>
          <w:tcPr>
            <w:tcW w:w="2990" w:type="dxa"/>
            <w:tcBorders/>
            <w:vAlign w:val="bottom"/>
          </w:tcPr>
          <w:p>
            <w:pPr>
              <w:pStyle w:val="TableContents"/>
              <w:bidi w:val="0"/>
              <w:spacing w:before="0" w:after="0"/>
              <w:jc w:val="left"/>
              <w:rPr>
                <w:b/>
              </w:rPr>
            </w:pPr>
            <w:r>
              <w:rPr>
                <w:b/>
              </w:rPr>
              <w:t>Gross profit</w:t>
            </w:r>
          </w:p>
        </w:tc>
        <w:tc>
          <w:tcPr>
            <w:tcW w:w="60" w:type="dxa"/>
            <w:tcBorders/>
            <w:vAlign w:val="bottom"/>
          </w:tcPr>
          <w:p>
            <w:pPr>
              <w:pStyle w:val="TableContents"/>
              <w:bidi w:val="0"/>
              <w:spacing w:before="0" w:after="283"/>
              <w:jc w:val="left"/>
              <w:rPr/>
            </w:pPr>
            <w:r>
              <w:rPr/>
              <w:t> </w:t>
            </w:r>
          </w:p>
        </w:tc>
        <w:tc>
          <w:tcPr>
            <w:tcW w:w="145" w:type="dxa"/>
            <w:tcBorders>
              <w:bottom w:val="single" w:sz="12" w:space="0" w:color="000000"/>
            </w:tcBorders>
            <w:tcMar>
              <w:bottom w:w="28" w:type="dxa"/>
            </w:tcMar>
            <w:vAlign w:val="bottom"/>
          </w:tcPr>
          <w:p>
            <w:pPr>
              <w:pStyle w:val="TableContents"/>
              <w:bidi w:val="0"/>
              <w:spacing w:before="0" w:after="283"/>
              <w:jc w:val="left"/>
              <w:rPr/>
            </w:pPr>
            <w:r>
              <w:rPr/>
              <w:t> </w:t>
            </w:r>
          </w:p>
        </w:tc>
        <w:tc>
          <w:tcPr>
            <w:tcW w:w="833" w:type="dxa"/>
            <w:tcBorders>
              <w:bottom w:val="single" w:sz="12" w:space="0" w:color="000000"/>
            </w:tcBorders>
            <w:tcMar>
              <w:bottom w:w="28" w:type="dxa"/>
            </w:tcMar>
            <w:vAlign w:val="bottom"/>
          </w:tcPr>
          <w:p>
            <w:pPr>
              <w:pStyle w:val="TableContents"/>
              <w:bidi w:val="0"/>
              <w:spacing w:before="0" w:after="0"/>
              <w:jc w:val="right"/>
              <w:rPr>
                <w:b/>
              </w:rPr>
            </w:pPr>
            <w:r>
              <w:rPr>
                <w:b/>
              </w:rPr>
              <w:t>100,659</w:t>
            </w:r>
          </w:p>
        </w:tc>
        <w:tc>
          <w:tcPr>
            <w:tcW w:w="98"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145" w:type="dxa"/>
            <w:tcBorders>
              <w:bottom w:val="single" w:sz="12" w:space="0" w:color="000000"/>
            </w:tcBorders>
            <w:tcMar>
              <w:bottom w:w="28" w:type="dxa"/>
            </w:tcMar>
            <w:vAlign w:val="bottom"/>
          </w:tcPr>
          <w:p>
            <w:pPr>
              <w:pStyle w:val="TableContents"/>
              <w:bidi w:val="0"/>
              <w:spacing w:before="0" w:after="283"/>
              <w:jc w:val="left"/>
              <w:rPr/>
            </w:pPr>
            <w:r>
              <w:rPr/>
              <w:t> </w:t>
            </w:r>
          </w:p>
        </w:tc>
        <w:tc>
          <w:tcPr>
            <w:tcW w:w="833" w:type="dxa"/>
            <w:tcBorders>
              <w:bottom w:val="single" w:sz="12" w:space="0" w:color="000000"/>
            </w:tcBorders>
            <w:tcMar>
              <w:bottom w:w="28" w:type="dxa"/>
            </w:tcMar>
            <w:vAlign w:val="bottom"/>
          </w:tcPr>
          <w:p>
            <w:pPr>
              <w:pStyle w:val="TableContents"/>
              <w:bidi w:val="0"/>
              <w:spacing w:before="0" w:after="0"/>
              <w:jc w:val="right"/>
              <w:rPr>
                <w:b/>
              </w:rPr>
            </w:pPr>
            <w:r>
              <w:rPr>
                <w:b/>
              </w:rPr>
              <w:t>102,688</w:t>
            </w:r>
          </w:p>
        </w:tc>
        <w:tc>
          <w:tcPr>
            <w:tcW w:w="95" w:type="dxa"/>
            <w:tcBorders/>
            <w:vAlign w:val="bottom"/>
          </w:tcPr>
          <w:p>
            <w:pPr>
              <w:pStyle w:val="TableContents"/>
              <w:bidi w:val="0"/>
              <w:spacing w:before="0" w:after="283"/>
              <w:jc w:val="left"/>
              <w:rPr/>
            </w:pPr>
            <w:r>
              <w:rPr/>
              <w:t> </w:t>
            </w:r>
          </w:p>
        </w:tc>
      </w:tr>
      <w:tr>
        <w:trPr/>
        <w:tc>
          <w:tcPr>
            <w:tcW w:w="2990" w:type="dxa"/>
            <w:tcBorders/>
            <w:shd w:fill="CCEEFF" w:val="clear"/>
            <w:vAlign w:val="bottom"/>
          </w:tcPr>
          <w:p>
            <w:pPr>
              <w:pStyle w:val="TableContents"/>
              <w:bidi w:val="0"/>
              <w:spacing w:before="0" w:after="0"/>
              <w:jc w:val="left"/>
              <w:rPr/>
            </w:pPr>
            <w:r>
              <w:rPr/>
              <w:t>Operating expenses:</w:t>
            </w:r>
          </w:p>
        </w:tc>
        <w:tc>
          <w:tcPr>
            <w:tcW w:w="6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833" w:type="dxa"/>
            <w:tcBorders/>
            <w:shd w:fill="CCEEFF" w:val="clear"/>
            <w:vAlign w:val="bottom"/>
          </w:tcPr>
          <w:p>
            <w:pPr>
              <w:pStyle w:val="TableContents"/>
              <w:bidi w:val="0"/>
              <w:spacing w:before="0" w:after="283"/>
              <w:jc w:val="right"/>
              <w:rPr/>
            </w:pPr>
            <w:r>
              <w:rPr/>
              <w:t> </w:t>
            </w:r>
          </w:p>
        </w:tc>
        <w:tc>
          <w:tcPr>
            <w:tcW w:w="98"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833"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r>
      <w:tr>
        <w:trPr/>
        <w:tc>
          <w:tcPr>
            <w:tcW w:w="2990" w:type="dxa"/>
            <w:tcBorders/>
            <w:vAlign w:val="bottom"/>
          </w:tcPr>
          <w:p>
            <w:pPr>
              <w:pStyle w:val="TableContents"/>
              <w:bidi w:val="0"/>
              <w:spacing w:before="0" w:after="0"/>
              <w:jc w:val="left"/>
              <w:rPr/>
            </w:pPr>
            <w:r>
              <w:rPr/>
              <w:t>Research and development</w:t>
            </w:r>
          </w:p>
        </w:tc>
        <w:tc>
          <w:tcPr>
            <w:tcW w:w="6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833" w:type="dxa"/>
            <w:tcBorders/>
            <w:vAlign w:val="bottom"/>
          </w:tcPr>
          <w:p>
            <w:pPr>
              <w:pStyle w:val="TableContents"/>
              <w:bidi w:val="0"/>
              <w:spacing w:before="0" w:after="0"/>
              <w:jc w:val="right"/>
              <w:rPr/>
            </w:pPr>
            <w:r>
              <w:rPr/>
              <w:t>35,890</w:t>
            </w:r>
          </w:p>
        </w:tc>
        <w:tc>
          <w:tcPr>
            <w:tcW w:w="98"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833" w:type="dxa"/>
            <w:tcBorders/>
            <w:vAlign w:val="bottom"/>
          </w:tcPr>
          <w:p>
            <w:pPr>
              <w:pStyle w:val="TableContents"/>
              <w:bidi w:val="0"/>
              <w:spacing w:before="0" w:after="0"/>
              <w:jc w:val="right"/>
              <w:rPr/>
            </w:pPr>
            <w:r>
              <w:rPr/>
              <w:t>36,237</w:t>
            </w:r>
          </w:p>
        </w:tc>
        <w:tc>
          <w:tcPr>
            <w:tcW w:w="95" w:type="dxa"/>
            <w:tcBorders/>
            <w:vAlign w:val="bottom"/>
          </w:tcPr>
          <w:p>
            <w:pPr>
              <w:pStyle w:val="TableContents"/>
              <w:bidi w:val="0"/>
              <w:spacing w:before="0" w:after="283"/>
              <w:jc w:val="left"/>
              <w:rPr/>
            </w:pPr>
            <w:r>
              <w:rPr/>
              <w:t> </w:t>
            </w:r>
          </w:p>
        </w:tc>
      </w:tr>
      <w:tr>
        <w:trPr/>
        <w:tc>
          <w:tcPr>
            <w:tcW w:w="2990" w:type="dxa"/>
            <w:tcBorders/>
            <w:shd w:fill="CCEEFF" w:val="clear"/>
            <w:vAlign w:val="bottom"/>
          </w:tcPr>
          <w:p>
            <w:pPr>
              <w:pStyle w:val="TableContents"/>
              <w:bidi w:val="0"/>
              <w:spacing w:before="0" w:after="0"/>
              <w:jc w:val="left"/>
              <w:rPr/>
            </w:pPr>
            <w:r>
              <w:rPr/>
              <w:t>Sales and marketing</w:t>
            </w:r>
          </w:p>
        </w:tc>
        <w:tc>
          <w:tcPr>
            <w:tcW w:w="6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833" w:type="dxa"/>
            <w:tcBorders/>
            <w:shd w:fill="CCEEFF" w:val="clear"/>
            <w:vAlign w:val="bottom"/>
          </w:tcPr>
          <w:p>
            <w:pPr>
              <w:pStyle w:val="TableContents"/>
              <w:bidi w:val="0"/>
              <w:spacing w:before="0" w:after="0"/>
              <w:jc w:val="right"/>
              <w:rPr/>
            </w:pPr>
            <w:r>
              <w:rPr/>
              <w:t>59,664</w:t>
            </w:r>
          </w:p>
        </w:tc>
        <w:tc>
          <w:tcPr>
            <w:tcW w:w="98"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833" w:type="dxa"/>
            <w:tcBorders/>
            <w:shd w:fill="CCEEFF" w:val="clear"/>
            <w:vAlign w:val="bottom"/>
          </w:tcPr>
          <w:p>
            <w:pPr>
              <w:pStyle w:val="TableContents"/>
              <w:bidi w:val="0"/>
              <w:spacing w:before="0" w:after="0"/>
              <w:jc w:val="right"/>
              <w:rPr/>
            </w:pPr>
            <w:r>
              <w:rPr/>
              <w:t>63,216</w:t>
            </w:r>
          </w:p>
        </w:tc>
        <w:tc>
          <w:tcPr>
            <w:tcW w:w="95" w:type="dxa"/>
            <w:tcBorders/>
            <w:shd w:fill="CCEEFF" w:val="clear"/>
            <w:vAlign w:val="bottom"/>
          </w:tcPr>
          <w:p>
            <w:pPr>
              <w:pStyle w:val="TableContents"/>
              <w:bidi w:val="0"/>
              <w:spacing w:before="0" w:after="283"/>
              <w:jc w:val="left"/>
              <w:rPr/>
            </w:pPr>
            <w:r>
              <w:rPr/>
              <w:t> </w:t>
            </w:r>
          </w:p>
        </w:tc>
      </w:tr>
      <w:tr>
        <w:trPr/>
        <w:tc>
          <w:tcPr>
            <w:tcW w:w="2990" w:type="dxa"/>
            <w:tcBorders/>
            <w:vAlign w:val="bottom"/>
          </w:tcPr>
          <w:p>
            <w:pPr>
              <w:pStyle w:val="TableContents"/>
              <w:bidi w:val="0"/>
              <w:spacing w:before="0" w:after="0"/>
              <w:jc w:val="left"/>
              <w:rPr/>
            </w:pPr>
            <w:r>
              <w:rPr/>
              <w:t>General and administrative</w:t>
            </w:r>
          </w:p>
        </w:tc>
        <w:tc>
          <w:tcPr>
            <w:tcW w:w="60" w:type="dxa"/>
            <w:tcBorders/>
            <w:vAlign w:val="bottom"/>
          </w:tcPr>
          <w:p>
            <w:pPr>
              <w:pStyle w:val="TableContents"/>
              <w:bidi w:val="0"/>
              <w:spacing w:before="0" w:after="283"/>
              <w:jc w:val="left"/>
              <w:rPr/>
            </w:pPr>
            <w:r>
              <w:rPr/>
              <w:t> </w:t>
            </w:r>
          </w:p>
        </w:tc>
        <w:tc>
          <w:tcPr>
            <w:tcW w:w="145" w:type="dxa"/>
            <w:tcBorders>
              <w:bottom w:val="single" w:sz="12" w:space="0" w:color="000000"/>
            </w:tcBorders>
            <w:tcMar>
              <w:bottom w:w="28" w:type="dxa"/>
            </w:tcMar>
            <w:vAlign w:val="bottom"/>
          </w:tcPr>
          <w:p>
            <w:pPr>
              <w:pStyle w:val="TableContents"/>
              <w:bidi w:val="0"/>
              <w:spacing w:before="0" w:after="283"/>
              <w:jc w:val="left"/>
              <w:rPr/>
            </w:pPr>
            <w:r>
              <w:rPr/>
              <w:t> </w:t>
            </w:r>
          </w:p>
        </w:tc>
        <w:tc>
          <w:tcPr>
            <w:tcW w:w="833" w:type="dxa"/>
            <w:tcBorders>
              <w:bottom w:val="single" w:sz="12" w:space="0" w:color="000000"/>
            </w:tcBorders>
            <w:tcMar>
              <w:bottom w:w="28" w:type="dxa"/>
            </w:tcMar>
            <w:vAlign w:val="bottom"/>
          </w:tcPr>
          <w:p>
            <w:pPr>
              <w:pStyle w:val="TableContents"/>
              <w:bidi w:val="0"/>
              <w:spacing w:before="0" w:after="0"/>
              <w:jc w:val="right"/>
              <w:rPr/>
            </w:pPr>
            <w:r>
              <w:rPr/>
              <w:t>23,839</w:t>
            </w:r>
          </w:p>
        </w:tc>
        <w:tc>
          <w:tcPr>
            <w:tcW w:w="98"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145" w:type="dxa"/>
            <w:tcBorders>
              <w:bottom w:val="single" w:sz="12" w:space="0" w:color="000000"/>
            </w:tcBorders>
            <w:tcMar>
              <w:bottom w:w="28" w:type="dxa"/>
            </w:tcMar>
            <w:vAlign w:val="bottom"/>
          </w:tcPr>
          <w:p>
            <w:pPr>
              <w:pStyle w:val="TableContents"/>
              <w:bidi w:val="0"/>
              <w:spacing w:before="0" w:after="283"/>
              <w:jc w:val="left"/>
              <w:rPr/>
            </w:pPr>
            <w:r>
              <w:rPr/>
              <w:t> </w:t>
            </w:r>
          </w:p>
        </w:tc>
        <w:tc>
          <w:tcPr>
            <w:tcW w:w="833" w:type="dxa"/>
            <w:tcBorders>
              <w:bottom w:val="single" w:sz="12" w:space="0" w:color="000000"/>
            </w:tcBorders>
            <w:tcMar>
              <w:bottom w:w="28" w:type="dxa"/>
            </w:tcMar>
            <w:vAlign w:val="bottom"/>
          </w:tcPr>
          <w:p>
            <w:pPr>
              <w:pStyle w:val="TableContents"/>
              <w:bidi w:val="0"/>
              <w:spacing w:before="0" w:after="0"/>
              <w:jc w:val="right"/>
              <w:rPr/>
            </w:pPr>
            <w:r>
              <w:rPr/>
              <w:t>24,685</w:t>
            </w:r>
          </w:p>
        </w:tc>
        <w:tc>
          <w:tcPr>
            <w:tcW w:w="95" w:type="dxa"/>
            <w:tcBorders/>
            <w:vAlign w:val="bottom"/>
          </w:tcPr>
          <w:p>
            <w:pPr>
              <w:pStyle w:val="TableContents"/>
              <w:bidi w:val="0"/>
              <w:spacing w:before="0" w:after="283"/>
              <w:jc w:val="left"/>
              <w:rPr/>
            </w:pPr>
            <w:r>
              <w:rPr/>
              <w:t> </w:t>
            </w:r>
          </w:p>
        </w:tc>
      </w:tr>
      <w:tr>
        <w:trPr/>
        <w:tc>
          <w:tcPr>
            <w:tcW w:w="2990" w:type="dxa"/>
            <w:tcBorders/>
            <w:shd w:fill="CCEEFF" w:val="clear"/>
            <w:vAlign w:val="bottom"/>
          </w:tcPr>
          <w:p>
            <w:pPr>
              <w:pStyle w:val="TableContents"/>
              <w:bidi w:val="0"/>
              <w:spacing w:before="0" w:after="0"/>
              <w:jc w:val="left"/>
              <w:rPr/>
            </w:pPr>
            <w:r>
              <w:rPr/>
              <w:t>Total operating expenses</w:t>
            </w:r>
          </w:p>
        </w:tc>
        <w:tc>
          <w:tcPr>
            <w:tcW w:w="60" w:type="dxa"/>
            <w:tcBorders/>
            <w:shd w:fill="CCEEFF" w:val="clear"/>
            <w:vAlign w:val="bottom"/>
          </w:tcPr>
          <w:p>
            <w:pPr>
              <w:pStyle w:val="TableContents"/>
              <w:bidi w:val="0"/>
              <w:spacing w:before="0" w:after="283"/>
              <w:jc w:val="left"/>
              <w:rPr/>
            </w:pPr>
            <w:r>
              <w:rPr/>
              <w:t> </w:t>
            </w:r>
          </w:p>
        </w:tc>
        <w:tc>
          <w:tcPr>
            <w:tcW w:w="14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33" w:type="dxa"/>
            <w:tcBorders>
              <w:bottom w:val="single" w:sz="12" w:space="0" w:color="000000"/>
            </w:tcBorders>
            <w:shd w:fill="CCEEFF" w:val="clear"/>
            <w:tcMar>
              <w:bottom w:w="28" w:type="dxa"/>
            </w:tcMar>
            <w:vAlign w:val="bottom"/>
          </w:tcPr>
          <w:p>
            <w:pPr>
              <w:pStyle w:val="TableContents"/>
              <w:bidi w:val="0"/>
              <w:spacing w:before="0" w:after="0"/>
              <w:jc w:val="right"/>
              <w:rPr/>
            </w:pPr>
            <w:r>
              <w:rPr/>
              <w:t>119,393</w:t>
            </w:r>
          </w:p>
        </w:tc>
        <w:tc>
          <w:tcPr>
            <w:tcW w:w="98"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14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33" w:type="dxa"/>
            <w:tcBorders>
              <w:bottom w:val="single" w:sz="12" w:space="0" w:color="000000"/>
            </w:tcBorders>
            <w:shd w:fill="CCEEFF" w:val="clear"/>
            <w:tcMar>
              <w:bottom w:w="28" w:type="dxa"/>
            </w:tcMar>
            <w:vAlign w:val="bottom"/>
          </w:tcPr>
          <w:p>
            <w:pPr>
              <w:pStyle w:val="TableContents"/>
              <w:bidi w:val="0"/>
              <w:spacing w:before="0" w:after="0"/>
              <w:jc w:val="right"/>
              <w:rPr/>
            </w:pPr>
            <w:r>
              <w:rPr/>
              <w:t>124,138</w:t>
            </w:r>
          </w:p>
        </w:tc>
        <w:tc>
          <w:tcPr>
            <w:tcW w:w="95" w:type="dxa"/>
            <w:tcBorders/>
            <w:shd w:fill="CCEEFF" w:val="clear"/>
            <w:vAlign w:val="bottom"/>
          </w:tcPr>
          <w:p>
            <w:pPr>
              <w:pStyle w:val="TableContents"/>
              <w:bidi w:val="0"/>
              <w:spacing w:before="0" w:after="283"/>
              <w:jc w:val="left"/>
              <w:rPr/>
            </w:pPr>
            <w:r>
              <w:rPr/>
              <w:t> </w:t>
            </w:r>
          </w:p>
        </w:tc>
      </w:tr>
      <w:tr>
        <w:trPr/>
        <w:tc>
          <w:tcPr>
            <w:tcW w:w="2990" w:type="dxa"/>
            <w:tcBorders/>
            <w:vAlign w:val="bottom"/>
          </w:tcPr>
          <w:p>
            <w:pPr>
              <w:pStyle w:val="TableContents"/>
              <w:bidi w:val="0"/>
              <w:spacing w:before="0" w:after="0"/>
              <w:jc w:val="left"/>
              <w:rPr/>
            </w:pPr>
            <w:r>
              <w:rPr/>
              <w:t>Operating loss</w:t>
            </w:r>
          </w:p>
        </w:tc>
        <w:tc>
          <w:tcPr>
            <w:tcW w:w="6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833" w:type="dxa"/>
            <w:tcBorders/>
            <w:vAlign w:val="bottom"/>
          </w:tcPr>
          <w:p>
            <w:pPr>
              <w:pStyle w:val="TableContents"/>
              <w:bidi w:val="0"/>
              <w:spacing w:before="0" w:after="0"/>
              <w:jc w:val="right"/>
              <w:rPr/>
            </w:pPr>
            <w:r>
              <w:rPr/>
              <w:t>(18,734</w:t>
            </w:r>
          </w:p>
        </w:tc>
        <w:tc>
          <w:tcPr>
            <w:tcW w:w="98" w:type="dxa"/>
            <w:tcBorders/>
            <w:vAlign w:val="bottom"/>
          </w:tcPr>
          <w:p>
            <w:pPr>
              <w:pStyle w:val="TableContents"/>
              <w:bidi w:val="0"/>
              <w:spacing w:before="0" w:after="0"/>
              <w:jc w:val="left"/>
              <w:rPr/>
            </w:pPr>
            <w:r>
              <w:rPr/>
              <w:t>)</w:t>
            </w:r>
          </w:p>
        </w:tc>
        <w:tc>
          <w:tcPr>
            <w:tcW w:w="62"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833" w:type="dxa"/>
            <w:tcBorders/>
            <w:vAlign w:val="bottom"/>
          </w:tcPr>
          <w:p>
            <w:pPr>
              <w:pStyle w:val="TableContents"/>
              <w:bidi w:val="0"/>
              <w:spacing w:before="0" w:after="0"/>
              <w:jc w:val="right"/>
              <w:rPr/>
            </w:pPr>
            <w:r>
              <w:rPr/>
              <w:t>(21,450</w:t>
            </w:r>
          </w:p>
        </w:tc>
        <w:tc>
          <w:tcPr>
            <w:tcW w:w="95" w:type="dxa"/>
            <w:tcBorders/>
            <w:vAlign w:val="bottom"/>
          </w:tcPr>
          <w:p>
            <w:pPr>
              <w:pStyle w:val="TableContents"/>
              <w:bidi w:val="0"/>
              <w:spacing w:before="0" w:after="0"/>
              <w:jc w:val="left"/>
              <w:rPr/>
            </w:pPr>
            <w:r>
              <w:rPr/>
              <w:t>)</w:t>
            </w:r>
          </w:p>
        </w:tc>
      </w:tr>
      <w:tr>
        <w:trPr/>
        <w:tc>
          <w:tcPr>
            <w:tcW w:w="2990" w:type="dxa"/>
            <w:tcBorders/>
            <w:shd w:fill="CCEEFF" w:val="clear"/>
            <w:vAlign w:val="bottom"/>
          </w:tcPr>
          <w:p>
            <w:pPr>
              <w:pStyle w:val="TableContents"/>
              <w:bidi w:val="0"/>
              <w:spacing w:before="0" w:after="0"/>
              <w:jc w:val="left"/>
              <w:rPr/>
            </w:pPr>
            <w:r>
              <w:rPr/>
              <w:t>Finance income (expenses), net</w:t>
            </w:r>
          </w:p>
        </w:tc>
        <w:tc>
          <w:tcPr>
            <w:tcW w:w="60" w:type="dxa"/>
            <w:tcBorders/>
            <w:shd w:fill="CCEEFF" w:val="clear"/>
            <w:vAlign w:val="bottom"/>
          </w:tcPr>
          <w:p>
            <w:pPr>
              <w:pStyle w:val="TableContents"/>
              <w:bidi w:val="0"/>
              <w:spacing w:before="0" w:after="283"/>
              <w:jc w:val="left"/>
              <w:rPr/>
            </w:pPr>
            <w:r>
              <w:rPr/>
              <w:t> </w:t>
            </w:r>
          </w:p>
        </w:tc>
        <w:tc>
          <w:tcPr>
            <w:tcW w:w="14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33" w:type="dxa"/>
            <w:tcBorders>
              <w:bottom w:val="single" w:sz="12" w:space="0" w:color="000000"/>
            </w:tcBorders>
            <w:shd w:fill="CCEEFF" w:val="clear"/>
            <w:tcMar>
              <w:bottom w:w="28" w:type="dxa"/>
            </w:tcMar>
            <w:vAlign w:val="bottom"/>
          </w:tcPr>
          <w:p>
            <w:pPr>
              <w:pStyle w:val="TableContents"/>
              <w:bidi w:val="0"/>
              <w:spacing w:before="0" w:after="0"/>
              <w:jc w:val="right"/>
              <w:rPr/>
            </w:pPr>
            <w:r>
              <w:rPr/>
              <w:t>(4,402</w:t>
            </w:r>
          </w:p>
        </w:tc>
        <w:tc>
          <w:tcPr>
            <w:tcW w:w="98" w:type="dxa"/>
            <w:tcBorders/>
            <w:shd w:fill="CCEEFF" w:val="clear"/>
            <w:vAlign w:val="bottom"/>
          </w:tcPr>
          <w:p>
            <w:pPr>
              <w:pStyle w:val="TableContents"/>
              <w:bidi w:val="0"/>
              <w:spacing w:before="0" w:after="0"/>
              <w:jc w:val="left"/>
              <w:rPr/>
            </w:pPr>
            <w:r>
              <w:rPr/>
              <w:t>)</w:t>
            </w:r>
          </w:p>
        </w:tc>
        <w:tc>
          <w:tcPr>
            <w:tcW w:w="62" w:type="dxa"/>
            <w:tcBorders/>
            <w:shd w:fill="CCEEFF" w:val="clear"/>
            <w:vAlign w:val="bottom"/>
          </w:tcPr>
          <w:p>
            <w:pPr>
              <w:pStyle w:val="TableContents"/>
              <w:bidi w:val="0"/>
              <w:spacing w:before="0" w:after="283"/>
              <w:jc w:val="left"/>
              <w:rPr/>
            </w:pPr>
            <w:r>
              <w:rPr/>
              <w:t> </w:t>
            </w:r>
          </w:p>
        </w:tc>
        <w:tc>
          <w:tcPr>
            <w:tcW w:w="14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33" w:type="dxa"/>
            <w:tcBorders>
              <w:bottom w:val="single" w:sz="12" w:space="0" w:color="000000"/>
            </w:tcBorders>
            <w:shd w:fill="CCEEFF" w:val="clear"/>
            <w:tcMar>
              <w:bottom w:w="28" w:type="dxa"/>
            </w:tcMar>
            <w:vAlign w:val="bottom"/>
          </w:tcPr>
          <w:p>
            <w:pPr>
              <w:pStyle w:val="TableContents"/>
              <w:bidi w:val="0"/>
              <w:spacing w:before="0" w:after="0"/>
              <w:jc w:val="right"/>
              <w:rPr/>
            </w:pPr>
            <w:r>
              <w:rPr/>
              <w:t>(3,570</w:t>
            </w:r>
          </w:p>
        </w:tc>
        <w:tc>
          <w:tcPr>
            <w:tcW w:w="95" w:type="dxa"/>
            <w:tcBorders/>
            <w:shd w:fill="CCEEFF" w:val="clear"/>
            <w:vAlign w:val="bottom"/>
          </w:tcPr>
          <w:p>
            <w:pPr>
              <w:pStyle w:val="TableContents"/>
              <w:bidi w:val="0"/>
              <w:spacing w:before="0" w:after="0"/>
              <w:jc w:val="left"/>
              <w:rPr/>
            </w:pPr>
            <w:r>
              <w:rPr/>
              <w:t>)</w:t>
            </w:r>
          </w:p>
        </w:tc>
      </w:tr>
      <w:tr>
        <w:trPr/>
        <w:tc>
          <w:tcPr>
            <w:tcW w:w="2990" w:type="dxa"/>
            <w:tcBorders/>
            <w:vAlign w:val="bottom"/>
          </w:tcPr>
          <w:p>
            <w:pPr>
              <w:pStyle w:val="TableContents"/>
              <w:bidi w:val="0"/>
              <w:spacing w:before="0" w:after="0"/>
              <w:jc w:val="left"/>
              <w:rPr/>
            </w:pPr>
            <w:r>
              <w:rPr/>
              <w:t>Loss before income taxes</w:t>
            </w:r>
          </w:p>
        </w:tc>
        <w:tc>
          <w:tcPr>
            <w:tcW w:w="6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833" w:type="dxa"/>
            <w:tcBorders/>
            <w:vAlign w:val="bottom"/>
          </w:tcPr>
          <w:p>
            <w:pPr>
              <w:pStyle w:val="TableContents"/>
              <w:bidi w:val="0"/>
              <w:spacing w:before="0" w:after="0"/>
              <w:jc w:val="right"/>
              <w:rPr/>
            </w:pPr>
            <w:r>
              <w:rPr/>
              <w:t>(23,136</w:t>
            </w:r>
          </w:p>
        </w:tc>
        <w:tc>
          <w:tcPr>
            <w:tcW w:w="98" w:type="dxa"/>
            <w:tcBorders/>
            <w:vAlign w:val="bottom"/>
          </w:tcPr>
          <w:p>
            <w:pPr>
              <w:pStyle w:val="TableContents"/>
              <w:bidi w:val="0"/>
              <w:spacing w:before="0" w:after="0"/>
              <w:jc w:val="left"/>
              <w:rPr/>
            </w:pPr>
            <w:r>
              <w:rPr/>
              <w:t>)</w:t>
            </w:r>
          </w:p>
        </w:tc>
        <w:tc>
          <w:tcPr>
            <w:tcW w:w="62"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833" w:type="dxa"/>
            <w:tcBorders/>
            <w:vAlign w:val="bottom"/>
          </w:tcPr>
          <w:p>
            <w:pPr>
              <w:pStyle w:val="TableContents"/>
              <w:bidi w:val="0"/>
              <w:spacing w:before="0" w:after="0"/>
              <w:jc w:val="right"/>
              <w:rPr/>
            </w:pPr>
            <w:r>
              <w:rPr/>
              <w:t>(25,020</w:t>
            </w:r>
          </w:p>
        </w:tc>
        <w:tc>
          <w:tcPr>
            <w:tcW w:w="95" w:type="dxa"/>
            <w:tcBorders/>
            <w:vAlign w:val="bottom"/>
          </w:tcPr>
          <w:p>
            <w:pPr>
              <w:pStyle w:val="TableContents"/>
              <w:bidi w:val="0"/>
              <w:spacing w:before="0" w:after="0"/>
              <w:jc w:val="left"/>
              <w:rPr/>
            </w:pPr>
            <w:r>
              <w:rPr/>
              <w:t>)</w:t>
            </w:r>
          </w:p>
        </w:tc>
      </w:tr>
      <w:tr>
        <w:trPr/>
        <w:tc>
          <w:tcPr>
            <w:tcW w:w="2990" w:type="dxa"/>
            <w:tcBorders/>
            <w:shd w:fill="CCEEFF" w:val="clear"/>
            <w:vAlign w:val="bottom"/>
          </w:tcPr>
          <w:p>
            <w:pPr>
              <w:pStyle w:val="TableContents"/>
              <w:bidi w:val="0"/>
              <w:spacing w:before="0" w:after="0"/>
              <w:jc w:val="left"/>
              <w:rPr/>
            </w:pPr>
            <w:r>
              <w:rPr/>
              <w:t>Income tax expenses</w:t>
            </w:r>
          </w:p>
        </w:tc>
        <w:tc>
          <w:tcPr>
            <w:tcW w:w="60" w:type="dxa"/>
            <w:tcBorders/>
            <w:shd w:fill="CCEEFF" w:val="clear"/>
            <w:vAlign w:val="bottom"/>
          </w:tcPr>
          <w:p>
            <w:pPr>
              <w:pStyle w:val="TableContents"/>
              <w:bidi w:val="0"/>
              <w:spacing w:before="0" w:after="283"/>
              <w:jc w:val="left"/>
              <w:rPr/>
            </w:pPr>
            <w:r>
              <w:rPr/>
              <w:t> </w:t>
            </w:r>
          </w:p>
        </w:tc>
        <w:tc>
          <w:tcPr>
            <w:tcW w:w="14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33" w:type="dxa"/>
            <w:tcBorders>
              <w:bottom w:val="single" w:sz="12" w:space="0" w:color="000000"/>
            </w:tcBorders>
            <w:shd w:fill="CCEEFF" w:val="clear"/>
            <w:tcMar>
              <w:bottom w:w="28" w:type="dxa"/>
            </w:tcMar>
            <w:vAlign w:val="bottom"/>
          </w:tcPr>
          <w:p>
            <w:pPr>
              <w:pStyle w:val="TableContents"/>
              <w:bidi w:val="0"/>
              <w:spacing w:before="0" w:after="0"/>
              <w:jc w:val="right"/>
              <w:rPr/>
            </w:pPr>
            <w:r>
              <w:rPr/>
              <w:t>—</w:t>
            </w:r>
          </w:p>
        </w:tc>
        <w:tc>
          <w:tcPr>
            <w:tcW w:w="98"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14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33" w:type="dxa"/>
            <w:tcBorders>
              <w:bottom w:val="single" w:sz="12" w:space="0" w:color="000000"/>
            </w:tcBorders>
            <w:shd w:fill="CCEEFF" w:val="clear"/>
            <w:tcMar>
              <w:bottom w:w="28" w:type="dxa"/>
            </w:tcMar>
            <w:vAlign w:val="bottom"/>
          </w:tcPr>
          <w:p>
            <w:pPr>
              <w:pStyle w:val="TableContents"/>
              <w:bidi w:val="0"/>
              <w:spacing w:before="0" w:after="0"/>
              <w:jc w:val="right"/>
              <w:rPr/>
            </w:pPr>
            <w:r>
              <w:rPr/>
              <w:t>(1,006</w:t>
            </w:r>
          </w:p>
        </w:tc>
        <w:tc>
          <w:tcPr>
            <w:tcW w:w="95" w:type="dxa"/>
            <w:tcBorders/>
            <w:shd w:fill="CCEEFF" w:val="clear"/>
            <w:vAlign w:val="bottom"/>
          </w:tcPr>
          <w:p>
            <w:pPr>
              <w:pStyle w:val="TableContents"/>
              <w:bidi w:val="0"/>
              <w:spacing w:before="0" w:after="0"/>
              <w:jc w:val="left"/>
              <w:rPr/>
            </w:pPr>
            <w:r>
              <w:rPr/>
              <w:t>)</w:t>
            </w:r>
          </w:p>
        </w:tc>
      </w:tr>
      <w:tr>
        <w:trPr/>
        <w:tc>
          <w:tcPr>
            <w:tcW w:w="2990" w:type="dxa"/>
            <w:tcBorders/>
            <w:vAlign w:val="bottom"/>
          </w:tcPr>
          <w:p>
            <w:pPr>
              <w:pStyle w:val="TableContents"/>
              <w:bidi w:val="0"/>
              <w:spacing w:before="0" w:after="0"/>
              <w:jc w:val="left"/>
              <w:rPr>
                <w:b/>
              </w:rPr>
            </w:pPr>
            <w:r>
              <w:rPr>
                <w:b/>
              </w:rPr>
              <w:t>Net loss</w:t>
            </w:r>
          </w:p>
        </w:tc>
        <w:tc>
          <w:tcPr>
            <w:tcW w:w="60" w:type="dxa"/>
            <w:tcBorders/>
            <w:vAlign w:val="bottom"/>
          </w:tcPr>
          <w:p>
            <w:pPr>
              <w:pStyle w:val="TableContents"/>
              <w:bidi w:val="0"/>
              <w:spacing w:before="0" w:after="283"/>
              <w:jc w:val="left"/>
              <w:rPr/>
            </w:pPr>
            <w:r>
              <w:rPr/>
              <w:t> </w:t>
            </w:r>
          </w:p>
        </w:tc>
        <w:tc>
          <w:tcPr>
            <w:tcW w:w="145" w:type="dxa"/>
            <w:tcBorders>
              <w:bottom w:val="single" w:sz="12" w:space="0" w:color="000000"/>
            </w:tcBorders>
            <w:tcMar>
              <w:bottom w:w="28" w:type="dxa"/>
            </w:tcMar>
            <w:vAlign w:val="bottom"/>
          </w:tcPr>
          <w:p>
            <w:pPr>
              <w:pStyle w:val="TableContents"/>
              <w:bidi w:val="0"/>
              <w:spacing w:before="0" w:after="0"/>
              <w:jc w:val="left"/>
              <w:rPr>
                <w:b/>
              </w:rPr>
            </w:pPr>
            <w:r>
              <w:rPr>
                <w:b/>
              </w:rPr>
              <w:t>$</w:t>
            </w:r>
          </w:p>
        </w:tc>
        <w:tc>
          <w:tcPr>
            <w:tcW w:w="833" w:type="dxa"/>
            <w:tcBorders>
              <w:bottom w:val="single" w:sz="12" w:space="0" w:color="000000"/>
            </w:tcBorders>
            <w:tcMar>
              <w:bottom w:w="28" w:type="dxa"/>
            </w:tcMar>
            <w:vAlign w:val="bottom"/>
          </w:tcPr>
          <w:p>
            <w:pPr>
              <w:pStyle w:val="TableContents"/>
              <w:bidi w:val="0"/>
              <w:spacing w:before="0" w:after="0"/>
              <w:jc w:val="right"/>
              <w:rPr>
                <w:b/>
              </w:rPr>
            </w:pPr>
            <w:r>
              <w:rPr>
                <w:b/>
              </w:rPr>
              <w:t>(23,136</w:t>
            </w:r>
          </w:p>
        </w:tc>
        <w:tc>
          <w:tcPr>
            <w:tcW w:w="98" w:type="dxa"/>
            <w:tcBorders/>
            <w:vAlign w:val="bottom"/>
          </w:tcPr>
          <w:p>
            <w:pPr>
              <w:pStyle w:val="TableContents"/>
              <w:bidi w:val="0"/>
              <w:spacing w:before="0" w:after="0"/>
              <w:jc w:val="left"/>
              <w:rPr>
                <w:b/>
              </w:rPr>
            </w:pPr>
            <w:r>
              <w:rPr>
                <w:b/>
              </w:rPr>
              <w:t>)</w:t>
            </w:r>
          </w:p>
        </w:tc>
        <w:tc>
          <w:tcPr>
            <w:tcW w:w="62" w:type="dxa"/>
            <w:tcBorders/>
            <w:vAlign w:val="bottom"/>
          </w:tcPr>
          <w:p>
            <w:pPr>
              <w:pStyle w:val="TableContents"/>
              <w:bidi w:val="0"/>
              <w:spacing w:before="0" w:after="283"/>
              <w:jc w:val="left"/>
              <w:rPr/>
            </w:pPr>
            <w:r>
              <w:rPr/>
              <w:t> </w:t>
            </w:r>
          </w:p>
        </w:tc>
        <w:tc>
          <w:tcPr>
            <w:tcW w:w="145" w:type="dxa"/>
            <w:tcBorders>
              <w:bottom w:val="single" w:sz="12" w:space="0" w:color="000000"/>
            </w:tcBorders>
            <w:tcMar>
              <w:bottom w:w="28" w:type="dxa"/>
            </w:tcMar>
            <w:vAlign w:val="bottom"/>
          </w:tcPr>
          <w:p>
            <w:pPr>
              <w:pStyle w:val="TableContents"/>
              <w:bidi w:val="0"/>
              <w:spacing w:before="0" w:after="0"/>
              <w:jc w:val="left"/>
              <w:rPr>
                <w:b/>
              </w:rPr>
            </w:pPr>
            <w:r>
              <w:rPr>
                <w:b/>
              </w:rPr>
              <w:t>$</w:t>
            </w:r>
          </w:p>
        </w:tc>
        <w:tc>
          <w:tcPr>
            <w:tcW w:w="833" w:type="dxa"/>
            <w:tcBorders>
              <w:bottom w:val="single" w:sz="12" w:space="0" w:color="000000"/>
            </w:tcBorders>
            <w:tcMar>
              <w:bottom w:w="28" w:type="dxa"/>
            </w:tcMar>
            <w:vAlign w:val="bottom"/>
          </w:tcPr>
          <w:p>
            <w:pPr>
              <w:pStyle w:val="TableContents"/>
              <w:bidi w:val="0"/>
              <w:spacing w:before="0" w:after="0"/>
              <w:jc w:val="right"/>
              <w:rPr>
                <w:b/>
              </w:rPr>
            </w:pPr>
            <w:r>
              <w:rPr>
                <w:b/>
              </w:rPr>
              <w:t>(26,026</w:t>
            </w:r>
          </w:p>
        </w:tc>
        <w:tc>
          <w:tcPr>
            <w:tcW w:w="95" w:type="dxa"/>
            <w:tcBorders/>
            <w:vAlign w:val="bottom"/>
          </w:tcPr>
          <w:p>
            <w:pPr>
              <w:pStyle w:val="TableContents"/>
              <w:bidi w:val="0"/>
              <w:spacing w:before="0" w:after="0"/>
              <w:jc w:val="left"/>
              <w:rPr>
                <w:b/>
              </w:rPr>
            </w:pPr>
            <w:r>
              <w:rPr>
                <w:b/>
              </w:rPr>
              <w:t>)</w:t>
            </w:r>
          </w:p>
        </w:tc>
      </w:tr>
    </w:tbl>
    <w:p>
      <w:pPr>
        <w:pStyle w:val="TextBody"/>
        <w:bidi w:val="0"/>
        <w:spacing w:before="0" w:after="0"/>
        <w:jc w:val="left"/>
        <w:rPr/>
      </w:pPr>
      <w:r>
        <w:rPr/>
      </w:r>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Comparison of the three months ended September 30, 2023 and 2022</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Revenues increased by $27.8 million, or 8.3%, for the three months ended September 30, 2023 compared to the three months ended September 30, 2022. New digital property partners contributed approximately $52.5 million of new Revenues on a 12-month run rate basis calculated based on their first full month on the network. Existing digital property partners, including the growth of new digital property partners (beyond the revenue contribution determined based on the run-rate revenue generated by the partners when they are first on-boarded) decreased by approximately $24.7 million. This decrease was primarily driven by a decline in advertiser rates during 2022, partially mitigated by gains in our Bidding and eCommerce businesses.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Gross profit decreased by $2.0 million, or 2.0%, for the three months ended September 30, 2023 compared to the three months ended September 30, 2022.</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Ex-TAC Gross Profit, a non-GAAP measure, decreased by $0.9 million, or 0.7%, for the three months ended September 30, 2023 compared to the three months ended September 30, 2022, primarily due to a decrease in existing digital property partners. This decrease was primarily driven by lower ex-TAC Gross Profit margins primarily caused by yield compression that occurred in 2022.</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Cost of revenues increased by $29.8 million, or 13.0%, for the three months ended September 30, 2023 compared to the three months ended September 30, 2022.</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Traffic acquisition cost increased by $28.7 million, or 14.1%, for the three months ended September 30, 2023 compared to the three months ended September 30, 2022.</w:t>
      </w:r>
    </w:p>
    <w:p>
      <w:pPr>
        <w:pStyle w:val="TextBody"/>
        <w:bidi w:val="0"/>
        <w:spacing w:before="0" w:after="0"/>
        <w:jc w:val="left"/>
        <w:rPr>
          <w:color w:val="000000"/>
          <w:shd w:fill="FFFFFF" w:val="clear"/>
        </w:rPr>
      </w:pPr>
      <w:r>
        <w:rPr>
          <w:color w:val="000000"/>
          <w:shd w:fill="FFFFFF" w:val="clear"/>
        </w:rPr>
        <w:t> </w:t>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41</w:t>
      </w:r>
    </w:p>
    <w:p>
      <w:pPr>
        <w:pStyle w:val="HorizontalLine"/>
        <w:bidi w:val="0"/>
        <w:spacing w:before="200" w:after="200"/>
        <w:jc w:val="left"/>
        <w:rPr/>
      </w:pPr>
      <w:r>
        <w:rPr/>
      </w:r>
    </w:p>
    <w:p>
      <w:pPr>
        <w:pStyle w:val="TextBody"/>
        <w:bidi w:val="0"/>
        <w:spacing w:before="200" w:after="200"/>
        <w:jc w:val="left"/>
        <w:rPr/>
      </w:pPr>
      <w:hyperlink w:anchor="Contents">
        <w:r>
          <w:rPr>
            <w:rStyle w:val="InternetLink"/>
            <w:rFonts w:ascii="Times New Roman" w:hAnsi="Times New Roman"/>
            <w:i/>
            <w:color w:val="000000"/>
            <w:sz w:val="16"/>
            <w:shd w:fill="FFFFFF" w:val="clear"/>
          </w:rPr>
          <w:t>Table of Contents</w:t>
        </w:r>
      </w:hyperlink>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Traffic acquisition cost increased at a rate higher than revenue primarily due to a mix shift to lower margin digital properties and decreased yield on digital properties with guarantee obligations.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cost of guarantees (total payments due under guarantee arrangements in excess of amounts the Company would otherwise be required to pay under revenue sharing arrangements) as a percentage of traffic acquisition costs were approximately 20% and 12% for the three months ended September 30, 2023 and September 30, 2022, respectively.</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Other cost of revenues increased by $1.1 million, or 4.2%, for the three months ended September 30, 2023 compared to the three months ended September 30, 2022, primarily as a result of a $3.3 million increase in depreciation and hosting expenses partially offset by $1.2 million decrease in employee related costs including share-based compensation expenses.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We have continued to maintain cost discipline since our restructuring in 2022. Research and development expenses decreased by $0.4 million, or 1.0%, for the three months ended September 30, 2023 compared to the three months ended September 30, 2022 primarily attributable to $2.2 million decrease in employee and subcontractors related costs, including share-based compensation expenses, partially offset by an increase in of $1.3 million in expenses related to Yahoo commercial agreement and $0.7 million of communication and IT related expenses.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Sales and marketing expenses decreased by $3.6 million, or 5.6%, for the three months ended September 30, 2023 compared to the three months ended September 30, 2022. The decrease is attributed to a decrease of $3.1 million in employee and subcontractors related costs including share-based compensation expenses.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General and administrative expenses decreased by $0.8 million, or 3.4%, for the three months ended September 30, 2023 compared to the three months ended September 30, 2022, a result of an increase of $1.9 million in credit losses expenses offset by a decrease of $0.5 million in employee and subcontractors related costs including share-based compensation expenses, $0.7 million decrease in legal consultants expenses related to regulatory matters and $0.6 million decrease in insurance expenses.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Finance income (expenses), net decreased by $0.8 million for the three months ended September 30, 2023 compared to the three months ended September 30, 2022, mainly attributable to $1.2 million Warrants liability devaluation and an increase of $0.7 million related to interest expenses.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Income tax expense decreased by $1.0 million for the three months ended September 30, 2023 compared to the three months ended September 30, 2022.</w:t>
      </w:r>
    </w:p>
    <w:p>
      <w:pPr>
        <w:pStyle w:val="TextBody"/>
        <w:bidi w:val="0"/>
        <w:spacing w:before="0" w:after="0"/>
        <w:jc w:val="left"/>
        <w:rPr>
          <w:color w:val="000000"/>
          <w:shd w:fill="FFFFFF" w:val="clear"/>
        </w:rPr>
      </w:pPr>
      <w:r>
        <w:rPr>
          <w:color w:val="000000"/>
          <w:shd w:fill="FFFFFF" w:val="clear"/>
        </w:rPr>
        <w:t> </w:t>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42</w:t>
      </w:r>
    </w:p>
    <w:p>
      <w:pPr>
        <w:pStyle w:val="HorizontalLine"/>
        <w:bidi w:val="0"/>
        <w:spacing w:before="200" w:after="200"/>
        <w:jc w:val="left"/>
        <w:rPr/>
      </w:pPr>
      <w:r>
        <w:rPr/>
      </w:r>
    </w:p>
    <w:p>
      <w:pPr>
        <w:pStyle w:val="TextBody"/>
        <w:bidi w:val="0"/>
        <w:spacing w:before="200" w:after="200"/>
        <w:jc w:val="left"/>
        <w:rPr/>
      </w:pPr>
      <w:hyperlink w:anchor="Contents">
        <w:r>
          <w:rPr>
            <w:rStyle w:val="InternetLink"/>
            <w:rFonts w:ascii="Times New Roman" w:hAnsi="Times New Roman"/>
            <w:i/>
            <w:color w:val="000000"/>
            <w:sz w:val="16"/>
            <w:shd w:fill="FFFFFF" w:val="clear"/>
          </w:rPr>
          <w:t>Table of Contents</w:t>
        </w:r>
      </w:hyperlink>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following table provides consolidated statements of loss data for the periods indicated (dollars in thousands):</w:t>
      </w:r>
    </w:p>
    <w:p>
      <w:pPr>
        <w:pStyle w:val="TextBody"/>
        <w:bidi w:val="0"/>
        <w:spacing w:before="0" w:after="0"/>
        <w:jc w:val="both"/>
        <w:rPr/>
      </w:pPr>
      <w:r>
        <w:rPr/>
      </w:r>
    </w:p>
    <w:tbl>
      <w:tblPr>
        <w:tblW w:w="5885" w:type="dxa"/>
        <w:jc w:val="left"/>
        <w:tblInd w:w="0" w:type="dxa"/>
        <w:tblLayout w:type="fixed"/>
        <w:tblCellMar>
          <w:top w:w="0" w:type="dxa"/>
          <w:left w:w="0" w:type="dxa"/>
          <w:bottom w:w="0" w:type="dxa"/>
          <w:right w:w="0" w:type="dxa"/>
        </w:tblCellMar>
      </w:tblPr>
      <w:tblGrid>
        <w:gridCol w:w="3335"/>
        <w:gridCol w:w="60"/>
        <w:gridCol w:w="140"/>
        <w:gridCol w:w="980"/>
        <w:gridCol w:w="95"/>
        <w:gridCol w:w="60"/>
        <w:gridCol w:w="140"/>
        <w:gridCol w:w="980"/>
        <w:gridCol w:w="95"/>
      </w:tblGrid>
      <w:tr>
        <w:trPr/>
        <w:tc>
          <w:tcPr>
            <w:tcW w:w="333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95" w:type="dxa"/>
            <w:gridSpan w:val="6"/>
            <w:tcBorders>
              <w:bottom w:val="single" w:sz="12" w:space="0" w:color="000000"/>
            </w:tcBorders>
            <w:tcMar>
              <w:bottom w:w="28" w:type="dxa"/>
            </w:tcMar>
            <w:vAlign w:val="bottom"/>
          </w:tcPr>
          <w:p>
            <w:pPr>
              <w:pStyle w:val="TableContents"/>
              <w:bidi w:val="0"/>
              <w:spacing w:before="0" w:after="0"/>
              <w:jc w:val="center"/>
              <w:rPr>
                <w:b/>
              </w:rPr>
            </w:pPr>
            <w:r>
              <w:rPr>
                <w:b/>
              </w:rPr>
              <w:t>Nine months ended</w:t>
            </w:r>
          </w:p>
          <w:p>
            <w:pPr>
              <w:pStyle w:val="TableContents"/>
              <w:bidi w:val="0"/>
              <w:spacing w:before="0" w:after="0"/>
              <w:jc w:val="center"/>
              <w:rPr>
                <w:b/>
              </w:rPr>
            </w:pPr>
            <w:r>
              <w:rPr>
                <w:b/>
              </w:rPr>
              <w:t>September 30,</w:t>
            </w:r>
          </w:p>
        </w:tc>
        <w:tc>
          <w:tcPr>
            <w:tcW w:w="95" w:type="dxa"/>
            <w:tcBorders/>
            <w:vAlign w:val="bottom"/>
          </w:tcPr>
          <w:p>
            <w:pPr>
              <w:pStyle w:val="TableContents"/>
              <w:bidi w:val="0"/>
              <w:spacing w:before="0" w:after="283"/>
              <w:jc w:val="left"/>
              <w:rPr/>
            </w:pPr>
            <w:r>
              <w:rPr/>
              <w:t> </w:t>
            </w:r>
          </w:p>
        </w:tc>
      </w:tr>
      <w:tr>
        <w:trPr/>
        <w:tc>
          <w:tcPr>
            <w:tcW w:w="333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0"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2023</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0"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2022</w:t>
            </w:r>
          </w:p>
        </w:tc>
        <w:tc>
          <w:tcPr>
            <w:tcW w:w="95" w:type="dxa"/>
            <w:tcBorders/>
            <w:vAlign w:val="bottom"/>
          </w:tcPr>
          <w:p>
            <w:pPr>
              <w:pStyle w:val="TableContents"/>
              <w:bidi w:val="0"/>
              <w:spacing w:before="0" w:after="283"/>
              <w:jc w:val="left"/>
              <w:rPr/>
            </w:pPr>
            <w:r>
              <w:rPr/>
              <w:t> </w:t>
            </w:r>
          </w:p>
        </w:tc>
      </w:tr>
      <w:tr>
        <w:trPr/>
        <w:tc>
          <w:tcPr>
            <w:tcW w:w="333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0" w:type="dxa"/>
            <w:gridSpan w:val="2"/>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0" w:type="dxa"/>
            <w:gridSpan w:val="2"/>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r>
      <w:tr>
        <w:trPr/>
        <w:tc>
          <w:tcPr>
            <w:tcW w:w="3335" w:type="dxa"/>
            <w:tcBorders/>
            <w:shd w:fill="CCEEFF" w:val="clear"/>
            <w:vAlign w:val="bottom"/>
          </w:tcPr>
          <w:p>
            <w:pPr>
              <w:pStyle w:val="TableContents"/>
              <w:bidi w:val="0"/>
              <w:spacing w:before="0" w:after="0"/>
              <w:jc w:val="left"/>
              <w:rPr>
                <w:b/>
              </w:rPr>
            </w:pPr>
            <w:r>
              <w:rPr>
                <w:b/>
              </w:rPr>
              <w:t>Revenues</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0"/>
              <w:jc w:val="left"/>
              <w:rPr>
                <w:b/>
              </w:rPr>
            </w:pPr>
            <w:r>
              <w:rPr>
                <w:b/>
              </w:rPr>
              <w:t>$</w:t>
            </w:r>
          </w:p>
        </w:tc>
        <w:tc>
          <w:tcPr>
            <w:tcW w:w="980" w:type="dxa"/>
            <w:tcBorders/>
            <w:shd w:fill="CCEEFF" w:val="clear"/>
            <w:vAlign w:val="bottom"/>
          </w:tcPr>
          <w:p>
            <w:pPr>
              <w:pStyle w:val="TableContents"/>
              <w:bidi w:val="0"/>
              <w:spacing w:before="0" w:after="0"/>
              <w:jc w:val="right"/>
              <w:rPr>
                <w:b/>
              </w:rPr>
            </w:pPr>
            <w:r>
              <w:rPr>
                <w:b/>
              </w:rPr>
              <w:t>1,019,911</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0"/>
              <w:jc w:val="left"/>
              <w:rPr>
                <w:b/>
              </w:rPr>
            </w:pPr>
            <w:r>
              <w:rPr>
                <w:b/>
              </w:rPr>
              <w:t>$</w:t>
            </w:r>
          </w:p>
        </w:tc>
        <w:tc>
          <w:tcPr>
            <w:tcW w:w="980" w:type="dxa"/>
            <w:tcBorders/>
            <w:shd w:fill="CCEEFF" w:val="clear"/>
            <w:vAlign w:val="bottom"/>
          </w:tcPr>
          <w:p>
            <w:pPr>
              <w:pStyle w:val="TableContents"/>
              <w:bidi w:val="0"/>
              <w:spacing w:before="0" w:after="0"/>
              <w:jc w:val="right"/>
              <w:rPr>
                <w:b/>
              </w:rPr>
            </w:pPr>
            <w:r>
              <w:rPr>
                <w:b/>
              </w:rPr>
              <w:t>1,029,883</w:t>
            </w:r>
          </w:p>
        </w:tc>
        <w:tc>
          <w:tcPr>
            <w:tcW w:w="95" w:type="dxa"/>
            <w:tcBorders/>
            <w:shd w:fill="CCEEFF" w:val="clear"/>
            <w:vAlign w:val="bottom"/>
          </w:tcPr>
          <w:p>
            <w:pPr>
              <w:pStyle w:val="TableContents"/>
              <w:bidi w:val="0"/>
              <w:spacing w:before="0" w:after="283"/>
              <w:jc w:val="left"/>
              <w:rPr/>
            </w:pPr>
            <w:r>
              <w:rPr/>
              <w:t> </w:t>
            </w:r>
          </w:p>
        </w:tc>
      </w:tr>
      <w:tr>
        <w:trPr/>
        <w:tc>
          <w:tcPr>
            <w:tcW w:w="3335" w:type="dxa"/>
            <w:tcBorders/>
            <w:vAlign w:val="bottom"/>
          </w:tcPr>
          <w:p>
            <w:pPr>
              <w:pStyle w:val="TableContents"/>
              <w:bidi w:val="0"/>
              <w:spacing w:before="0" w:after="0"/>
              <w:jc w:val="left"/>
              <w:rPr/>
            </w:pPr>
            <w:r>
              <w:rPr/>
              <w:t>Cost of revenues:</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r>
      <w:tr>
        <w:trPr/>
        <w:tc>
          <w:tcPr>
            <w:tcW w:w="3335" w:type="dxa"/>
            <w:tcBorders/>
            <w:shd w:fill="CCEEFF" w:val="clear"/>
            <w:vAlign w:val="bottom"/>
          </w:tcPr>
          <w:p>
            <w:pPr>
              <w:pStyle w:val="TableContents"/>
              <w:bidi w:val="0"/>
              <w:spacing w:before="0" w:after="0"/>
              <w:jc w:val="left"/>
              <w:rPr/>
            </w:pPr>
            <w:r>
              <w:rPr/>
              <w:t>Traffic acquisition cost</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0"/>
              <w:jc w:val="right"/>
              <w:rPr/>
            </w:pPr>
            <w:r>
              <w:rPr/>
              <w:t>652,602</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0"/>
              <w:jc w:val="right"/>
              <w:rPr/>
            </w:pPr>
            <w:r>
              <w:rPr/>
              <w:t>619,109</w:t>
            </w:r>
          </w:p>
        </w:tc>
        <w:tc>
          <w:tcPr>
            <w:tcW w:w="95" w:type="dxa"/>
            <w:tcBorders/>
            <w:shd w:fill="CCEEFF" w:val="clear"/>
            <w:vAlign w:val="bottom"/>
          </w:tcPr>
          <w:p>
            <w:pPr>
              <w:pStyle w:val="TableContents"/>
              <w:bidi w:val="0"/>
              <w:spacing w:before="0" w:after="283"/>
              <w:jc w:val="left"/>
              <w:rPr/>
            </w:pPr>
            <w:r>
              <w:rPr/>
              <w:t> </w:t>
            </w:r>
          </w:p>
        </w:tc>
      </w:tr>
      <w:tr>
        <w:trPr/>
        <w:tc>
          <w:tcPr>
            <w:tcW w:w="3335" w:type="dxa"/>
            <w:tcBorders/>
            <w:vAlign w:val="bottom"/>
          </w:tcPr>
          <w:p>
            <w:pPr>
              <w:pStyle w:val="TableContents"/>
              <w:bidi w:val="0"/>
              <w:spacing w:before="0" w:after="0"/>
              <w:jc w:val="left"/>
              <w:rPr/>
            </w:pPr>
            <w:r>
              <w:rPr/>
              <w:t>Other cost of revenues</w:t>
            </w:r>
          </w:p>
        </w:tc>
        <w:tc>
          <w:tcPr>
            <w:tcW w:w="60" w:type="dxa"/>
            <w:tcBorders/>
            <w:vAlign w:val="bottom"/>
          </w:tcPr>
          <w:p>
            <w:pPr>
              <w:pStyle w:val="TableContents"/>
              <w:bidi w:val="0"/>
              <w:spacing w:before="0" w:after="283"/>
              <w:jc w:val="lef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980" w:type="dxa"/>
            <w:tcBorders>
              <w:bottom w:val="single" w:sz="12" w:space="0" w:color="000000"/>
            </w:tcBorders>
            <w:tcMar>
              <w:bottom w:w="28" w:type="dxa"/>
            </w:tcMar>
            <w:vAlign w:val="bottom"/>
          </w:tcPr>
          <w:p>
            <w:pPr>
              <w:pStyle w:val="TableContents"/>
              <w:bidi w:val="0"/>
              <w:spacing w:before="0" w:after="0"/>
              <w:jc w:val="right"/>
              <w:rPr/>
            </w:pPr>
            <w:r>
              <w:rPr/>
              <w:t>80,001</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980" w:type="dxa"/>
            <w:tcBorders>
              <w:bottom w:val="single" w:sz="12" w:space="0" w:color="000000"/>
            </w:tcBorders>
            <w:tcMar>
              <w:bottom w:w="28" w:type="dxa"/>
            </w:tcMar>
            <w:vAlign w:val="bottom"/>
          </w:tcPr>
          <w:p>
            <w:pPr>
              <w:pStyle w:val="TableContents"/>
              <w:bidi w:val="0"/>
              <w:spacing w:before="0" w:after="0"/>
              <w:jc w:val="right"/>
              <w:rPr/>
            </w:pPr>
            <w:r>
              <w:rPr/>
              <w:t>79,695</w:t>
            </w:r>
          </w:p>
        </w:tc>
        <w:tc>
          <w:tcPr>
            <w:tcW w:w="95" w:type="dxa"/>
            <w:tcBorders/>
            <w:vAlign w:val="bottom"/>
          </w:tcPr>
          <w:p>
            <w:pPr>
              <w:pStyle w:val="TableContents"/>
              <w:bidi w:val="0"/>
              <w:spacing w:before="0" w:after="283"/>
              <w:jc w:val="left"/>
              <w:rPr/>
            </w:pPr>
            <w:r>
              <w:rPr/>
              <w:t> </w:t>
            </w:r>
          </w:p>
        </w:tc>
      </w:tr>
      <w:tr>
        <w:trPr/>
        <w:tc>
          <w:tcPr>
            <w:tcW w:w="3335" w:type="dxa"/>
            <w:tcBorders/>
            <w:shd w:fill="CCEEFF" w:val="clear"/>
            <w:vAlign w:val="bottom"/>
          </w:tcPr>
          <w:p>
            <w:pPr>
              <w:pStyle w:val="TableContents"/>
              <w:bidi w:val="0"/>
              <w:spacing w:before="0" w:after="0"/>
              <w:jc w:val="left"/>
              <w:rPr/>
            </w:pPr>
            <w:r>
              <w:rPr/>
              <w:t>Total cost of revenues</w:t>
            </w:r>
          </w:p>
        </w:tc>
        <w:tc>
          <w:tcPr>
            <w:tcW w:w="60" w:type="dxa"/>
            <w:tcBorders/>
            <w:shd w:fill="CCEEFF" w:val="clear"/>
            <w:vAlign w:val="bottom"/>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bottom"/>
          </w:tcPr>
          <w:p>
            <w:pPr>
              <w:pStyle w:val="TableContents"/>
              <w:bidi w:val="0"/>
              <w:spacing w:before="0" w:after="0"/>
              <w:jc w:val="right"/>
              <w:rPr/>
            </w:pPr>
            <w:r>
              <w:rPr/>
              <w:t>732,603</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bottom"/>
          </w:tcPr>
          <w:p>
            <w:pPr>
              <w:pStyle w:val="TableContents"/>
              <w:bidi w:val="0"/>
              <w:spacing w:before="0" w:after="0"/>
              <w:jc w:val="right"/>
              <w:rPr/>
            </w:pPr>
            <w:r>
              <w:rPr/>
              <w:t>698,804</w:t>
            </w:r>
          </w:p>
        </w:tc>
        <w:tc>
          <w:tcPr>
            <w:tcW w:w="95" w:type="dxa"/>
            <w:tcBorders/>
            <w:shd w:fill="CCEEFF" w:val="clear"/>
            <w:vAlign w:val="bottom"/>
          </w:tcPr>
          <w:p>
            <w:pPr>
              <w:pStyle w:val="TableContents"/>
              <w:bidi w:val="0"/>
              <w:spacing w:before="0" w:after="283"/>
              <w:jc w:val="left"/>
              <w:rPr/>
            </w:pPr>
            <w:r>
              <w:rPr/>
              <w:t> </w:t>
            </w:r>
          </w:p>
        </w:tc>
      </w:tr>
      <w:tr>
        <w:trPr/>
        <w:tc>
          <w:tcPr>
            <w:tcW w:w="3335" w:type="dxa"/>
            <w:tcBorders/>
            <w:vAlign w:val="bottom"/>
          </w:tcPr>
          <w:p>
            <w:pPr>
              <w:pStyle w:val="TableContents"/>
              <w:bidi w:val="0"/>
              <w:spacing w:before="0" w:after="0"/>
              <w:jc w:val="left"/>
              <w:rPr>
                <w:b/>
              </w:rPr>
            </w:pPr>
            <w:r>
              <w:rPr>
                <w:b/>
              </w:rPr>
              <w:t>Gross profit</w:t>
            </w:r>
          </w:p>
        </w:tc>
        <w:tc>
          <w:tcPr>
            <w:tcW w:w="60" w:type="dxa"/>
            <w:tcBorders/>
            <w:vAlign w:val="bottom"/>
          </w:tcPr>
          <w:p>
            <w:pPr>
              <w:pStyle w:val="TableContents"/>
              <w:bidi w:val="0"/>
              <w:spacing w:before="0" w:after="283"/>
              <w:jc w:val="lef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980" w:type="dxa"/>
            <w:tcBorders>
              <w:bottom w:val="single" w:sz="12" w:space="0" w:color="000000"/>
            </w:tcBorders>
            <w:tcMar>
              <w:bottom w:w="28" w:type="dxa"/>
            </w:tcMar>
            <w:vAlign w:val="bottom"/>
          </w:tcPr>
          <w:p>
            <w:pPr>
              <w:pStyle w:val="TableContents"/>
              <w:bidi w:val="0"/>
              <w:spacing w:before="0" w:after="0"/>
              <w:jc w:val="right"/>
              <w:rPr>
                <w:b/>
              </w:rPr>
            </w:pPr>
            <w:r>
              <w:rPr>
                <w:b/>
              </w:rPr>
              <w:t>287,308</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980" w:type="dxa"/>
            <w:tcBorders>
              <w:bottom w:val="single" w:sz="12" w:space="0" w:color="000000"/>
            </w:tcBorders>
            <w:tcMar>
              <w:bottom w:w="28" w:type="dxa"/>
            </w:tcMar>
            <w:vAlign w:val="bottom"/>
          </w:tcPr>
          <w:p>
            <w:pPr>
              <w:pStyle w:val="TableContents"/>
              <w:bidi w:val="0"/>
              <w:spacing w:before="0" w:after="0"/>
              <w:jc w:val="right"/>
              <w:rPr>
                <w:b/>
              </w:rPr>
            </w:pPr>
            <w:r>
              <w:rPr>
                <w:b/>
              </w:rPr>
              <w:t>331,079</w:t>
            </w:r>
          </w:p>
        </w:tc>
        <w:tc>
          <w:tcPr>
            <w:tcW w:w="95" w:type="dxa"/>
            <w:tcBorders/>
            <w:vAlign w:val="bottom"/>
          </w:tcPr>
          <w:p>
            <w:pPr>
              <w:pStyle w:val="TableContents"/>
              <w:bidi w:val="0"/>
              <w:spacing w:before="0" w:after="283"/>
              <w:jc w:val="left"/>
              <w:rPr/>
            </w:pPr>
            <w:r>
              <w:rPr/>
              <w:t> </w:t>
            </w:r>
          </w:p>
        </w:tc>
      </w:tr>
      <w:tr>
        <w:trPr/>
        <w:tc>
          <w:tcPr>
            <w:tcW w:w="3335" w:type="dxa"/>
            <w:tcBorders/>
            <w:shd w:fill="CCEEFF" w:val="clear"/>
            <w:vAlign w:val="bottom"/>
          </w:tcPr>
          <w:p>
            <w:pPr>
              <w:pStyle w:val="TableContents"/>
              <w:bidi w:val="0"/>
              <w:spacing w:before="0" w:after="0"/>
              <w:jc w:val="left"/>
              <w:rPr/>
            </w:pPr>
            <w:r>
              <w:rPr/>
              <w:t>Operating expenses:</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r>
      <w:tr>
        <w:trPr/>
        <w:tc>
          <w:tcPr>
            <w:tcW w:w="3335" w:type="dxa"/>
            <w:tcBorders/>
            <w:vAlign w:val="bottom"/>
          </w:tcPr>
          <w:p>
            <w:pPr>
              <w:pStyle w:val="TableContents"/>
              <w:bidi w:val="0"/>
              <w:spacing w:before="0" w:after="0"/>
              <w:jc w:val="left"/>
              <w:rPr/>
            </w:pPr>
            <w:r>
              <w:rPr/>
              <w:t>Research and development</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0"/>
              <w:jc w:val="right"/>
              <w:rPr/>
            </w:pPr>
            <w:r>
              <w:rPr/>
              <w:t>101,876</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0"/>
              <w:jc w:val="right"/>
              <w:rPr/>
            </w:pPr>
            <w:r>
              <w:rPr/>
              <w:t>100,728</w:t>
            </w:r>
          </w:p>
        </w:tc>
        <w:tc>
          <w:tcPr>
            <w:tcW w:w="95" w:type="dxa"/>
            <w:tcBorders/>
            <w:vAlign w:val="bottom"/>
          </w:tcPr>
          <w:p>
            <w:pPr>
              <w:pStyle w:val="TableContents"/>
              <w:bidi w:val="0"/>
              <w:spacing w:before="0" w:after="283"/>
              <w:jc w:val="left"/>
              <w:rPr/>
            </w:pPr>
            <w:r>
              <w:rPr/>
              <w:t> </w:t>
            </w:r>
          </w:p>
        </w:tc>
      </w:tr>
      <w:tr>
        <w:trPr/>
        <w:tc>
          <w:tcPr>
            <w:tcW w:w="3335" w:type="dxa"/>
            <w:tcBorders/>
            <w:shd w:fill="CCEEFF" w:val="clear"/>
            <w:vAlign w:val="bottom"/>
          </w:tcPr>
          <w:p>
            <w:pPr>
              <w:pStyle w:val="TableContents"/>
              <w:bidi w:val="0"/>
              <w:spacing w:before="0" w:after="0"/>
              <w:jc w:val="left"/>
              <w:rPr/>
            </w:pPr>
            <w:r>
              <w:rPr/>
              <w:t>Sales and marketing</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0"/>
              <w:jc w:val="right"/>
              <w:rPr/>
            </w:pPr>
            <w:r>
              <w:rPr/>
              <w:t>181,431</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0"/>
              <w:jc w:val="right"/>
              <w:rPr/>
            </w:pPr>
            <w:r>
              <w:rPr/>
              <w:t>190,989</w:t>
            </w:r>
          </w:p>
        </w:tc>
        <w:tc>
          <w:tcPr>
            <w:tcW w:w="95" w:type="dxa"/>
            <w:tcBorders/>
            <w:shd w:fill="CCEEFF" w:val="clear"/>
            <w:vAlign w:val="bottom"/>
          </w:tcPr>
          <w:p>
            <w:pPr>
              <w:pStyle w:val="TableContents"/>
              <w:bidi w:val="0"/>
              <w:spacing w:before="0" w:after="283"/>
              <w:jc w:val="left"/>
              <w:rPr/>
            </w:pPr>
            <w:r>
              <w:rPr/>
              <w:t> </w:t>
            </w:r>
          </w:p>
        </w:tc>
      </w:tr>
      <w:tr>
        <w:trPr/>
        <w:tc>
          <w:tcPr>
            <w:tcW w:w="3335" w:type="dxa"/>
            <w:tcBorders/>
            <w:vAlign w:val="bottom"/>
          </w:tcPr>
          <w:p>
            <w:pPr>
              <w:pStyle w:val="TableContents"/>
              <w:bidi w:val="0"/>
              <w:spacing w:before="0" w:after="0"/>
              <w:jc w:val="left"/>
              <w:rPr/>
            </w:pPr>
            <w:r>
              <w:rPr/>
              <w:t>General and administrative</w:t>
            </w:r>
          </w:p>
        </w:tc>
        <w:tc>
          <w:tcPr>
            <w:tcW w:w="60" w:type="dxa"/>
            <w:tcBorders/>
            <w:vAlign w:val="bottom"/>
          </w:tcPr>
          <w:p>
            <w:pPr>
              <w:pStyle w:val="TableContents"/>
              <w:bidi w:val="0"/>
              <w:spacing w:before="0" w:after="283"/>
              <w:jc w:val="lef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980" w:type="dxa"/>
            <w:tcBorders>
              <w:bottom w:val="single" w:sz="12" w:space="0" w:color="000000"/>
            </w:tcBorders>
            <w:tcMar>
              <w:bottom w:w="28" w:type="dxa"/>
            </w:tcMar>
            <w:vAlign w:val="bottom"/>
          </w:tcPr>
          <w:p>
            <w:pPr>
              <w:pStyle w:val="TableContents"/>
              <w:bidi w:val="0"/>
              <w:spacing w:before="0" w:after="0"/>
              <w:jc w:val="right"/>
              <w:rPr/>
            </w:pPr>
            <w:r>
              <w:rPr/>
              <w:t>76,533</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980" w:type="dxa"/>
            <w:tcBorders>
              <w:bottom w:val="single" w:sz="12" w:space="0" w:color="000000"/>
            </w:tcBorders>
            <w:tcMar>
              <w:bottom w:w="28" w:type="dxa"/>
            </w:tcMar>
            <w:vAlign w:val="bottom"/>
          </w:tcPr>
          <w:p>
            <w:pPr>
              <w:pStyle w:val="TableContents"/>
              <w:bidi w:val="0"/>
              <w:spacing w:before="0" w:after="0"/>
              <w:jc w:val="right"/>
              <w:rPr/>
            </w:pPr>
            <w:r>
              <w:rPr/>
              <w:t>78,062</w:t>
            </w:r>
          </w:p>
        </w:tc>
        <w:tc>
          <w:tcPr>
            <w:tcW w:w="95" w:type="dxa"/>
            <w:tcBorders/>
            <w:vAlign w:val="bottom"/>
          </w:tcPr>
          <w:p>
            <w:pPr>
              <w:pStyle w:val="TableContents"/>
              <w:bidi w:val="0"/>
              <w:spacing w:before="0" w:after="283"/>
              <w:jc w:val="left"/>
              <w:rPr/>
            </w:pPr>
            <w:r>
              <w:rPr/>
              <w:t> </w:t>
            </w:r>
          </w:p>
        </w:tc>
      </w:tr>
      <w:tr>
        <w:trPr/>
        <w:tc>
          <w:tcPr>
            <w:tcW w:w="3335" w:type="dxa"/>
            <w:tcBorders/>
            <w:shd w:fill="CCEEFF" w:val="clear"/>
            <w:vAlign w:val="bottom"/>
          </w:tcPr>
          <w:p>
            <w:pPr>
              <w:pStyle w:val="TableContents"/>
              <w:bidi w:val="0"/>
              <w:spacing w:before="0" w:after="0"/>
              <w:jc w:val="left"/>
              <w:rPr/>
            </w:pPr>
            <w:r>
              <w:rPr/>
              <w:t>Total operating expenses</w:t>
            </w:r>
          </w:p>
        </w:tc>
        <w:tc>
          <w:tcPr>
            <w:tcW w:w="60" w:type="dxa"/>
            <w:tcBorders/>
            <w:shd w:fill="CCEEFF" w:val="clear"/>
            <w:vAlign w:val="bottom"/>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bottom"/>
          </w:tcPr>
          <w:p>
            <w:pPr>
              <w:pStyle w:val="TableContents"/>
              <w:bidi w:val="0"/>
              <w:spacing w:before="0" w:after="0"/>
              <w:jc w:val="right"/>
              <w:rPr/>
            </w:pPr>
            <w:r>
              <w:rPr/>
              <w:t>359,840</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bottom"/>
          </w:tcPr>
          <w:p>
            <w:pPr>
              <w:pStyle w:val="TableContents"/>
              <w:bidi w:val="0"/>
              <w:spacing w:before="0" w:after="0"/>
              <w:jc w:val="right"/>
              <w:rPr/>
            </w:pPr>
            <w:r>
              <w:rPr/>
              <w:t>369,779</w:t>
            </w:r>
          </w:p>
        </w:tc>
        <w:tc>
          <w:tcPr>
            <w:tcW w:w="95" w:type="dxa"/>
            <w:tcBorders/>
            <w:shd w:fill="CCEEFF" w:val="clear"/>
            <w:vAlign w:val="bottom"/>
          </w:tcPr>
          <w:p>
            <w:pPr>
              <w:pStyle w:val="TableContents"/>
              <w:bidi w:val="0"/>
              <w:spacing w:before="0" w:after="283"/>
              <w:jc w:val="left"/>
              <w:rPr/>
            </w:pPr>
            <w:r>
              <w:rPr/>
              <w:t> </w:t>
            </w:r>
          </w:p>
        </w:tc>
      </w:tr>
      <w:tr>
        <w:trPr/>
        <w:tc>
          <w:tcPr>
            <w:tcW w:w="3335" w:type="dxa"/>
            <w:tcBorders/>
            <w:vAlign w:val="bottom"/>
          </w:tcPr>
          <w:p>
            <w:pPr>
              <w:pStyle w:val="TableContents"/>
              <w:bidi w:val="0"/>
              <w:spacing w:before="0" w:after="0"/>
              <w:jc w:val="left"/>
              <w:rPr/>
            </w:pPr>
            <w:r>
              <w:rPr/>
              <w:t>Operating loss</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0"/>
              <w:jc w:val="right"/>
              <w:rPr/>
            </w:pPr>
            <w:r>
              <w:rPr/>
              <w:t>(72,532</w:t>
            </w:r>
          </w:p>
        </w:tc>
        <w:tc>
          <w:tcPr>
            <w:tcW w:w="95" w:type="dxa"/>
            <w:tcBorders/>
            <w:vAlign w:val="bottom"/>
          </w:tcPr>
          <w:p>
            <w:pPr>
              <w:pStyle w:val="TableContents"/>
              <w:bidi w:val="0"/>
              <w:spacing w:before="0" w:after="0"/>
              <w:jc w:val="left"/>
              <w:rPr/>
            </w:pPr>
            <w:r>
              <w:rPr/>
              <w:t>)</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0"/>
              <w:jc w:val="right"/>
              <w:rPr/>
            </w:pPr>
            <w:r>
              <w:rPr/>
              <w:t>(38,700</w:t>
            </w:r>
          </w:p>
        </w:tc>
        <w:tc>
          <w:tcPr>
            <w:tcW w:w="95" w:type="dxa"/>
            <w:tcBorders/>
            <w:vAlign w:val="bottom"/>
          </w:tcPr>
          <w:p>
            <w:pPr>
              <w:pStyle w:val="TableContents"/>
              <w:bidi w:val="0"/>
              <w:spacing w:before="0" w:after="0"/>
              <w:jc w:val="left"/>
              <w:rPr/>
            </w:pPr>
            <w:r>
              <w:rPr/>
              <w:t>)</w:t>
            </w:r>
          </w:p>
        </w:tc>
      </w:tr>
      <w:tr>
        <w:trPr/>
        <w:tc>
          <w:tcPr>
            <w:tcW w:w="3335" w:type="dxa"/>
            <w:tcBorders/>
            <w:shd w:fill="CCEEFF" w:val="clear"/>
            <w:vAlign w:val="bottom"/>
          </w:tcPr>
          <w:p>
            <w:pPr>
              <w:pStyle w:val="TableContents"/>
              <w:bidi w:val="0"/>
              <w:spacing w:before="0" w:after="0"/>
              <w:jc w:val="left"/>
              <w:rPr/>
            </w:pPr>
            <w:r>
              <w:rPr/>
              <w:t>Finance income (expenses), net</w:t>
            </w:r>
          </w:p>
        </w:tc>
        <w:tc>
          <w:tcPr>
            <w:tcW w:w="60" w:type="dxa"/>
            <w:tcBorders/>
            <w:shd w:fill="CCEEFF" w:val="clear"/>
            <w:vAlign w:val="bottom"/>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bottom"/>
          </w:tcPr>
          <w:p>
            <w:pPr>
              <w:pStyle w:val="TableContents"/>
              <w:bidi w:val="0"/>
              <w:spacing w:before="0" w:after="0"/>
              <w:jc w:val="right"/>
              <w:rPr/>
            </w:pPr>
            <w:r>
              <w:rPr/>
              <w:t>(11,383</w:t>
            </w:r>
          </w:p>
        </w:tc>
        <w:tc>
          <w:tcPr>
            <w:tcW w:w="95" w:type="dxa"/>
            <w:tcBorders/>
            <w:shd w:fill="CCEEFF" w:val="clear"/>
            <w:vAlign w:val="bottom"/>
          </w:tcPr>
          <w:p>
            <w:pPr>
              <w:pStyle w:val="TableContents"/>
              <w:bidi w:val="0"/>
              <w:spacing w:before="0" w:after="0"/>
              <w:jc w:val="left"/>
              <w:rPr/>
            </w:pPr>
            <w:r>
              <w:rPr/>
              <w:t>)</w:t>
            </w:r>
          </w:p>
        </w:tc>
        <w:tc>
          <w:tcPr>
            <w:tcW w:w="60" w:type="dxa"/>
            <w:tcBorders/>
            <w:shd w:fill="CCEEFF" w:val="clear"/>
            <w:vAlign w:val="bottom"/>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bottom"/>
          </w:tcPr>
          <w:p>
            <w:pPr>
              <w:pStyle w:val="TableContents"/>
              <w:bidi w:val="0"/>
              <w:spacing w:before="0" w:after="0"/>
              <w:jc w:val="right"/>
              <w:rPr/>
            </w:pPr>
            <w:r>
              <w:rPr/>
              <w:t>12,389</w:t>
            </w:r>
          </w:p>
        </w:tc>
        <w:tc>
          <w:tcPr>
            <w:tcW w:w="95" w:type="dxa"/>
            <w:tcBorders/>
            <w:shd w:fill="CCEEFF" w:val="clear"/>
            <w:vAlign w:val="bottom"/>
          </w:tcPr>
          <w:p>
            <w:pPr>
              <w:pStyle w:val="TableContents"/>
              <w:bidi w:val="0"/>
              <w:spacing w:before="0" w:after="283"/>
              <w:jc w:val="left"/>
              <w:rPr/>
            </w:pPr>
            <w:r>
              <w:rPr/>
              <w:t> </w:t>
            </w:r>
          </w:p>
        </w:tc>
      </w:tr>
      <w:tr>
        <w:trPr/>
        <w:tc>
          <w:tcPr>
            <w:tcW w:w="3335" w:type="dxa"/>
            <w:tcBorders/>
            <w:vAlign w:val="bottom"/>
          </w:tcPr>
          <w:p>
            <w:pPr>
              <w:pStyle w:val="TableContents"/>
              <w:bidi w:val="0"/>
              <w:spacing w:before="0" w:after="0"/>
              <w:jc w:val="left"/>
              <w:rPr/>
            </w:pPr>
            <w:r>
              <w:rPr/>
              <w:t>Loss before income taxes expenses</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0"/>
              <w:jc w:val="right"/>
              <w:rPr/>
            </w:pPr>
            <w:r>
              <w:rPr/>
              <w:t>(83,915</w:t>
            </w:r>
          </w:p>
        </w:tc>
        <w:tc>
          <w:tcPr>
            <w:tcW w:w="95" w:type="dxa"/>
            <w:tcBorders/>
            <w:vAlign w:val="bottom"/>
          </w:tcPr>
          <w:p>
            <w:pPr>
              <w:pStyle w:val="TableContents"/>
              <w:bidi w:val="0"/>
              <w:spacing w:before="0" w:after="0"/>
              <w:jc w:val="left"/>
              <w:rPr/>
            </w:pPr>
            <w:r>
              <w:rPr/>
              <w:t>)</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0"/>
              <w:jc w:val="right"/>
              <w:rPr/>
            </w:pPr>
            <w:r>
              <w:rPr/>
              <w:t>(26,311</w:t>
            </w:r>
          </w:p>
        </w:tc>
        <w:tc>
          <w:tcPr>
            <w:tcW w:w="95" w:type="dxa"/>
            <w:tcBorders/>
            <w:vAlign w:val="bottom"/>
          </w:tcPr>
          <w:p>
            <w:pPr>
              <w:pStyle w:val="TableContents"/>
              <w:bidi w:val="0"/>
              <w:spacing w:before="0" w:after="0"/>
              <w:jc w:val="left"/>
              <w:rPr/>
            </w:pPr>
            <w:r>
              <w:rPr/>
              <w:t>)</w:t>
            </w:r>
          </w:p>
        </w:tc>
      </w:tr>
      <w:tr>
        <w:trPr/>
        <w:tc>
          <w:tcPr>
            <w:tcW w:w="3335" w:type="dxa"/>
            <w:tcBorders/>
            <w:shd w:fill="CCEEFF" w:val="clear"/>
            <w:vAlign w:val="bottom"/>
          </w:tcPr>
          <w:p>
            <w:pPr>
              <w:pStyle w:val="TableContents"/>
              <w:bidi w:val="0"/>
              <w:spacing w:before="0" w:after="0"/>
              <w:jc w:val="left"/>
              <w:rPr/>
            </w:pPr>
            <w:r>
              <w:rPr/>
              <w:t>Income tax expenses</w:t>
            </w:r>
          </w:p>
        </w:tc>
        <w:tc>
          <w:tcPr>
            <w:tcW w:w="60" w:type="dxa"/>
            <w:tcBorders/>
            <w:shd w:fill="CCEEFF" w:val="clear"/>
            <w:vAlign w:val="bottom"/>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bottom"/>
          </w:tcPr>
          <w:p>
            <w:pPr>
              <w:pStyle w:val="TableContents"/>
              <w:bidi w:val="0"/>
              <w:spacing w:before="0" w:after="0"/>
              <w:jc w:val="right"/>
              <w:rPr/>
            </w:pPr>
            <w:r>
              <w:rPr/>
              <w:t>(1,848</w:t>
            </w:r>
          </w:p>
        </w:tc>
        <w:tc>
          <w:tcPr>
            <w:tcW w:w="95" w:type="dxa"/>
            <w:tcBorders/>
            <w:shd w:fill="CCEEFF" w:val="clear"/>
            <w:vAlign w:val="bottom"/>
          </w:tcPr>
          <w:p>
            <w:pPr>
              <w:pStyle w:val="TableContents"/>
              <w:bidi w:val="0"/>
              <w:spacing w:before="0" w:after="0"/>
              <w:jc w:val="left"/>
              <w:rPr/>
            </w:pPr>
            <w:r>
              <w:rPr/>
              <w:t>)</w:t>
            </w:r>
          </w:p>
        </w:tc>
        <w:tc>
          <w:tcPr>
            <w:tcW w:w="60" w:type="dxa"/>
            <w:tcBorders/>
            <w:shd w:fill="CCEEFF" w:val="clear"/>
            <w:vAlign w:val="bottom"/>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bottom"/>
          </w:tcPr>
          <w:p>
            <w:pPr>
              <w:pStyle w:val="TableContents"/>
              <w:bidi w:val="0"/>
              <w:spacing w:before="0" w:after="0"/>
              <w:jc w:val="right"/>
              <w:rPr/>
            </w:pPr>
            <w:r>
              <w:rPr/>
              <w:t>(848</w:t>
            </w:r>
          </w:p>
        </w:tc>
        <w:tc>
          <w:tcPr>
            <w:tcW w:w="95" w:type="dxa"/>
            <w:tcBorders/>
            <w:shd w:fill="CCEEFF" w:val="clear"/>
            <w:vAlign w:val="bottom"/>
          </w:tcPr>
          <w:p>
            <w:pPr>
              <w:pStyle w:val="TableContents"/>
              <w:bidi w:val="0"/>
              <w:spacing w:before="0" w:after="0"/>
              <w:jc w:val="left"/>
              <w:rPr/>
            </w:pPr>
            <w:r>
              <w:rPr/>
              <w:t>)</w:t>
            </w:r>
          </w:p>
        </w:tc>
      </w:tr>
      <w:tr>
        <w:trPr/>
        <w:tc>
          <w:tcPr>
            <w:tcW w:w="3335" w:type="dxa"/>
            <w:tcBorders/>
            <w:vAlign w:val="bottom"/>
          </w:tcPr>
          <w:p>
            <w:pPr>
              <w:pStyle w:val="TableContents"/>
              <w:bidi w:val="0"/>
              <w:spacing w:before="0" w:after="0"/>
              <w:jc w:val="left"/>
              <w:rPr>
                <w:b/>
              </w:rPr>
            </w:pPr>
            <w:r>
              <w:rPr>
                <w:b/>
              </w:rPr>
              <w:t>Net loss</w:t>
            </w:r>
          </w:p>
        </w:tc>
        <w:tc>
          <w:tcPr>
            <w:tcW w:w="60" w:type="dxa"/>
            <w:tcBorders/>
            <w:vAlign w:val="bottom"/>
          </w:tcPr>
          <w:p>
            <w:pPr>
              <w:pStyle w:val="TableContents"/>
              <w:bidi w:val="0"/>
              <w:spacing w:before="0" w:after="283"/>
              <w:jc w:val="left"/>
              <w:rPr/>
            </w:pPr>
            <w:r>
              <w:rPr/>
              <w:t> </w:t>
            </w:r>
          </w:p>
        </w:tc>
        <w:tc>
          <w:tcPr>
            <w:tcW w:w="140" w:type="dxa"/>
            <w:tcBorders>
              <w:bottom w:val="single" w:sz="12" w:space="0" w:color="000000"/>
            </w:tcBorders>
            <w:tcMar>
              <w:bottom w:w="28" w:type="dxa"/>
            </w:tcMar>
            <w:vAlign w:val="bottom"/>
          </w:tcPr>
          <w:p>
            <w:pPr>
              <w:pStyle w:val="TableContents"/>
              <w:bidi w:val="0"/>
              <w:spacing w:before="0" w:after="0"/>
              <w:jc w:val="left"/>
              <w:rPr>
                <w:b/>
              </w:rPr>
            </w:pPr>
            <w:r>
              <w:rPr>
                <w:b/>
              </w:rPr>
              <w:t>$</w:t>
            </w:r>
          </w:p>
        </w:tc>
        <w:tc>
          <w:tcPr>
            <w:tcW w:w="980" w:type="dxa"/>
            <w:tcBorders>
              <w:bottom w:val="single" w:sz="12" w:space="0" w:color="000000"/>
            </w:tcBorders>
            <w:tcMar>
              <w:bottom w:w="28" w:type="dxa"/>
            </w:tcMar>
            <w:vAlign w:val="bottom"/>
          </w:tcPr>
          <w:p>
            <w:pPr>
              <w:pStyle w:val="TableContents"/>
              <w:bidi w:val="0"/>
              <w:spacing w:before="0" w:after="0"/>
              <w:jc w:val="right"/>
              <w:rPr>
                <w:b/>
              </w:rPr>
            </w:pPr>
            <w:r>
              <w:rPr>
                <w:b/>
              </w:rPr>
              <w:t>(85,763</w:t>
            </w:r>
          </w:p>
        </w:tc>
        <w:tc>
          <w:tcPr>
            <w:tcW w:w="95" w:type="dxa"/>
            <w:tcBorders/>
            <w:vAlign w:val="bottom"/>
          </w:tcPr>
          <w:p>
            <w:pPr>
              <w:pStyle w:val="TableContents"/>
              <w:bidi w:val="0"/>
              <w:spacing w:before="0" w:after="0"/>
              <w:jc w:val="left"/>
              <w:rPr>
                <w:b/>
              </w:rPr>
            </w:pPr>
            <w:r>
              <w:rPr>
                <w:b/>
              </w:rPr>
              <w:t>)</w:t>
            </w:r>
          </w:p>
        </w:tc>
        <w:tc>
          <w:tcPr>
            <w:tcW w:w="60" w:type="dxa"/>
            <w:tcBorders/>
            <w:vAlign w:val="bottom"/>
          </w:tcPr>
          <w:p>
            <w:pPr>
              <w:pStyle w:val="TableContents"/>
              <w:bidi w:val="0"/>
              <w:spacing w:before="0" w:after="283"/>
              <w:jc w:val="left"/>
              <w:rPr/>
            </w:pPr>
            <w:r>
              <w:rPr/>
              <w:t> </w:t>
            </w:r>
          </w:p>
        </w:tc>
        <w:tc>
          <w:tcPr>
            <w:tcW w:w="140" w:type="dxa"/>
            <w:tcBorders>
              <w:bottom w:val="single" w:sz="12" w:space="0" w:color="000000"/>
            </w:tcBorders>
            <w:tcMar>
              <w:bottom w:w="28" w:type="dxa"/>
            </w:tcMar>
            <w:vAlign w:val="bottom"/>
          </w:tcPr>
          <w:p>
            <w:pPr>
              <w:pStyle w:val="TableContents"/>
              <w:bidi w:val="0"/>
              <w:spacing w:before="0" w:after="0"/>
              <w:jc w:val="left"/>
              <w:rPr>
                <w:b/>
              </w:rPr>
            </w:pPr>
            <w:r>
              <w:rPr>
                <w:b/>
              </w:rPr>
              <w:t>$</w:t>
            </w:r>
          </w:p>
        </w:tc>
        <w:tc>
          <w:tcPr>
            <w:tcW w:w="980" w:type="dxa"/>
            <w:tcBorders>
              <w:bottom w:val="single" w:sz="12" w:space="0" w:color="000000"/>
            </w:tcBorders>
            <w:tcMar>
              <w:bottom w:w="28" w:type="dxa"/>
            </w:tcMar>
            <w:vAlign w:val="bottom"/>
          </w:tcPr>
          <w:p>
            <w:pPr>
              <w:pStyle w:val="TableContents"/>
              <w:bidi w:val="0"/>
              <w:spacing w:before="0" w:after="0"/>
              <w:jc w:val="right"/>
              <w:rPr>
                <w:b/>
              </w:rPr>
            </w:pPr>
            <w:r>
              <w:rPr>
                <w:b/>
              </w:rPr>
              <w:t>(27,159</w:t>
            </w:r>
          </w:p>
        </w:tc>
        <w:tc>
          <w:tcPr>
            <w:tcW w:w="95" w:type="dxa"/>
            <w:tcBorders/>
            <w:vAlign w:val="bottom"/>
          </w:tcPr>
          <w:p>
            <w:pPr>
              <w:pStyle w:val="TableContents"/>
              <w:bidi w:val="0"/>
              <w:spacing w:before="0" w:after="0"/>
              <w:jc w:val="left"/>
              <w:rPr>
                <w:b/>
              </w:rPr>
            </w:pPr>
            <w:r>
              <w:rPr>
                <w:b/>
              </w:rPr>
              <w:t>)</w:t>
            </w:r>
          </w:p>
        </w:tc>
      </w:tr>
    </w:tbl>
    <w:p>
      <w:pPr>
        <w:pStyle w:val="TextBody"/>
        <w:bidi w:val="0"/>
        <w:spacing w:before="0" w:after="0"/>
        <w:jc w:val="left"/>
        <w:rPr/>
      </w:pPr>
      <w:r>
        <w:rPr/>
      </w:r>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Comparison of the nine months ended September 30, 2023 and 2022</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Revenues decreased by $10.0 million, or 1.0%, for the nine months ended September 30, 2023 compared to the nine months ended September 30, 2022. Existing digital property partners, including the growth of new digital property partners (beyond the revenue contribution determined based on the run-rate revenue generated by the partners when they are first on-boarded) decreased by approximately $141.3 million. This decrease was primarily driven by a decline in advertiser rates during 2022, partially mitigated by gains in our Bidding and eCommerce businesses. New digital property partners contributed approximately $131.4 million of new Revenues on a 12-month run rate basis calculated based on their first full month on the network.</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Gross profit decreased by $43.8 million, or 13.2%, for the nine months ended September 30, 2023 compared to the nine months ended September 30, 2022.</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Ex-TAC Gross Profit, a non-GAAP measure, decreased by $43.5 million, or 10.6%, for the nine months ended September 30, 2023 compared to the nine months ended September 30, 2022, primarily due to a decrease in existing digital property partners. This decrease was primarily driven by lower ex-TAC Gross Profit margins primarily caused by yield compression in 2022.</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Cost of revenues increased by $33.8 million, or 4.8%, for the nine months ended September 30, 2023 compared to the nine months ended September 30, 2022.</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Traffic acquisition cost increased by $33.5 million, or 5.4%, for the nine months ended September 30, 2023 compared to the nine months ended September 30, 2022. Revenues decreased while traffic acquisition cost increased primarily due to a mix shift to lower margin digital properties and decreased yield on digital properties with guarantee obligations.</w:t>
      </w:r>
    </w:p>
    <w:p>
      <w:pPr>
        <w:pStyle w:val="TextBody"/>
        <w:bidi w:val="0"/>
        <w:spacing w:before="0" w:after="0"/>
        <w:jc w:val="left"/>
        <w:rPr>
          <w:color w:val="000000"/>
          <w:shd w:fill="FFFFFF" w:val="clear"/>
        </w:rPr>
      </w:pPr>
      <w:r>
        <w:rPr>
          <w:color w:val="000000"/>
          <w:shd w:fill="FFFFFF" w:val="clear"/>
        </w:rPr>
        <w:t> </w:t>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43</w:t>
      </w:r>
    </w:p>
    <w:p>
      <w:pPr>
        <w:pStyle w:val="HorizontalLine"/>
        <w:bidi w:val="0"/>
        <w:spacing w:before="200" w:after="200"/>
        <w:jc w:val="left"/>
        <w:rPr/>
      </w:pPr>
      <w:r>
        <w:rPr/>
      </w:r>
    </w:p>
    <w:p>
      <w:pPr>
        <w:pStyle w:val="TextBody"/>
        <w:bidi w:val="0"/>
        <w:spacing w:before="200" w:after="200"/>
        <w:jc w:val="left"/>
        <w:rPr/>
      </w:pPr>
      <w:hyperlink w:anchor="Contents">
        <w:r>
          <w:rPr>
            <w:rStyle w:val="InternetLink"/>
            <w:rFonts w:ascii="Times New Roman" w:hAnsi="Times New Roman"/>
            <w:i/>
            <w:color w:val="000000"/>
            <w:sz w:val="16"/>
            <w:shd w:fill="FFFFFF" w:val="clear"/>
          </w:rPr>
          <w:t>Table of Contents</w:t>
        </w:r>
      </w:hyperlink>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cost of guarantees (total payments due under guarantee arrangements in excess of amounts the Company would otherwise be required to pay under revenue sharing arrangements) as a percentage of traffic acquisition costs were approximately 20% and 10% for the nine months ended September 30, 2023 and September 30, 2022, respectively.</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Other cost of revenues increased by $0.3 million, or 0.4%, for the nine months ended September 30, 2023 compared to the nine months ended September 30, 2022, primarily as a result of an increase of $2.6 million in depreciation expenses related and an increase of $1.6 million in hosting expenses partially offset by a decrease of $1.5 million in employee related costs, including share-based compensation and a decrease of $2.3 million in data, communication and IT related expenses.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Research and development expenses increased by $1.1 million, or 1.1%, for the nine months ended September 30, 2023 compared to the nine months ended September 30, 2022 primarily attributable to an increase of $1.7 million in communication and IT services and $1.8 million increase in costs related to Yahoo commercial agreement partially offset by a decrease of $2.6 million in employee and subcontractors related costs, including share-based compensation.</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Sales and marketing expenses decreased by $9.6 million, or 5.0%, for the nine months ended September 30, 2023 compared to the nine months ended September 30, 2022. The decrease is mainly attributed to a decrease of $4.9 million in employees and subcontractors related costs including share-based compensation expenses, a decrease of $2.4 in sales and marketing events costs and a decrease of $2.1 million in advertising and promotion.</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General and administrative expenses decreased by $1.5 million, or 2.0%, for the nine months ended September 30, 2023 compared to the nine months ended September 30, 2022, primarily a result of a decrease of $3.9 million related to M&amp;A costs and legal consultants expenses related to regulatory matters and a decrease of $0.8 million in employees and subcontractors related costs including share-based compensation expenses offset by an increase of $4.4 million in credit losses.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Finance income (expenses), net decreased by $23.8 million for the nine months ended September 30, 2023 compared to the nine months ended September 30, 2022, mainly attributable to $26.3 million Warrants liability devaluation, partially offset by an increase of $2.4 million related to foreign currency exchange rate gains.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Income tax expenses increased by $1.0 million for the nine months ended September 30, 2023 compared to the nine months ended September 30, 2022.</w:t>
      </w:r>
    </w:p>
    <w:p>
      <w:pPr>
        <w:pStyle w:val="TextBody"/>
        <w:bidi w:val="0"/>
        <w:spacing w:before="0" w:after="0"/>
        <w:jc w:val="left"/>
        <w:rPr>
          <w:color w:val="000000"/>
          <w:shd w:fill="FFFFFF" w:val="clear"/>
        </w:rPr>
      </w:pPr>
      <w:r>
        <w:rPr>
          <w:color w:val="000000"/>
          <w:shd w:fill="FFFFFF" w:val="clear"/>
        </w:rPr>
        <w:t> </w:t>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44</w:t>
      </w:r>
    </w:p>
    <w:p>
      <w:pPr>
        <w:pStyle w:val="HorizontalLine"/>
        <w:bidi w:val="0"/>
        <w:spacing w:before="200" w:after="200"/>
        <w:jc w:val="left"/>
        <w:rPr/>
      </w:pPr>
      <w:r>
        <w:rPr/>
      </w:r>
    </w:p>
    <w:p>
      <w:pPr>
        <w:pStyle w:val="TextBody"/>
        <w:bidi w:val="0"/>
        <w:spacing w:before="200" w:after="200"/>
        <w:jc w:val="left"/>
        <w:rPr/>
      </w:pPr>
      <w:hyperlink w:anchor="Contents">
        <w:r>
          <w:rPr>
            <w:rStyle w:val="InternetLink"/>
            <w:rFonts w:ascii="Times New Roman" w:hAnsi="Times New Roman"/>
            <w:i/>
            <w:color w:val="000000"/>
            <w:sz w:val="16"/>
            <w:shd w:fill="FFFFFF" w:val="clear"/>
          </w:rPr>
          <w:t>Table of Contents</w:t>
        </w:r>
      </w:hyperlink>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Liquidity and Capital Resources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Our primary cash needs are for working capital, personnel costs, contractual obligations, including payments to digital property partners, office leases and software and information technology costs, capital expenditures for servers and capitalized software development, payment of interest and required principal payments on our long-term loan and other commitments. We fund these cash needs primarily from cash generated from operations, as well as from cash and cash equivalents on our balance sheet when required. For the nine months ended September 30, 2023 and 2022, we generated cash from operations of $61.6 million and $33.4 million, respectively.</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As part of our growth strategy, we have made and expect to continue to make significant investments in research and development and in our technology platform. We also plan to selectively consider possible future acquisitions that are attractive opportunities we deem strategic and value-enhancing. To fund our growth, depending on the magnitude and timing of our growth investments and the size and structure of any possible future acquisition, we may supplement our available cash from operations with issuances of equity or debt securities and/or make other borrowings, which could be material.</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As of September 30, 2023 and December 31, 2022, we had $250.7 million and $262.8 million of cash, cash equivalents and short-term investments, respectively, and $5.6 million and $4.8 million in short and long-term restricted deposits, respectively, used, mainly, as security for our lease commitments. Cash and cash equivalents consist of cash in banks and highly liquid marketable securities investments and money market account and funds, with an original maturity of three months or less at the date of purchase and are readily convertible to known amounts of cash. Short-term investments generally consist of bank deposits, U.S. government treasuries, commercial paper, corporate debt securities, and U.S. agency bonds.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We believe that this, together with net proceeds from our engagements with Advertisers and digital property partners, will provide us with sufficient liquidity to meet our working capital and capital expenditure needs for at least the next 12 months. In the future, we may be required to obtain additional equity or debt financing in order to support our continued capital expenditures and operations. In the event that additional financing is required from outside sources, we may not be able to raise it on terms acceptable to us or at all. If we are unable to raise additional capital or generate cash flows necessary to expand our operations and invest in new technologies, this could reduce our ability to compete successfully and harm our business, growth, and results of operations.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On August 9, 2022 we entered into an incremental revolving credit facility amendment to our existing senior secured credit agreement (the “Amended Credit Agreement”). The Amended Credit Agreement provides for borrowings in an aggregate principal amount of up to $90 million (the “Revolving Facility”). The proceeds of the Revolving Facility can be used to finance working capital needs and general corporate purposes. Borrowings under the Revolving Facility are subject to customary borrowing conditions and will bear interest at a variable annual rate based on Term SOFR or Base Rate plus a fixed margin. The Amended Credit Agreement also contains customary representations, covenants and events of default as well as a financial covenant, which places a limit on our allowable net leverage ratio. As of September 30, 2023, we had no outstanding borrowings under the Revolving Facility.</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As of September 30, 2023, there was $202.7 million in principal amount of debt outstanding under our long-term loan.</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In April 2023, we voluntarily prepaid $30.0 million and in October 2023 an additional $50.0 million of the principal amount of debt outstanding under our long-term loan. We will consider the repurchase and retirement of additional debt based on, among other factors, our working capital and capital expenditures needs, liquidity position and possible alternative uses of cash.</w:t>
      </w:r>
    </w:p>
    <w:p>
      <w:pPr>
        <w:pStyle w:val="TextBody"/>
        <w:bidi w:val="0"/>
        <w:spacing w:before="0" w:after="0"/>
        <w:jc w:val="left"/>
        <w:rPr>
          <w:color w:val="000000"/>
          <w:shd w:fill="FFFFFF" w:val="clear"/>
        </w:rPr>
      </w:pPr>
      <w:r>
        <w:rPr>
          <w:color w:val="000000"/>
          <w:shd w:fill="FFFFFF" w:val="clear"/>
        </w:rPr>
        <w:t> </w:t>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45</w:t>
      </w:r>
    </w:p>
    <w:p>
      <w:pPr>
        <w:pStyle w:val="HorizontalLine"/>
        <w:bidi w:val="0"/>
        <w:spacing w:before="200" w:after="200"/>
        <w:jc w:val="left"/>
        <w:rPr/>
      </w:pPr>
      <w:r>
        <w:rPr/>
      </w:r>
    </w:p>
    <w:p>
      <w:pPr>
        <w:pStyle w:val="TextBody"/>
        <w:bidi w:val="0"/>
        <w:spacing w:before="200" w:after="200"/>
        <w:jc w:val="left"/>
        <w:rPr/>
      </w:pPr>
      <w:hyperlink w:anchor="Contents">
        <w:r>
          <w:rPr>
            <w:rStyle w:val="InternetLink"/>
            <w:rFonts w:ascii="Times New Roman" w:hAnsi="Times New Roman"/>
            <w:i/>
            <w:color w:val="000000"/>
            <w:sz w:val="16"/>
            <w:shd w:fill="FFFFFF" w:val="clear"/>
          </w:rPr>
          <w:t>Table of Contents</w:t>
        </w:r>
      </w:hyperlink>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In May 2023, our Board of Directors authorized a share buyback program for the repurchase of up to $40.0 million of the Company’s outstanding Ordinary shares, with no expiration date (the “Buyback Program”).</w:t>
      </w:r>
      <w:r>
        <w:rPr>
          <w:rFonts w:ascii="Times New Roman" w:hAnsi="Times New Roman"/>
          <w:color w:val="FF0000"/>
          <w:sz w:val="20"/>
          <w:shd w:fill="FFFFFF" w:val="clear"/>
        </w:rPr>
        <w:t xml:space="preserve"> </w:t>
      </w:r>
      <w:r>
        <w:rPr>
          <w:rFonts w:ascii="Times New Roman" w:hAnsi="Times New Roman"/>
          <w:color w:val="000000"/>
          <w:sz w:val="20"/>
          <w:shd w:fill="FFFFFF" w:val="clear"/>
        </w:rPr>
        <w:t>In November 2023, our Board of Directors authorized up to an additional $40.0 million of buybacks under the Buyback Program. As permitted by the Buyback Program, share repurchases may be made from time to time, in privately negotiated transactions or in the open market, including through trading plans intended to comply with Rule 10b5-1, at the discretion of our management and as permitted by securities laws and other legal requirements, including Rule 10b-18 of the Exchange Act. The Buyback Program does not obligate the Company to repurchase any specific number of shares and may be discontinued, modified or suspended at any time.</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Buyback Program commenced in June 2023 and during the nine months ended September 30, 2023, we repurchased 6.7 million Ordinary shares at an average price of $3.45 per share (excluding broker and transaction fees of $0.2 million). As of September 30, 2023 the Company had remaining authorization to repurchase shares up to an aggregate amount of $17.0 million. See Part II, Item 2. Unregistered Sales of Equity Securities and Use of Proceeds and Note 10 of Notes to the Unaudited Consolidated Interim Financial Statements.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Our future capital requirements and the adequacy of available funds will depend on many factors, including the risks and uncertainties set forth in our 2022 Form 10-K under Item 1A. “Risk Factors,” and in our subsequent filings with the SEC.</w:t>
      </w:r>
    </w:p>
    <w:p>
      <w:pPr>
        <w:pStyle w:val="TextBody"/>
        <w:bidi w:val="0"/>
        <w:spacing w:before="0" w:after="0"/>
        <w:jc w:val="left"/>
        <w:rPr>
          <w:color w:val="000000"/>
          <w:shd w:fill="FFFFFF" w:val="clear"/>
        </w:rPr>
      </w:pPr>
      <w:r>
        <w:rPr>
          <w:color w:val="000000"/>
          <w:shd w:fill="FFFFFF" w:val="clear"/>
        </w:rPr>
        <w:t> </w:t>
      </w:r>
    </w:p>
    <w:tbl>
      <w:tblPr>
        <w:tblW w:w="8600" w:type="dxa"/>
        <w:jc w:val="left"/>
        <w:tblInd w:w="0" w:type="dxa"/>
        <w:tblLayout w:type="fixed"/>
        <w:tblCellMar>
          <w:top w:w="0" w:type="dxa"/>
          <w:left w:w="0" w:type="dxa"/>
          <w:bottom w:w="0" w:type="dxa"/>
          <w:right w:w="0" w:type="dxa"/>
        </w:tblCellMar>
      </w:tblPr>
      <w:tblGrid>
        <w:gridCol w:w="6380"/>
        <w:gridCol w:w="60"/>
        <w:gridCol w:w="140"/>
        <w:gridCol w:w="755"/>
        <w:gridCol w:w="95"/>
        <w:gridCol w:w="60"/>
        <w:gridCol w:w="140"/>
        <w:gridCol w:w="875"/>
        <w:gridCol w:w="95"/>
      </w:tblGrid>
      <w:tr>
        <w:trPr/>
        <w:tc>
          <w:tcPr>
            <w:tcW w:w="63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65" w:type="dxa"/>
            <w:gridSpan w:val="6"/>
            <w:tcBorders>
              <w:bottom w:val="single" w:sz="12" w:space="0" w:color="000000"/>
            </w:tcBorders>
            <w:tcMar>
              <w:bottom w:w="28" w:type="dxa"/>
            </w:tcMar>
            <w:vAlign w:val="bottom"/>
          </w:tcPr>
          <w:p>
            <w:pPr>
              <w:pStyle w:val="TableContents"/>
              <w:bidi w:val="0"/>
              <w:spacing w:before="0" w:after="0"/>
              <w:jc w:val="center"/>
              <w:rPr>
                <w:b/>
              </w:rPr>
            </w:pPr>
            <w:r>
              <w:rPr>
                <w:b/>
              </w:rPr>
              <w:t>Nine months ended</w:t>
            </w:r>
          </w:p>
          <w:p>
            <w:pPr>
              <w:pStyle w:val="TableContents"/>
              <w:bidi w:val="0"/>
              <w:spacing w:before="0" w:after="0"/>
              <w:jc w:val="center"/>
              <w:rPr>
                <w:b/>
              </w:rPr>
            </w:pPr>
            <w:r>
              <w:rPr>
                <w:b/>
              </w:rPr>
              <w:t>September 30,</w:t>
            </w:r>
          </w:p>
        </w:tc>
        <w:tc>
          <w:tcPr>
            <w:tcW w:w="95" w:type="dxa"/>
            <w:tcBorders/>
            <w:vAlign w:val="bottom"/>
          </w:tcPr>
          <w:p>
            <w:pPr>
              <w:pStyle w:val="TableContents"/>
              <w:bidi w:val="0"/>
              <w:spacing w:before="0" w:after="283"/>
              <w:jc w:val="left"/>
              <w:rPr/>
            </w:pPr>
            <w:r>
              <w:rPr/>
              <w:t> </w:t>
            </w:r>
          </w:p>
        </w:tc>
      </w:tr>
      <w:tr>
        <w:trPr/>
        <w:tc>
          <w:tcPr>
            <w:tcW w:w="63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95"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2023</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15"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2022</w:t>
            </w:r>
          </w:p>
        </w:tc>
        <w:tc>
          <w:tcPr>
            <w:tcW w:w="95" w:type="dxa"/>
            <w:tcBorders/>
            <w:vAlign w:val="bottom"/>
          </w:tcPr>
          <w:p>
            <w:pPr>
              <w:pStyle w:val="TableContents"/>
              <w:bidi w:val="0"/>
              <w:spacing w:before="0" w:after="283"/>
              <w:jc w:val="left"/>
              <w:rPr/>
            </w:pPr>
            <w:r>
              <w:rPr/>
              <w:t> </w:t>
            </w:r>
          </w:p>
        </w:tc>
      </w:tr>
      <w:tr>
        <w:trPr/>
        <w:tc>
          <w:tcPr>
            <w:tcW w:w="63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65" w:type="dxa"/>
            <w:gridSpan w:val="6"/>
            <w:tcBorders>
              <w:bottom w:val="single" w:sz="12" w:space="0" w:color="000000"/>
            </w:tcBorders>
            <w:tcMar>
              <w:bottom w:w="28" w:type="dxa"/>
            </w:tcMar>
            <w:vAlign w:val="bottom"/>
          </w:tcPr>
          <w:p>
            <w:pPr>
              <w:pStyle w:val="TableContents"/>
              <w:bidi w:val="0"/>
              <w:spacing w:before="0" w:after="0"/>
              <w:jc w:val="center"/>
              <w:rPr>
                <w:b/>
              </w:rPr>
            </w:pPr>
            <w:r>
              <w:rPr>
                <w:b/>
              </w:rPr>
              <w:t>Unaudited</w:t>
            </w:r>
          </w:p>
        </w:tc>
        <w:tc>
          <w:tcPr>
            <w:tcW w:w="95" w:type="dxa"/>
            <w:tcBorders/>
            <w:vAlign w:val="bottom"/>
          </w:tcPr>
          <w:p>
            <w:pPr>
              <w:pStyle w:val="TableContents"/>
              <w:bidi w:val="0"/>
              <w:spacing w:before="0" w:after="283"/>
              <w:jc w:val="left"/>
              <w:rPr/>
            </w:pPr>
            <w:r>
              <w:rPr/>
              <w:t> </w:t>
            </w:r>
          </w:p>
        </w:tc>
      </w:tr>
      <w:tr>
        <w:trPr/>
        <w:tc>
          <w:tcPr>
            <w:tcW w:w="6380" w:type="dxa"/>
            <w:tcBorders/>
            <w:vAlign w:val="bottom"/>
          </w:tcPr>
          <w:p>
            <w:pPr>
              <w:pStyle w:val="TableContents"/>
              <w:bidi w:val="0"/>
              <w:spacing w:before="0" w:after="0"/>
              <w:jc w:val="left"/>
              <w:rPr>
                <w:b/>
              </w:rPr>
            </w:pPr>
            <w:r>
              <w:rPr>
                <w:b/>
              </w:rPr>
              <w:t>Cash Flow Data:</w:t>
            </w:r>
          </w:p>
        </w:tc>
        <w:tc>
          <w:tcPr>
            <w:tcW w:w="60" w:type="dxa"/>
            <w:tcBorders/>
            <w:vAlign w:val="bottom"/>
          </w:tcPr>
          <w:p>
            <w:pPr>
              <w:pStyle w:val="TableContents"/>
              <w:bidi w:val="0"/>
              <w:spacing w:before="0" w:after="283"/>
              <w:jc w:val="left"/>
              <w:rPr/>
            </w:pPr>
            <w:r>
              <w:rPr/>
              <w:t> </w:t>
            </w:r>
          </w:p>
        </w:tc>
        <w:tc>
          <w:tcPr>
            <w:tcW w:w="895" w:type="dxa"/>
            <w:gridSpan w:val="2"/>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15" w:type="dxa"/>
            <w:gridSpan w:val="2"/>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r>
      <w:tr>
        <w:trPr/>
        <w:tc>
          <w:tcPr>
            <w:tcW w:w="6380" w:type="dxa"/>
            <w:tcBorders/>
            <w:shd w:fill="CCEEFF" w:val="clear"/>
            <w:vAlign w:val="bottom"/>
          </w:tcPr>
          <w:p>
            <w:pPr>
              <w:pStyle w:val="TableContents"/>
              <w:bidi w:val="0"/>
              <w:spacing w:before="0" w:after="0"/>
              <w:jc w:val="left"/>
              <w:rPr/>
            </w:pPr>
            <w:r>
              <w:rPr/>
              <w:t>Net cash provided by operating activities</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55" w:type="dxa"/>
            <w:tcBorders/>
            <w:shd w:fill="CCEEFF" w:val="clear"/>
            <w:vAlign w:val="bottom"/>
          </w:tcPr>
          <w:p>
            <w:pPr>
              <w:pStyle w:val="TableContents"/>
              <w:bidi w:val="0"/>
              <w:spacing w:before="0" w:after="0"/>
              <w:jc w:val="right"/>
              <w:rPr/>
            </w:pPr>
            <w:r>
              <w:rPr/>
              <w:t>61,581</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75" w:type="dxa"/>
            <w:tcBorders/>
            <w:shd w:fill="CCEEFF" w:val="clear"/>
            <w:vAlign w:val="bottom"/>
          </w:tcPr>
          <w:p>
            <w:pPr>
              <w:pStyle w:val="TableContents"/>
              <w:bidi w:val="0"/>
              <w:spacing w:before="0" w:after="0"/>
              <w:jc w:val="right"/>
              <w:rPr/>
            </w:pPr>
            <w:r>
              <w:rPr/>
              <w:t>33,426</w:t>
            </w:r>
          </w:p>
        </w:tc>
        <w:tc>
          <w:tcPr>
            <w:tcW w:w="95" w:type="dxa"/>
            <w:tcBorders/>
            <w:shd w:fill="CCEEFF" w:val="clear"/>
            <w:vAlign w:val="bottom"/>
          </w:tcPr>
          <w:p>
            <w:pPr>
              <w:pStyle w:val="TableContents"/>
              <w:bidi w:val="0"/>
              <w:spacing w:before="0" w:after="283"/>
              <w:jc w:val="left"/>
              <w:rPr/>
            </w:pPr>
            <w:r>
              <w:rPr/>
              <w:t> </w:t>
            </w:r>
          </w:p>
        </w:tc>
      </w:tr>
      <w:tr>
        <w:trPr/>
        <w:tc>
          <w:tcPr>
            <w:tcW w:w="6380" w:type="dxa"/>
            <w:tcBorders/>
            <w:vAlign w:val="bottom"/>
          </w:tcPr>
          <w:p>
            <w:pPr>
              <w:pStyle w:val="TableContents"/>
              <w:bidi w:val="0"/>
              <w:spacing w:before="0" w:after="0"/>
              <w:jc w:val="left"/>
              <w:rPr/>
            </w:pPr>
            <w:r>
              <w:rPr/>
              <w:t>Net cash provided by (used in) investing activities</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0"/>
              <w:jc w:val="right"/>
              <w:rPr/>
            </w:pPr>
            <w:r>
              <w:rPr/>
              <w:t>65,245</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0"/>
              <w:jc w:val="right"/>
              <w:rPr/>
            </w:pPr>
            <w:r>
              <w:rPr/>
              <w:t>(156,581</w:t>
            </w:r>
          </w:p>
        </w:tc>
        <w:tc>
          <w:tcPr>
            <w:tcW w:w="95" w:type="dxa"/>
            <w:tcBorders/>
            <w:vAlign w:val="bottom"/>
          </w:tcPr>
          <w:p>
            <w:pPr>
              <w:pStyle w:val="TableContents"/>
              <w:bidi w:val="0"/>
              <w:spacing w:before="0" w:after="0"/>
              <w:jc w:val="left"/>
              <w:rPr/>
            </w:pPr>
            <w:r>
              <w:rPr/>
              <w:t>)</w:t>
            </w:r>
          </w:p>
        </w:tc>
      </w:tr>
      <w:tr>
        <w:trPr/>
        <w:tc>
          <w:tcPr>
            <w:tcW w:w="6380" w:type="dxa"/>
            <w:tcBorders/>
            <w:shd w:fill="CCEEFF" w:val="clear"/>
            <w:vAlign w:val="bottom"/>
          </w:tcPr>
          <w:p>
            <w:pPr>
              <w:pStyle w:val="TableContents"/>
              <w:bidi w:val="0"/>
              <w:spacing w:before="0" w:after="0"/>
              <w:jc w:val="left"/>
              <w:rPr/>
            </w:pPr>
            <w:r>
              <w:rPr/>
              <w:t>Net cash provided by (used in) financing activities</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0"/>
              <w:jc w:val="right"/>
              <w:rPr/>
            </w:pPr>
            <w:r>
              <w:rPr/>
              <w:t>(53,191</w:t>
            </w:r>
          </w:p>
        </w:tc>
        <w:tc>
          <w:tcPr>
            <w:tcW w:w="95" w:type="dxa"/>
            <w:tcBorders/>
            <w:shd w:fill="CCEEFF" w:val="clear"/>
            <w:vAlign w:val="bottom"/>
          </w:tcPr>
          <w:p>
            <w:pPr>
              <w:pStyle w:val="TableContents"/>
              <w:bidi w:val="0"/>
              <w:spacing w:before="0" w:after="0"/>
              <w:jc w:val="left"/>
              <w:rPr/>
            </w:pPr>
            <w:r>
              <w:rPr/>
              <w:t>)</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0"/>
              <w:jc w:val="right"/>
              <w:rPr/>
            </w:pPr>
            <w:r>
              <w:rPr/>
              <w:t>46</w:t>
            </w:r>
          </w:p>
        </w:tc>
        <w:tc>
          <w:tcPr>
            <w:tcW w:w="95" w:type="dxa"/>
            <w:tcBorders/>
            <w:shd w:fill="CCEEFF" w:val="clear"/>
            <w:vAlign w:val="bottom"/>
          </w:tcPr>
          <w:p>
            <w:pPr>
              <w:pStyle w:val="TableContents"/>
              <w:bidi w:val="0"/>
              <w:spacing w:before="0" w:after="283"/>
              <w:jc w:val="left"/>
              <w:rPr/>
            </w:pPr>
            <w:r>
              <w:rPr/>
              <w:t> </w:t>
            </w:r>
          </w:p>
        </w:tc>
      </w:tr>
      <w:tr>
        <w:trPr/>
        <w:tc>
          <w:tcPr>
            <w:tcW w:w="6380" w:type="dxa"/>
            <w:tcBorders/>
            <w:vAlign w:val="bottom"/>
          </w:tcPr>
          <w:p>
            <w:pPr>
              <w:pStyle w:val="TableContents"/>
              <w:bidi w:val="0"/>
              <w:spacing w:before="0" w:after="0"/>
              <w:jc w:val="left"/>
              <w:rPr/>
            </w:pPr>
            <w:r>
              <w:rPr/>
              <w:t>Exchange rate differences on balances of cash and cash equivalents</w:t>
            </w:r>
          </w:p>
        </w:tc>
        <w:tc>
          <w:tcPr>
            <w:tcW w:w="60" w:type="dxa"/>
            <w:tcBorders/>
            <w:vAlign w:val="bottom"/>
          </w:tcPr>
          <w:p>
            <w:pPr>
              <w:pStyle w:val="TableContents"/>
              <w:bidi w:val="0"/>
              <w:spacing w:before="0" w:after="283"/>
              <w:jc w:val="lef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755" w:type="dxa"/>
            <w:tcBorders>
              <w:bottom w:val="single" w:sz="12" w:space="0" w:color="000000"/>
            </w:tcBorders>
            <w:tcMar>
              <w:bottom w:w="28" w:type="dxa"/>
            </w:tcMar>
            <w:vAlign w:val="bottom"/>
          </w:tcPr>
          <w:p>
            <w:pPr>
              <w:pStyle w:val="TableContents"/>
              <w:bidi w:val="0"/>
              <w:spacing w:before="0" w:after="0"/>
              <w:jc w:val="right"/>
              <w:rPr/>
            </w:pPr>
            <w:r>
              <w:rPr/>
              <w:t>(1,269</w:t>
            </w:r>
          </w:p>
        </w:tc>
        <w:tc>
          <w:tcPr>
            <w:tcW w:w="95" w:type="dxa"/>
            <w:tcBorders/>
            <w:vAlign w:val="bottom"/>
          </w:tcPr>
          <w:p>
            <w:pPr>
              <w:pStyle w:val="TableContents"/>
              <w:bidi w:val="0"/>
              <w:spacing w:before="0" w:after="0"/>
              <w:jc w:val="left"/>
              <w:rPr/>
            </w:pPr>
            <w:r>
              <w:rPr/>
              <w:t>)</w:t>
            </w:r>
          </w:p>
        </w:tc>
        <w:tc>
          <w:tcPr>
            <w:tcW w:w="60" w:type="dxa"/>
            <w:tcBorders/>
            <w:vAlign w:val="bottom"/>
          </w:tcPr>
          <w:p>
            <w:pPr>
              <w:pStyle w:val="TableContents"/>
              <w:bidi w:val="0"/>
              <w:spacing w:before="0" w:after="283"/>
              <w:jc w:val="lef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875" w:type="dxa"/>
            <w:tcBorders>
              <w:bottom w:val="single" w:sz="12" w:space="0" w:color="000000"/>
            </w:tcBorders>
            <w:tcMar>
              <w:bottom w:w="28" w:type="dxa"/>
            </w:tcMar>
            <w:vAlign w:val="bottom"/>
          </w:tcPr>
          <w:p>
            <w:pPr>
              <w:pStyle w:val="TableContents"/>
              <w:bidi w:val="0"/>
              <w:spacing w:before="0" w:after="0"/>
              <w:jc w:val="right"/>
              <w:rPr/>
            </w:pPr>
            <w:r>
              <w:rPr/>
              <w:t>(7,733</w:t>
            </w:r>
          </w:p>
        </w:tc>
        <w:tc>
          <w:tcPr>
            <w:tcW w:w="95" w:type="dxa"/>
            <w:tcBorders/>
            <w:vAlign w:val="bottom"/>
          </w:tcPr>
          <w:p>
            <w:pPr>
              <w:pStyle w:val="TableContents"/>
              <w:bidi w:val="0"/>
              <w:spacing w:before="0" w:after="0"/>
              <w:jc w:val="left"/>
              <w:rPr/>
            </w:pPr>
            <w:r>
              <w:rPr/>
              <w:t>)</w:t>
            </w:r>
          </w:p>
        </w:tc>
      </w:tr>
      <w:tr>
        <w:trPr/>
        <w:tc>
          <w:tcPr>
            <w:tcW w:w="6380" w:type="dxa"/>
            <w:tcBorders/>
            <w:shd w:fill="CCEEFF" w:val="clear"/>
            <w:vAlign w:val="bottom"/>
          </w:tcPr>
          <w:p>
            <w:pPr>
              <w:pStyle w:val="TableContents"/>
              <w:bidi w:val="0"/>
              <w:spacing w:before="0" w:after="0"/>
              <w:jc w:val="left"/>
              <w:rPr/>
            </w:pPr>
            <w:r>
              <w:rPr/>
              <w:t>Increase (decrease) in cash and cash equivalents</w:t>
            </w:r>
          </w:p>
        </w:tc>
        <w:tc>
          <w:tcPr>
            <w:tcW w:w="60" w:type="dxa"/>
            <w:tcBorders/>
            <w:shd w:fill="CCEEFF" w:val="clear"/>
            <w:vAlign w:val="bottom"/>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w:t>
            </w:r>
          </w:p>
        </w:tc>
        <w:tc>
          <w:tcPr>
            <w:tcW w:w="755" w:type="dxa"/>
            <w:tcBorders>
              <w:bottom w:val="single" w:sz="12" w:space="0" w:color="000000"/>
            </w:tcBorders>
            <w:shd w:fill="CCEEFF" w:val="clear"/>
            <w:tcMar>
              <w:bottom w:w="28" w:type="dxa"/>
            </w:tcMar>
            <w:vAlign w:val="bottom"/>
          </w:tcPr>
          <w:p>
            <w:pPr>
              <w:pStyle w:val="TableContents"/>
              <w:bidi w:val="0"/>
              <w:spacing w:before="0" w:after="0"/>
              <w:jc w:val="right"/>
              <w:rPr/>
            </w:pPr>
            <w:r>
              <w:rPr/>
              <w:t>72,366</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w:t>
            </w:r>
          </w:p>
        </w:tc>
        <w:tc>
          <w:tcPr>
            <w:tcW w:w="875" w:type="dxa"/>
            <w:tcBorders>
              <w:bottom w:val="single" w:sz="12" w:space="0" w:color="000000"/>
            </w:tcBorders>
            <w:shd w:fill="CCEEFF" w:val="clear"/>
            <w:tcMar>
              <w:bottom w:w="28" w:type="dxa"/>
            </w:tcMar>
            <w:vAlign w:val="bottom"/>
          </w:tcPr>
          <w:p>
            <w:pPr>
              <w:pStyle w:val="TableContents"/>
              <w:bidi w:val="0"/>
              <w:spacing w:before="0" w:after="0"/>
              <w:jc w:val="right"/>
              <w:rPr/>
            </w:pPr>
            <w:r>
              <w:rPr/>
              <w:t>(130,842</w:t>
            </w:r>
          </w:p>
        </w:tc>
        <w:tc>
          <w:tcPr>
            <w:tcW w:w="95" w:type="dxa"/>
            <w:tcBorders/>
            <w:shd w:fill="CCEEFF" w:val="clear"/>
            <w:vAlign w:val="bottom"/>
          </w:tcPr>
          <w:p>
            <w:pPr>
              <w:pStyle w:val="TableContents"/>
              <w:bidi w:val="0"/>
              <w:spacing w:before="0" w:after="0"/>
              <w:jc w:val="left"/>
              <w:rPr/>
            </w:pPr>
            <w:r>
              <w:rPr/>
              <w:t>)</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Operating Activities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20" w:hanging="0"/>
        <w:jc w:val="both"/>
        <w:rPr>
          <w:rFonts w:ascii="Times New Roman" w:hAnsi="Times New Roman"/>
          <w:color w:val="000000"/>
          <w:sz w:val="20"/>
          <w:shd w:fill="FFFFFF" w:val="clear"/>
        </w:rPr>
      </w:pPr>
      <w:r>
        <w:rPr>
          <w:rFonts w:ascii="Times New Roman" w:hAnsi="Times New Roman"/>
          <w:color w:val="000000"/>
          <w:sz w:val="20"/>
          <w:shd w:fill="FFFFFF" w:val="clear"/>
        </w:rPr>
        <w:t>During the nine months ended September 30 2023, net cash provided by operating activities was $61.6 million, an increase of $28.2 million, compared to $33.4 million for the same period in 2022. The $61.6 million was related to our net loss of $85.8 million adjusted by non-cash charges of $120.4 million and changes in working capital of $26.9 million.</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20" w:hanging="0"/>
        <w:jc w:val="both"/>
        <w:rPr>
          <w:rFonts w:ascii="Times New Roman" w:hAnsi="Times New Roman"/>
          <w:color w:val="000000"/>
          <w:sz w:val="20"/>
          <w:shd w:fill="FFFFFF" w:val="clear"/>
        </w:rPr>
      </w:pPr>
      <w:r>
        <w:rPr>
          <w:rFonts w:ascii="Times New Roman" w:hAnsi="Times New Roman"/>
          <w:color w:val="000000"/>
          <w:sz w:val="20"/>
          <w:shd w:fill="FFFFFF" w:val="clear"/>
        </w:rPr>
        <w:t>The $120.4 million of non-cash charges primarily consisted of depreciation and amortization of $70.7 million and share-based compensation expense related to vested equity awards of $48.9 million.</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$26.9 million increase in cash resulting from changes in working capital primarily consisted of $24.6 million decrease in trade receivables, net, increase of $5.4 million in accrued expenses and other current liabilities and other long-term liabilities, $2.6 million decrease in prepaid expenses and other current assets and long-term prepaid expenses and $2.2 million increase in trade payables, partially offset by $8.2 million decrease in deferred taxes, net.</w:t>
      </w:r>
    </w:p>
    <w:p>
      <w:pPr>
        <w:pStyle w:val="TextBody"/>
        <w:bidi w:val="0"/>
        <w:spacing w:before="0" w:after="0"/>
        <w:jc w:val="left"/>
        <w:rPr>
          <w:color w:val="000000"/>
          <w:shd w:fill="FFFFFF" w:val="clear"/>
        </w:rPr>
      </w:pPr>
      <w:r>
        <w:rPr>
          <w:color w:val="000000"/>
          <w:shd w:fill="FFFFFF" w:val="clear"/>
        </w:rPr>
        <w:t> </w:t>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46</w:t>
      </w:r>
    </w:p>
    <w:p>
      <w:pPr>
        <w:pStyle w:val="HorizontalLine"/>
        <w:bidi w:val="0"/>
        <w:spacing w:before="200" w:after="200"/>
        <w:jc w:val="left"/>
        <w:rPr/>
      </w:pPr>
      <w:r>
        <w:rPr/>
      </w:r>
    </w:p>
    <w:p>
      <w:pPr>
        <w:pStyle w:val="TextBody"/>
        <w:bidi w:val="0"/>
        <w:spacing w:before="200" w:after="200"/>
        <w:jc w:val="left"/>
        <w:rPr/>
      </w:pPr>
      <w:hyperlink w:anchor="Contents">
        <w:r>
          <w:rPr>
            <w:rStyle w:val="InternetLink"/>
            <w:rFonts w:ascii="Times New Roman" w:hAnsi="Times New Roman"/>
            <w:i/>
            <w:color w:val="000000"/>
            <w:sz w:val="16"/>
            <w:shd w:fill="FFFFFF" w:val="clear"/>
          </w:rPr>
          <w:t>Table of Contents</w:t>
        </w:r>
      </w:hyperlink>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Net cash provided by operating activities of $33.4 million for the nine months ended September 30, 2022 was primarily related to our net loss of $27.2 million adjusted by non-cash charges of $109.1 million and changes in working capital of $48.5 million. The non-cash charges are mainly related to depreciation and amortization expenses of $68.7 million, mainly from Connexity intangibles acquired, and share-based compensation expense of $59.0 million offset by revaluation benefit of $27.0 million of the Warrants liability. The $48.5 million decrease in working capital primarily consisted of $54.7 million decrease in trade payables, $25.5 million decrease in accrued expenses and other current liabilities, $13.9 million increase in prepaid expenses and other currents and long-term prepaid expenses and $9.7 million decrease in deferred taxes, net partially offset by $60.7 million decrease in trade receivables. The changes in the working capital were primarily due to changes in our operations, prepayments to digital properties partners, tax payments and interest payments related to our long-term loan, in the normal course of business.</w:t>
      </w:r>
    </w:p>
    <w:p>
      <w:pPr>
        <w:pStyle w:val="TextBody"/>
        <w:bidi w:val="0"/>
        <w:spacing w:before="0" w:after="0"/>
        <w:jc w:val="both"/>
        <w:rPr/>
      </w:pPr>
      <w:r>
        <w:rPr/>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Investing Activities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During the nine months ended September 30, 2023, net cash provided by investing activities was $65.2 million, an increase of $221.8 million, compared to $156.6 million in net cash used in the same period in 2022. Net cash provided by investing activities for the nine months ended September 30, 2023 primarily consisted of $107.7 million proceeds from sales and maturities of short-term investments partially offset by $22.0 million purchase of short-term investments and $19.8 million purchase of property and equipment, including capitalized internal-use software.</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Net cash used in investing activities of $156.6 million for the nine months ended September 30, 2022 primarily consisted of $126.4 million of purchase of short-term investments, $28.5 million purchase of property and equipment, including capitalized internal-use software and $8.0 million cash paid in connection with acquisitions, partially offset by $6.2 million proceeds from sales and maturities of short-term investments.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Financing Activities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During the nine months ended September 30, 2023, net cash used in financing activities was $53.2 million, a decrease of $53.2 million, compared to less than $0.1 million in net cash provided for the same period in 2022. Net cash used in financing activities for the nine months ended September 30, 2023 consisted of $32.3 million repayment of the current portion of our long-term loan, $23.2 million repurchase of Ordinary shares and $3.2 million payment of tax withholding for share-based compensation, offset by $5.4 million proceeds received from share option exercises and vested RSUs.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Net cash provided by financing activities of less than $0.1 million for the nine months ended September 30, 2022, consisted of $7.5 million from proceeds received from share option exercises and vested RSUs offset by $4.1 million payment of tax withholding for share-based compensation, $2.3 million repayment of current portion of our long-term loan and $1.1 million costs associated with entering into the Revolving Facility.</w:t>
      </w:r>
    </w:p>
    <w:p>
      <w:pPr>
        <w:pStyle w:val="TextBody"/>
        <w:bidi w:val="0"/>
        <w:spacing w:before="0" w:after="0"/>
        <w:jc w:val="left"/>
        <w:rPr>
          <w:color w:val="000000"/>
          <w:shd w:fill="FFFFFF" w:val="clear"/>
        </w:rPr>
      </w:pPr>
      <w:r>
        <w:rPr>
          <w:color w:val="000000"/>
          <w:shd w:fill="FFFFFF" w:val="clear"/>
        </w:rPr>
        <w:t> </w:t>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47</w:t>
      </w:r>
    </w:p>
    <w:p>
      <w:pPr>
        <w:pStyle w:val="HorizontalLine"/>
        <w:bidi w:val="0"/>
        <w:spacing w:before="200" w:after="200"/>
        <w:jc w:val="left"/>
        <w:rPr/>
      </w:pPr>
      <w:r>
        <w:rPr/>
      </w:r>
    </w:p>
    <w:p>
      <w:pPr>
        <w:pStyle w:val="TextBody"/>
        <w:bidi w:val="0"/>
        <w:spacing w:before="200" w:after="200"/>
        <w:jc w:val="left"/>
        <w:rPr/>
      </w:pPr>
      <w:hyperlink w:anchor="Contents">
        <w:r>
          <w:rPr>
            <w:rStyle w:val="InternetLink"/>
            <w:rFonts w:ascii="Times New Roman" w:hAnsi="Times New Roman"/>
            <w:i/>
            <w:color w:val="000000"/>
            <w:sz w:val="16"/>
            <w:shd w:fill="FFFFFF" w:val="clear"/>
          </w:rPr>
          <w:t>Table of Contents</w:t>
        </w:r>
      </w:hyperlink>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Contractual Obligations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following table discloses aggregate information about material contractual obligations and the periods in which they are due as of September 30, 2023. Future events could cause actual payments to differ from these estimates.</w:t>
      </w:r>
    </w:p>
    <w:p>
      <w:pPr>
        <w:pStyle w:val="TextBody"/>
        <w:bidi w:val="0"/>
        <w:spacing w:before="0" w:after="0"/>
        <w:jc w:val="left"/>
        <w:rPr>
          <w:color w:val="000000"/>
          <w:shd w:fill="FFFFFF" w:val="clear"/>
        </w:rPr>
      </w:pPr>
      <w:r>
        <w:rPr>
          <w:color w:val="000000"/>
          <w:shd w:fill="FFFFFF" w:val="clear"/>
        </w:rPr>
        <w:t> </w:t>
      </w:r>
    </w:p>
    <w:tbl>
      <w:tblPr>
        <w:tblW w:w="9825" w:type="dxa"/>
        <w:jc w:val="left"/>
        <w:tblInd w:w="0" w:type="dxa"/>
        <w:tblLayout w:type="fixed"/>
        <w:tblCellMar>
          <w:top w:w="0" w:type="dxa"/>
          <w:left w:w="0" w:type="dxa"/>
          <w:bottom w:w="0" w:type="dxa"/>
          <w:right w:w="0" w:type="dxa"/>
        </w:tblCellMar>
      </w:tblPr>
      <w:tblGrid>
        <w:gridCol w:w="3890"/>
        <w:gridCol w:w="60"/>
        <w:gridCol w:w="140"/>
        <w:gridCol w:w="680"/>
        <w:gridCol w:w="60"/>
        <w:gridCol w:w="60"/>
        <w:gridCol w:w="140"/>
        <w:gridCol w:w="680"/>
        <w:gridCol w:w="60"/>
        <w:gridCol w:w="60"/>
        <w:gridCol w:w="140"/>
        <w:gridCol w:w="680"/>
        <w:gridCol w:w="60"/>
        <w:gridCol w:w="60"/>
        <w:gridCol w:w="140"/>
        <w:gridCol w:w="680"/>
        <w:gridCol w:w="60"/>
        <w:gridCol w:w="60"/>
        <w:gridCol w:w="140"/>
        <w:gridCol w:w="680"/>
        <w:gridCol w:w="60"/>
        <w:gridCol w:w="60"/>
        <w:gridCol w:w="166"/>
        <w:gridCol w:w="949"/>
        <w:gridCol w:w="60"/>
      </w:tblGrid>
      <w:tr>
        <w:trPr/>
        <w:tc>
          <w:tcPr>
            <w:tcW w:w="389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815" w:type="dxa"/>
            <w:gridSpan w:val="22"/>
            <w:tcBorders>
              <w:bottom w:val="single" w:sz="12" w:space="0" w:color="000000"/>
            </w:tcBorders>
            <w:tcMar>
              <w:bottom w:w="28" w:type="dxa"/>
            </w:tcMar>
            <w:vAlign w:val="bottom"/>
          </w:tcPr>
          <w:p>
            <w:pPr>
              <w:pStyle w:val="TableContents"/>
              <w:bidi w:val="0"/>
              <w:spacing w:before="0" w:after="0"/>
              <w:jc w:val="center"/>
              <w:rPr>
                <w:b/>
              </w:rPr>
            </w:pPr>
            <w:r>
              <w:rPr>
                <w:b/>
              </w:rPr>
              <w:t>Contractual Obligations by Period</w:t>
            </w:r>
          </w:p>
        </w:tc>
        <w:tc>
          <w:tcPr>
            <w:tcW w:w="60" w:type="dxa"/>
            <w:tcBorders/>
            <w:vAlign w:val="bottom"/>
          </w:tcPr>
          <w:p>
            <w:pPr>
              <w:pStyle w:val="TableContents"/>
              <w:bidi w:val="0"/>
              <w:spacing w:before="0" w:after="283"/>
              <w:jc w:val="left"/>
              <w:rPr/>
            </w:pPr>
            <w:r>
              <w:rPr/>
              <w:t> </w:t>
            </w:r>
          </w:p>
        </w:tc>
      </w:tr>
      <w:tr>
        <w:trPr/>
        <w:tc>
          <w:tcPr>
            <w:tcW w:w="389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5" w:type="dxa"/>
            <w:gridSpan w:val="2"/>
            <w:tcBorders>
              <w:bottom w:val="single" w:sz="12" w:space="0" w:color="000000"/>
            </w:tcBorders>
            <w:tcMar>
              <w:bottom w:w="28" w:type="dxa"/>
            </w:tcMar>
            <w:vAlign w:val="bottom"/>
          </w:tcPr>
          <w:p>
            <w:pPr>
              <w:pStyle w:val="TableContents"/>
              <w:bidi w:val="0"/>
              <w:spacing w:before="0" w:after="0"/>
              <w:jc w:val="center"/>
              <w:rPr>
                <w:b/>
              </w:rPr>
            </w:pPr>
            <w:r>
              <w:rPr>
                <w:b/>
              </w:rPr>
              <w:t>Thereafter</w:t>
            </w:r>
          </w:p>
        </w:tc>
        <w:tc>
          <w:tcPr>
            <w:tcW w:w="60" w:type="dxa"/>
            <w:tcBorders/>
            <w:vAlign w:val="bottom"/>
          </w:tcPr>
          <w:p>
            <w:pPr>
              <w:pStyle w:val="TableContents"/>
              <w:bidi w:val="0"/>
              <w:spacing w:before="0" w:after="283"/>
              <w:jc w:val="left"/>
              <w:rPr/>
            </w:pPr>
            <w:r>
              <w:rPr/>
              <w:t> </w:t>
            </w:r>
          </w:p>
        </w:tc>
      </w:tr>
      <w:tr>
        <w:trPr/>
        <w:tc>
          <w:tcPr>
            <w:tcW w:w="389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815" w:type="dxa"/>
            <w:gridSpan w:val="22"/>
            <w:tcBorders/>
            <w:vAlign w:val="bottom"/>
          </w:tcPr>
          <w:p>
            <w:pPr>
              <w:pStyle w:val="TableContents"/>
              <w:bidi w:val="0"/>
              <w:spacing w:before="0" w:after="0"/>
              <w:jc w:val="center"/>
              <w:rPr>
                <w:b/>
              </w:rPr>
            </w:pPr>
            <w:r>
              <w:rPr>
                <w:b/>
              </w:rPr>
              <w:t>(dollars in thousands)</w:t>
            </w:r>
          </w:p>
        </w:tc>
        <w:tc>
          <w:tcPr>
            <w:tcW w:w="60" w:type="dxa"/>
            <w:tcBorders/>
            <w:vAlign w:val="bottom"/>
          </w:tcPr>
          <w:p>
            <w:pPr>
              <w:pStyle w:val="TableContents"/>
              <w:bidi w:val="0"/>
              <w:spacing w:before="0" w:after="283"/>
              <w:jc w:val="left"/>
              <w:rPr/>
            </w:pPr>
            <w:r>
              <w:rPr/>
              <w:t> </w:t>
            </w:r>
          </w:p>
        </w:tc>
      </w:tr>
      <w:tr>
        <w:trPr/>
        <w:tc>
          <w:tcPr>
            <w:tcW w:w="3890" w:type="dxa"/>
            <w:tcBorders/>
            <w:shd w:fill="CCEEFF" w:val="clear"/>
            <w:vAlign w:val="bottom"/>
          </w:tcPr>
          <w:p>
            <w:pPr>
              <w:pStyle w:val="TableContents"/>
              <w:bidi w:val="0"/>
              <w:spacing w:before="0" w:after="0"/>
              <w:jc w:val="left"/>
              <w:rPr/>
            </w:pPr>
            <w:r>
              <w:rPr/>
              <w:t>Debt Obligations</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0"/>
              <w:jc w:val="left"/>
              <w:rPr/>
            </w:pPr>
            <w:r>
              <w:rPr/>
              <w:t>$</w:t>
            </w:r>
          </w:p>
        </w:tc>
        <w:tc>
          <w:tcPr>
            <w:tcW w:w="680" w:type="dxa"/>
            <w:tcBorders/>
            <w:shd w:fill="CCEEFF" w:val="clear"/>
            <w:vAlign w:val="bottom"/>
          </w:tcPr>
          <w:p>
            <w:pPr>
              <w:pStyle w:val="TableContents"/>
              <w:bidi w:val="0"/>
              <w:spacing w:before="0" w:after="0"/>
              <w:jc w:val="right"/>
              <w:rPr/>
            </w:pPr>
            <w:r>
              <w:rPr/>
              <w:t>50,750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0"/>
              <w:jc w:val="left"/>
              <w:rPr/>
            </w:pPr>
            <w:r>
              <w:rPr/>
              <w:t>$</w:t>
            </w:r>
          </w:p>
        </w:tc>
        <w:tc>
          <w:tcPr>
            <w:tcW w:w="680" w:type="dxa"/>
            <w:tcBorders/>
            <w:shd w:fill="CCEEFF" w:val="clear"/>
            <w:vAlign w:val="bottom"/>
          </w:tcPr>
          <w:p>
            <w:pPr>
              <w:pStyle w:val="TableContents"/>
              <w:bidi w:val="0"/>
              <w:spacing w:before="0" w:after="0"/>
              <w:jc w:val="right"/>
              <w:rPr/>
            </w:pPr>
            <w:r>
              <w:rPr/>
              <w:t>3,000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0"/>
              <w:jc w:val="left"/>
              <w:rPr/>
            </w:pPr>
            <w:r>
              <w:rPr/>
              <w:t>$</w:t>
            </w:r>
          </w:p>
        </w:tc>
        <w:tc>
          <w:tcPr>
            <w:tcW w:w="680" w:type="dxa"/>
            <w:tcBorders/>
            <w:shd w:fill="CCEEFF" w:val="clear"/>
            <w:vAlign w:val="bottom"/>
          </w:tcPr>
          <w:p>
            <w:pPr>
              <w:pStyle w:val="TableContents"/>
              <w:bidi w:val="0"/>
              <w:spacing w:before="0" w:after="0"/>
              <w:jc w:val="right"/>
              <w:rPr/>
            </w:pPr>
            <w:r>
              <w:rPr/>
              <w:t>3,000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0"/>
              <w:jc w:val="left"/>
              <w:rPr/>
            </w:pPr>
            <w:r>
              <w:rPr/>
              <w:t>$</w:t>
            </w:r>
          </w:p>
        </w:tc>
        <w:tc>
          <w:tcPr>
            <w:tcW w:w="680" w:type="dxa"/>
            <w:tcBorders/>
            <w:shd w:fill="CCEEFF" w:val="clear"/>
            <w:vAlign w:val="bottom"/>
          </w:tcPr>
          <w:p>
            <w:pPr>
              <w:pStyle w:val="TableContents"/>
              <w:bidi w:val="0"/>
              <w:spacing w:before="0" w:after="0"/>
              <w:jc w:val="right"/>
              <w:rPr/>
            </w:pPr>
            <w:r>
              <w:rPr/>
              <w:t>3,000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0"/>
              <w:jc w:val="left"/>
              <w:rPr/>
            </w:pPr>
            <w:r>
              <w:rPr/>
              <w:t>$</w:t>
            </w:r>
          </w:p>
        </w:tc>
        <w:tc>
          <w:tcPr>
            <w:tcW w:w="680" w:type="dxa"/>
            <w:tcBorders/>
            <w:shd w:fill="CCEEFF" w:val="clear"/>
            <w:vAlign w:val="bottom"/>
          </w:tcPr>
          <w:p>
            <w:pPr>
              <w:pStyle w:val="TableContents"/>
              <w:bidi w:val="0"/>
              <w:spacing w:before="0" w:after="0"/>
              <w:jc w:val="right"/>
              <w:rPr/>
            </w:pPr>
            <w:r>
              <w:rPr/>
              <w:t>3,000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0"/>
              <w:jc w:val="left"/>
              <w:rPr/>
            </w:pPr>
            <w:r>
              <w:rPr/>
              <w:t>$</w:t>
            </w:r>
          </w:p>
        </w:tc>
        <w:tc>
          <w:tcPr>
            <w:tcW w:w="949" w:type="dxa"/>
            <w:tcBorders/>
            <w:shd w:fill="CCEEFF" w:val="clear"/>
            <w:vAlign w:val="bottom"/>
          </w:tcPr>
          <w:p>
            <w:pPr>
              <w:pStyle w:val="TableContents"/>
              <w:bidi w:val="0"/>
              <w:spacing w:before="0" w:after="0"/>
              <w:jc w:val="right"/>
              <w:rPr/>
            </w:pPr>
            <w:r>
              <w:rPr/>
              <w:t>139,985</w:t>
            </w:r>
          </w:p>
        </w:tc>
        <w:tc>
          <w:tcPr>
            <w:tcW w:w="60" w:type="dxa"/>
            <w:tcBorders/>
            <w:shd w:fill="CCEEFF" w:val="clear"/>
            <w:vAlign w:val="bottom"/>
          </w:tcPr>
          <w:p>
            <w:pPr>
              <w:pStyle w:val="TableContents"/>
              <w:bidi w:val="0"/>
              <w:spacing w:before="0" w:after="283"/>
              <w:jc w:val="left"/>
              <w:rPr/>
            </w:pPr>
            <w:r>
              <w:rPr/>
              <w:t> </w:t>
            </w:r>
          </w:p>
        </w:tc>
      </w:tr>
      <w:tr>
        <w:trPr/>
        <w:tc>
          <w:tcPr>
            <w:tcW w:w="3890" w:type="dxa"/>
            <w:tcBorders/>
            <w:vAlign w:val="bottom"/>
          </w:tcPr>
          <w:p>
            <w:pPr>
              <w:pStyle w:val="TableContents"/>
              <w:bidi w:val="0"/>
              <w:spacing w:before="0" w:after="0"/>
              <w:jc w:val="left"/>
              <w:rPr/>
            </w:pPr>
            <w:r>
              <w:rPr/>
              <w:t>Operating Leases (1)</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0"/>
              <w:jc w:val="right"/>
              <w:rPr/>
            </w:pPr>
            <w:r>
              <w:rPr/>
              <w:t>4,922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0"/>
              <w:jc w:val="right"/>
              <w:rPr/>
            </w:pPr>
            <w:r>
              <w:rPr/>
              <w:t>21,703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0"/>
              <w:jc w:val="right"/>
              <w:rPr/>
            </w:pPr>
            <w:r>
              <w:rPr/>
              <w:t>17,079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0"/>
              <w:jc w:val="right"/>
              <w:rPr/>
            </w:pPr>
            <w:r>
              <w:rPr/>
              <w:t>13,845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0"/>
              <w:jc w:val="right"/>
              <w:rPr/>
            </w:pPr>
            <w:r>
              <w:rPr/>
              <w:t>9,483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949" w:type="dxa"/>
            <w:tcBorders/>
            <w:vAlign w:val="bottom"/>
          </w:tcPr>
          <w:p>
            <w:pPr>
              <w:pStyle w:val="TableContents"/>
              <w:bidi w:val="0"/>
              <w:spacing w:before="0" w:after="0"/>
              <w:jc w:val="right"/>
              <w:rPr/>
            </w:pPr>
            <w:r>
              <w:rPr/>
              <w:t>13,692</w:t>
            </w:r>
          </w:p>
        </w:tc>
        <w:tc>
          <w:tcPr>
            <w:tcW w:w="60" w:type="dxa"/>
            <w:tcBorders/>
            <w:vAlign w:val="bottom"/>
          </w:tcPr>
          <w:p>
            <w:pPr>
              <w:pStyle w:val="TableContents"/>
              <w:bidi w:val="0"/>
              <w:spacing w:before="0" w:after="283"/>
              <w:jc w:val="left"/>
              <w:rPr/>
            </w:pPr>
            <w:r>
              <w:rPr/>
              <w:t> </w:t>
            </w:r>
          </w:p>
        </w:tc>
      </w:tr>
      <w:tr>
        <w:trPr/>
        <w:tc>
          <w:tcPr>
            <w:tcW w:w="3890" w:type="dxa"/>
            <w:tcBorders/>
            <w:shd w:fill="CCEEFF" w:val="clear"/>
            <w:vAlign w:val="bottom"/>
          </w:tcPr>
          <w:p>
            <w:pPr>
              <w:pStyle w:val="TableContents"/>
              <w:bidi w:val="0"/>
              <w:spacing w:before="0" w:after="0"/>
              <w:jc w:val="left"/>
              <w:rPr/>
            </w:pPr>
            <w:r>
              <w:rPr/>
              <w:t>Non-cancellable purchase obligations (2)</w:t>
            </w:r>
          </w:p>
        </w:tc>
        <w:tc>
          <w:tcPr>
            <w:tcW w:w="60" w:type="dxa"/>
            <w:tcBorders/>
            <w:shd w:fill="CCEEFF" w:val="clear"/>
            <w:vAlign w:val="bottom"/>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80" w:type="dxa"/>
            <w:tcBorders>
              <w:bottom w:val="single" w:sz="12" w:space="0" w:color="000000"/>
            </w:tcBorders>
            <w:shd w:fill="CCEEFF" w:val="clear"/>
            <w:tcMar>
              <w:bottom w:w="28" w:type="dxa"/>
            </w:tcMar>
            <w:vAlign w:val="bottom"/>
          </w:tcPr>
          <w:p>
            <w:pPr>
              <w:pStyle w:val="TableContents"/>
              <w:bidi w:val="0"/>
              <w:spacing w:before="0" w:after="0"/>
              <w:jc w:val="right"/>
              <w:rPr/>
            </w:pPr>
            <w:r>
              <w:rPr/>
              <w:t>9,854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80" w:type="dxa"/>
            <w:tcBorders>
              <w:bottom w:val="single" w:sz="12" w:space="0" w:color="000000"/>
            </w:tcBorders>
            <w:shd w:fill="CCEEFF" w:val="clear"/>
            <w:tcMar>
              <w:bottom w:w="28" w:type="dxa"/>
            </w:tcMar>
            <w:vAlign w:val="bottom"/>
          </w:tcPr>
          <w:p>
            <w:pPr>
              <w:pStyle w:val="TableContents"/>
              <w:bidi w:val="0"/>
              <w:spacing w:before="0" w:after="0"/>
              <w:jc w:val="right"/>
              <w:rPr/>
            </w:pPr>
            <w:r>
              <w:rPr/>
              <w:t>8,412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80" w:type="dxa"/>
            <w:tcBorders>
              <w:bottom w:val="single" w:sz="12" w:space="0" w:color="000000"/>
            </w:tcBorders>
            <w:shd w:fill="CCEEFF" w:val="clear"/>
            <w:tcMar>
              <w:bottom w:w="28" w:type="dxa"/>
            </w:tcMar>
            <w:vAlign w:val="bottom"/>
          </w:tcPr>
          <w:p>
            <w:pPr>
              <w:pStyle w:val="TableContents"/>
              <w:bidi w:val="0"/>
              <w:spacing w:before="0" w:after="0"/>
              <w:jc w:val="right"/>
              <w:rPr/>
            </w:pPr>
            <w:r>
              <w:rPr/>
              <w:t>595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80" w:type="dxa"/>
            <w:tcBorders>
              <w:bottom w:val="single" w:sz="12" w:space="0" w:color="000000"/>
            </w:tcBorders>
            <w:shd w:fill="CCEEFF" w:val="clear"/>
            <w:tcMar>
              <w:bottom w:w="28" w:type="dxa"/>
            </w:tcMar>
            <w:vAlign w:val="bottom"/>
          </w:tcPr>
          <w:p>
            <w:pPr>
              <w:pStyle w:val="TableContents"/>
              <w:bidi w:val="0"/>
              <w:spacing w:before="0" w:after="0"/>
              <w:jc w:val="right"/>
              <w:rPr/>
            </w:pPr>
            <w:r>
              <w:rPr/>
              <w:t>101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80" w:type="dxa"/>
            <w:tcBorders>
              <w:bottom w:val="single" w:sz="12" w:space="0" w:color="000000"/>
            </w:tcBorders>
            <w:shd w:fill="CCEEFF" w:val="clear"/>
            <w:tcMar>
              <w:bottom w:w="28" w:type="dxa"/>
            </w:tcMar>
            <w:vAlign w:val="bottom"/>
          </w:tcPr>
          <w:p>
            <w:pPr>
              <w:pStyle w:val="TableContents"/>
              <w:bidi w:val="0"/>
              <w:spacing w:before="0" w:after="0"/>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6"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49" w:type="dxa"/>
            <w:tcBorders>
              <w:bottom w:val="single" w:sz="12" w:space="0" w:color="000000"/>
            </w:tcBorders>
            <w:shd w:fill="CCEEFF" w:val="clear"/>
            <w:tcMar>
              <w:bottom w:w="28" w:type="dxa"/>
            </w:tcMar>
            <w:vAlign w:val="bottom"/>
          </w:tcPr>
          <w:p>
            <w:pPr>
              <w:pStyle w:val="TableContents"/>
              <w:bidi w:val="0"/>
              <w:spacing w:before="0" w:after="0"/>
              <w:jc w:val="right"/>
              <w:rPr/>
            </w:pPr>
            <w:r>
              <w:rPr/>
              <w:t>—</w:t>
            </w:r>
          </w:p>
        </w:tc>
        <w:tc>
          <w:tcPr>
            <w:tcW w:w="60" w:type="dxa"/>
            <w:tcBorders/>
            <w:shd w:fill="CCEEFF" w:val="clear"/>
            <w:vAlign w:val="bottom"/>
          </w:tcPr>
          <w:p>
            <w:pPr>
              <w:pStyle w:val="TableContents"/>
              <w:bidi w:val="0"/>
              <w:spacing w:before="0" w:after="283"/>
              <w:jc w:val="left"/>
              <w:rPr/>
            </w:pPr>
            <w:r>
              <w:rPr/>
              <w:t> </w:t>
            </w:r>
          </w:p>
        </w:tc>
      </w:tr>
      <w:tr>
        <w:trPr/>
        <w:tc>
          <w:tcPr>
            <w:tcW w:w="3890" w:type="dxa"/>
            <w:tcBorders/>
            <w:vAlign w:val="bottom"/>
          </w:tcPr>
          <w:p>
            <w:pPr>
              <w:pStyle w:val="TableContents"/>
              <w:bidi w:val="0"/>
              <w:spacing w:before="0" w:after="0"/>
              <w:jc w:val="left"/>
              <w:rPr/>
            </w:pPr>
            <w:r>
              <w:rPr/>
              <w:t>Total Contractual Obligations</w:t>
            </w:r>
          </w:p>
        </w:tc>
        <w:tc>
          <w:tcPr>
            <w:tcW w:w="60" w:type="dxa"/>
            <w:tcBorders/>
            <w:vAlign w:val="bottom"/>
          </w:tcPr>
          <w:p>
            <w:pPr>
              <w:pStyle w:val="TableContents"/>
              <w:bidi w:val="0"/>
              <w:spacing w:before="0" w:after="283"/>
              <w:jc w:val="left"/>
              <w:rPr/>
            </w:pPr>
            <w:r>
              <w:rPr/>
              <w:t> </w:t>
            </w:r>
          </w:p>
        </w:tc>
        <w:tc>
          <w:tcPr>
            <w:tcW w:w="140" w:type="dxa"/>
            <w:tcBorders>
              <w:bottom w:val="single" w:sz="12" w:space="0" w:color="000000"/>
            </w:tcBorders>
            <w:tcMar>
              <w:bottom w:w="28" w:type="dxa"/>
            </w:tcMar>
            <w:vAlign w:val="bottom"/>
          </w:tcPr>
          <w:p>
            <w:pPr>
              <w:pStyle w:val="TableContents"/>
              <w:bidi w:val="0"/>
              <w:spacing w:before="0" w:after="0"/>
              <w:jc w:val="left"/>
              <w:rPr/>
            </w:pPr>
            <w:r>
              <w:rPr/>
              <w:t>$</w:t>
            </w:r>
          </w:p>
        </w:tc>
        <w:tc>
          <w:tcPr>
            <w:tcW w:w="680" w:type="dxa"/>
            <w:tcBorders>
              <w:bottom w:val="single" w:sz="12" w:space="0" w:color="000000"/>
            </w:tcBorders>
            <w:tcMar>
              <w:bottom w:w="28" w:type="dxa"/>
            </w:tcMar>
            <w:vAlign w:val="bottom"/>
          </w:tcPr>
          <w:p>
            <w:pPr>
              <w:pStyle w:val="TableContents"/>
              <w:bidi w:val="0"/>
              <w:spacing w:before="0" w:after="0"/>
              <w:jc w:val="right"/>
              <w:rPr/>
            </w:pPr>
            <w:r>
              <w:rPr/>
              <w:t>65,526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bottom w:val="single" w:sz="12" w:space="0" w:color="000000"/>
            </w:tcBorders>
            <w:tcMar>
              <w:bottom w:w="28" w:type="dxa"/>
            </w:tcMar>
            <w:vAlign w:val="bottom"/>
          </w:tcPr>
          <w:p>
            <w:pPr>
              <w:pStyle w:val="TableContents"/>
              <w:bidi w:val="0"/>
              <w:spacing w:before="0" w:after="0"/>
              <w:jc w:val="left"/>
              <w:rPr/>
            </w:pPr>
            <w:r>
              <w:rPr/>
              <w:t>$</w:t>
            </w:r>
          </w:p>
        </w:tc>
        <w:tc>
          <w:tcPr>
            <w:tcW w:w="680" w:type="dxa"/>
            <w:tcBorders>
              <w:bottom w:val="single" w:sz="12" w:space="0" w:color="000000"/>
            </w:tcBorders>
            <w:tcMar>
              <w:bottom w:w="28" w:type="dxa"/>
            </w:tcMar>
            <w:vAlign w:val="bottom"/>
          </w:tcPr>
          <w:p>
            <w:pPr>
              <w:pStyle w:val="TableContents"/>
              <w:bidi w:val="0"/>
              <w:spacing w:before="0" w:after="0"/>
              <w:jc w:val="right"/>
              <w:rPr/>
            </w:pPr>
            <w:r>
              <w:rPr/>
              <w:t>33,115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bottom w:val="single" w:sz="12" w:space="0" w:color="000000"/>
            </w:tcBorders>
            <w:tcMar>
              <w:bottom w:w="28" w:type="dxa"/>
            </w:tcMar>
            <w:vAlign w:val="bottom"/>
          </w:tcPr>
          <w:p>
            <w:pPr>
              <w:pStyle w:val="TableContents"/>
              <w:bidi w:val="0"/>
              <w:spacing w:before="0" w:after="0"/>
              <w:jc w:val="left"/>
              <w:rPr/>
            </w:pPr>
            <w:r>
              <w:rPr/>
              <w:t>$</w:t>
            </w:r>
          </w:p>
        </w:tc>
        <w:tc>
          <w:tcPr>
            <w:tcW w:w="680" w:type="dxa"/>
            <w:tcBorders>
              <w:bottom w:val="single" w:sz="12" w:space="0" w:color="000000"/>
            </w:tcBorders>
            <w:tcMar>
              <w:bottom w:w="28" w:type="dxa"/>
            </w:tcMar>
            <w:vAlign w:val="bottom"/>
          </w:tcPr>
          <w:p>
            <w:pPr>
              <w:pStyle w:val="TableContents"/>
              <w:bidi w:val="0"/>
              <w:spacing w:before="0" w:after="0"/>
              <w:jc w:val="right"/>
              <w:rPr/>
            </w:pPr>
            <w:r>
              <w:rPr/>
              <w:t>20,674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bottom w:val="single" w:sz="12" w:space="0" w:color="000000"/>
            </w:tcBorders>
            <w:tcMar>
              <w:bottom w:w="28" w:type="dxa"/>
            </w:tcMar>
            <w:vAlign w:val="bottom"/>
          </w:tcPr>
          <w:p>
            <w:pPr>
              <w:pStyle w:val="TableContents"/>
              <w:bidi w:val="0"/>
              <w:spacing w:before="0" w:after="0"/>
              <w:jc w:val="left"/>
              <w:rPr/>
            </w:pPr>
            <w:r>
              <w:rPr/>
              <w:t>$</w:t>
            </w:r>
          </w:p>
        </w:tc>
        <w:tc>
          <w:tcPr>
            <w:tcW w:w="680" w:type="dxa"/>
            <w:tcBorders>
              <w:bottom w:val="single" w:sz="12" w:space="0" w:color="000000"/>
            </w:tcBorders>
            <w:tcMar>
              <w:bottom w:w="28" w:type="dxa"/>
            </w:tcMar>
            <w:vAlign w:val="bottom"/>
          </w:tcPr>
          <w:p>
            <w:pPr>
              <w:pStyle w:val="TableContents"/>
              <w:bidi w:val="0"/>
              <w:spacing w:before="0" w:after="0"/>
              <w:jc w:val="right"/>
              <w:rPr/>
            </w:pPr>
            <w:r>
              <w:rPr/>
              <w:t>16,946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bottom w:val="single" w:sz="12" w:space="0" w:color="000000"/>
            </w:tcBorders>
            <w:tcMar>
              <w:bottom w:w="28" w:type="dxa"/>
            </w:tcMar>
            <w:vAlign w:val="bottom"/>
          </w:tcPr>
          <w:p>
            <w:pPr>
              <w:pStyle w:val="TableContents"/>
              <w:bidi w:val="0"/>
              <w:spacing w:before="0" w:after="0"/>
              <w:jc w:val="left"/>
              <w:rPr/>
            </w:pPr>
            <w:r>
              <w:rPr/>
              <w:t>$</w:t>
            </w:r>
          </w:p>
        </w:tc>
        <w:tc>
          <w:tcPr>
            <w:tcW w:w="680" w:type="dxa"/>
            <w:tcBorders>
              <w:bottom w:val="single" w:sz="12" w:space="0" w:color="000000"/>
            </w:tcBorders>
            <w:tcMar>
              <w:bottom w:w="28" w:type="dxa"/>
            </w:tcMar>
            <w:vAlign w:val="bottom"/>
          </w:tcPr>
          <w:p>
            <w:pPr>
              <w:pStyle w:val="TableContents"/>
              <w:bidi w:val="0"/>
              <w:spacing w:before="0" w:after="0"/>
              <w:jc w:val="right"/>
              <w:rPr/>
            </w:pPr>
            <w:r>
              <w:rPr/>
              <w:t>12,483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6" w:type="dxa"/>
            <w:tcBorders>
              <w:bottom w:val="single" w:sz="12" w:space="0" w:color="000000"/>
            </w:tcBorders>
            <w:tcMar>
              <w:bottom w:w="28" w:type="dxa"/>
            </w:tcMar>
            <w:vAlign w:val="bottom"/>
          </w:tcPr>
          <w:p>
            <w:pPr>
              <w:pStyle w:val="TableContents"/>
              <w:bidi w:val="0"/>
              <w:spacing w:before="0" w:after="0"/>
              <w:jc w:val="left"/>
              <w:rPr/>
            </w:pPr>
            <w:r>
              <w:rPr/>
              <w:t>$</w:t>
            </w:r>
          </w:p>
        </w:tc>
        <w:tc>
          <w:tcPr>
            <w:tcW w:w="949" w:type="dxa"/>
            <w:tcBorders>
              <w:bottom w:val="single" w:sz="12" w:space="0" w:color="000000"/>
            </w:tcBorders>
            <w:tcMar>
              <w:bottom w:w="28" w:type="dxa"/>
            </w:tcMar>
            <w:vAlign w:val="bottom"/>
          </w:tcPr>
          <w:p>
            <w:pPr>
              <w:pStyle w:val="TableContents"/>
              <w:bidi w:val="0"/>
              <w:spacing w:before="0" w:after="0"/>
              <w:jc w:val="right"/>
              <w:rPr/>
            </w:pPr>
            <w:r>
              <w:rPr/>
              <w:t>153,677</w:t>
            </w:r>
          </w:p>
        </w:tc>
        <w:tc>
          <w:tcPr>
            <w:tcW w:w="60" w:type="dxa"/>
            <w:tcBorders/>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HorizontalLine"/>
        <w:bidi w:val="0"/>
        <w:jc w:val="left"/>
        <w:rPr/>
      </w:pPr>
      <w:r>
        <w:rPr/>
      </w:r>
    </w:p>
    <w:tbl>
      <w:tblPr>
        <w:tblW w:w="9655" w:type="dxa"/>
        <w:jc w:val="left"/>
        <w:tblInd w:w="0" w:type="dxa"/>
        <w:tblLayout w:type="fixed"/>
        <w:tblCellMar>
          <w:top w:w="0" w:type="dxa"/>
          <w:left w:w="0" w:type="dxa"/>
          <w:bottom w:w="0" w:type="dxa"/>
          <w:right w:w="0" w:type="dxa"/>
        </w:tblCellMar>
      </w:tblPr>
      <w:tblGrid>
        <w:gridCol w:w="75"/>
        <w:gridCol w:w="290"/>
        <w:gridCol w:w="9290"/>
      </w:tblGrid>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(1)</w:t>
            </w:r>
          </w:p>
        </w:tc>
        <w:tc>
          <w:tcPr>
            <w:tcW w:w="9290" w:type="dxa"/>
            <w:tcBorders/>
            <w:vAlign w:val="center"/>
          </w:tcPr>
          <w:p>
            <w:pPr>
              <w:pStyle w:val="TableContents"/>
              <w:bidi w:val="0"/>
              <w:spacing w:before="0" w:after="0"/>
              <w:jc w:val="left"/>
              <w:rPr/>
            </w:pPr>
            <w:r>
              <w:rPr/>
              <w:t>Represents future minimum lease commitments under non-cancellable operating lease agreements.</w:t>
            </w:r>
          </w:p>
        </w:tc>
      </w:tr>
    </w:tbl>
    <w:tbl>
      <w:tblPr>
        <w:tblW w:w="10205" w:type="dxa"/>
        <w:jc w:val="left"/>
        <w:tblInd w:w="0" w:type="dxa"/>
        <w:tblLayout w:type="fixed"/>
        <w:tblCellMar>
          <w:top w:w="0" w:type="dxa"/>
          <w:left w:w="0" w:type="dxa"/>
          <w:bottom w:w="0" w:type="dxa"/>
          <w:right w:w="0" w:type="dxa"/>
        </w:tblCellMar>
      </w:tblPr>
      <w:tblGrid>
        <w:gridCol w:w="75"/>
        <w:gridCol w:w="275"/>
        <w:gridCol w:w="9855"/>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(2)</w:t>
            </w:r>
          </w:p>
        </w:tc>
        <w:tc>
          <w:tcPr>
            <w:tcW w:w="9855" w:type="dxa"/>
            <w:tcBorders/>
            <w:vAlign w:val="center"/>
          </w:tcPr>
          <w:p>
            <w:pPr>
              <w:pStyle w:val="TableContents"/>
              <w:bidi w:val="0"/>
              <w:spacing w:before="0" w:after="0"/>
              <w:jc w:val="left"/>
              <w:rPr/>
            </w:pPr>
            <w:r>
              <w:rPr/>
              <w:t>Primarily represents non-cancelable amounts for contractual commitments in respect of software and information technology.</w:t>
            </w:r>
          </w:p>
        </w:tc>
      </w:tr>
    </w:tbl>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commitment amounts in the table above are associated with contracts that are enforceable and legally binding and that specify all significant terms, including fixed or minimum services to be used, fixed, minimum or variable price provisions, and the approximate timing of the actions under the contracts. The table does not include obligations under agreements that we can cancel without a significant penalty. The table above does not reflect any reduction for prepaid obligations as of September 30, 2023. As of September 30, 2023, we have a provision related to unrecognized tax benefit liabilities totaling $6.7 million and other provisions related to severance pay and contribution plans, which have been excluded from the table above as we do not believe it is practicable to make reliable estimates of the periods in which payments for these obligations will be made.</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Other Commercial Commitments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In the ordinary course of our business, we enter into agreements with certain digital properties, under which, in some cases we agree to pay them a guaranteed amount, generally per thousand page views on a monthly basis. These agreements could cause a gross loss on digital property accounts in which the guarantee is higher than the actual revenue generated. These contracts generally range in duration from 2 to 5 years, though some can be shorter or longer. These contracts are not included in the table above.</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Recent Accounting Pronouncements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During the period covered by this report, there were no material recent accounting pronouncements impacting our accounting policies that are not already discussed in our 2022 Form 10-K.</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Critical Accounting Estimates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Our discussion and analysis of financial condition results of operations are based upon our consolidated financial statements included elsewhere in this report. The preparation of our consolidated financial statements in accordance with GAAP requires us to make estimates and assumptions that affect the reported amounts of assets, liabilities, revenue and expenses. We base our estimates on past experience and other assumptions that we believe are reasonable under the circumstances and we evaluate these estimates on an ongoing basis. Actual results may differ from those estimates.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Our critical accounting policies are those that materi</w:t>
      </w:r>
      <w:r>
        <w:rPr>
          <w:rFonts w:ascii="Times New Roman" w:hAnsi="Times New Roman"/>
          <w:color w:val="212529"/>
          <w:sz w:val="20"/>
          <w:shd w:fill="FFFFFF" w:val="clear"/>
        </w:rPr>
        <w:t xml:space="preserve">ally affect our consolidated financial statements and involve difficult, subjective or complex judgments by management. There have been no material changes to our critical accounting policies and estimates of and for the year ended December 31, 2022, included in our </w:t>
      </w:r>
      <w:r>
        <w:rPr>
          <w:rFonts w:ascii="Times New Roman" w:hAnsi="Times New Roman"/>
          <w:color w:val="000000"/>
          <w:sz w:val="20"/>
          <w:shd w:fill="FFFFFF" w:val="clear"/>
        </w:rPr>
        <w:t>2022 Form 10-K</w:t>
      </w:r>
      <w:r>
        <w:rPr>
          <w:rFonts w:ascii="Times New Roman" w:hAnsi="Times New Roman"/>
          <w:color w:val="212529"/>
          <w:sz w:val="20"/>
          <w:shd w:fill="FFFFFF" w:val="clear"/>
        </w:rPr>
        <w:t>.</w:t>
      </w:r>
    </w:p>
    <w:p>
      <w:pPr>
        <w:pStyle w:val="TextBody"/>
        <w:bidi w:val="0"/>
        <w:spacing w:before="0" w:after="0"/>
        <w:jc w:val="left"/>
        <w:rPr>
          <w:color w:val="000000"/>
          <w:shd w:fill="FFFFFF" w:val="clear"/>
        </w:rPr>
      </w:pPr>
      <w:r>
        <w:rPr>
          <w:color w:val="000000"/>
          <w:shd w:fill="FFFFFF" w:val="clear"/>
        </w:rPr>
        <w:t> </w:t>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48</w:t>
      </w:r>
    </w:p>
    <w:p>
      <w:pPr>
        <w:pStyle w:val="HorizontalLine"/>
        <w:bidi w:val="0"/>
        <w:spacing w:before="200" w:after="200"/>
        <w:jc w:val="left"/>
        <w:rPr/>
      </w:pPr>
      <w:r>
        <w:rPr/>
      </w:r>
    </w:p>
    <w:p>
      <w:pPr>
        <w:pStyle w:val="TextBody"/>
        <w:bidi w:val="0"/>
        <w:spacing w:before="200" w:after="200"/>
        <w:jc w:val="left"/>
        <w:rPr/>
      </w:pPr>
      <w:hyperlink w:anchor="Contents">
        <w:r>
          <w:rPr>
            <w:rStyle w:val="InternetLink"/>
            <w:rFonts w:ascii="Times New Roman" w:hAnsi="Times New Roman"/>
            <w:i/>
            <w:color w:val="000000"/>
            <w:sz w:val="16"/>
            <w:shd w:fill="FFFFFF" w:val="clear"/>
          </w:rPr>
          <w:t>Table of Contents</w:t>
        </w:r>
      </w:hyperlink>
    </w:p>
    <w:p>
      <w:pPr>
        <w:pStyle w:val="Normal"/>
        <w:bidi w:val="0"/>
        <w:spacing w:before="0" w:after="0"/>
        <w:jc w:val="left"/>
        <w:rPr>
          <w:sz w:val="4"/>
          <w:szCs w:val="4"/>
        </w:rPr>
      </w:pPr>
      <w:r>
        <w:rPr>
          <w:sz w:val="4"/>
          <w:szCs w:val="4"/>
        </w:rPr>
      </w:r>
      <w:bookmarkStart w:id="13" w:name="Quantitative"/>
      <w:bookmarkStart w:id="14" w:name="Quantitative"/>
      <w:bookmarkEnd w:id="14"/>
    </w:p>
    <w:tbl>
      <w:tblPr>
        <w:tblW w:w="6910" w:type="dxa"/>
        <w:jc w:val="left"/>
        <w:tblInd w:w="0" w:type="dxa"/>
        <w:tblLayout w:type="fixed"/>
        <w:tblCellMar>
          <w:top w:w="0" w:type="dxa"/>
          <w:left w:w="0" w:type="dxa"/>
          <w:bottom w:w="0" w:type="dxa"/>
          <w:right w:w="0" w:type="dxa"/>
        </w:tblCellMar>
      </w:tblPr>
      <w:tblGrid>
        <w:gridCol w:w="740"/>
        <w:gridCol w:w="6170"/>
      </w:tblGrid>
      <w:tr>
        <w:trPr/>
        <w:tc>
          <w:tcPr>
            <w:tcW w:w="740" w:type="dxa"/>
            <w:tcBorders/>
            <w:vAlign w:val="center"/>
          </w:tcPr>
          <w:p>
            <w:pPr>
              <w:pStyle w:val="TableContents"/>
              <w:bidi w:val="0"/>
              <w:spacing w:before="0" w:after="0"/>
              <w:jc w:val="both"/>
              <w:rPr>
                <w:b/>
                <w:i w:val="false"/>
                <w:caps w:val="false"/>
                <w:smallCaps w:val="false"/>
              </w:rPr>
            </w:pPr>
            <w:r>
              <w:rPr>
                <w:b/>
                <w:i w:val="false"/>
                <w:caps w:val="false"/>
                <w:smallCaps w:val="false"/>
              </w:rPr>
              <w:t>Item 3.</w:t>
            </w:r>
          </w:p>
        </w:tc>
        <w:tc>
          <w:tcPr>
            <w:tcW w:w="6170" w:type="dxa"/>
            <w:tcBorders/>
            <w:vAlign w:val="center"/>
          </w:tcPr>
          <w:p>
            <w:pPr>
              <w:pStyle w:val="TableContents"/>
              <w:bidi w:val="0"/>
              <w:spacing w:before="0" w:after="0"/>
              <w:jc w:val="both"/>
              <w:rPr>
                <w:b/>
                <w:i w:val="false"/>
                <w:caps w:val="false"/>
                <w:smallCaps w:val="false"/>
              </w:rPr>
            </w:pPr>
            <w:r>
              <w:rPr>
                <w:b/>
                <w:i w:val="false"/>
                <w:caps w:val="false"/>
                <w:smallCaps w:val="false"/>
              </w:rPr>
              <w:t>Quantitative and Qualitative Disclosures About Market Risk</w:t>
            </w:r>
          </w:p>
        </w:tc>
      </w:tr>
    </w:tbl>
    <w:p>
      <w:pPr>
        <w:pStyle w:val="TextBody"/>
        <w:bidi w:val="0"/>
        <w:spacing w:before="0" w:after="0"/>
        <w:jc w:val="left"/>
        <w:rPr/>
      </w:pPr>
      <w:r>
        <w:rPr/>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Foreign Currency Exchange Risk</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A 10% increase or decrease of the NIS, Euro, British pound sterling, or the Japanese yen against the U.S. dollar would have impacted the consolidated statements of loss as follows:</w:t>
      </w:r>
    </w:p>
    <w:p>
      <w:pPr>
        <w:pStyle w:val="TextBody"/>
        <w:bidi w:val="0"/>
        <w:spacing w:before="0" w:after="0"/>
        <w:jc w:val="left"/>
        <w:rPr/>
      </w:pPr>
      <w:r>
        <w:rPr/>
      </w:r>
    </w:p>
    <w:tbl>
      <w:tblPr>
        <w:tblW w:w="4469" w:type="dxa"/>
        <w:jc w:val="left"/>
        <w:tblInd w:w="0" w:type="dxa"/>
        <w:tblLayout w:type="fixed"/>
        <w:tblCellMar>
          <w:top w:w="0" w:type="dxa"/>
          <w:left w:w="0" w:type="dxa"/>
          <w:bottom w:w="0" w:type="dxa"/>
          <w:right w:w="0" w:type="dxa"/>
        </w:tblCellMar>
      </w:tblPr>
      <w:tblGrid>
        <w:gridCol w:w="1070"/>
        <w:gridCol w:w="60"/>
        <w:gridCol w:w="149"/>
        <w:gridCol w:w="485"/>
        <w:gridCol w:w="95"/>
        <w:gridCol w:w="60"/>
        <w:gridCol w:w="140"/>
        <w:gridCol w:w="455"/>
        <w:gridCol w:w="95"/>
        <w:gridCol w:w="60"/>
        <w:gridCol w:w="140"/>
        <w:gridCol w:w="635"/>
        <w:gridCol w:w="95"/>
        <w:gridCol w:w="60"/>
        <w:gridCol w:w="140"/>
        <w:gridCol w:w="635"/>
        <w:gridCol w:w="95"/>
      </w:tblGrid>
      <w:tr>
        <w:trPr/>
        <w:tc>
          <w:tcPr>
            <w:tcW w:w="1070" w:type="dxa"/>
            <w:tcBorders/>
            <w:vAlign w:val="bottom"/>
          </w:tcPr>
          <w:p>
            <w:pPr>
              <w:pStyle w:val="TableContents"/>
              <w:bidi w:val="0"/>
              <w:spacing w:before="0" w:after="0"/>
              <w:jc w:val="left"/>
              <w:rPr/>
            </w:pPr>
            <w:r>
              <w:rPr/>
              <w:t>​</w:t>
            </w:r>
          </w:p>
        </w:tc>
        <w:tc>
          <w:tcPr>
            <w:tcW w:w="60" w:type="dxa"/>
            <w:tcBorders/>
            <w:vAlign w:val="bottom"/>
          </w:tcPr>
          <w:p>
            <w:pPr>
              <w:pStyle w:val="TableContents"/>
              <w:bidi w:val="0"/>
              <w:spacing w:before="0" w:after="283"/>
              <w:jc w:val="left"/>
              <w:rPr/>
            </w:pPr>
            <w:r>
              <w:rPr/>
              <w:t> </w:t>
            </w:r>
          </w:p>
        </w:tc>
        <w:tc>
          <w:tcPr>
            <w:tcW w:w="3244" w:type="dxa"/>
            <w:gridSpan w:val="14"/>
            <w:tcBorders>
              <w:bottom w:val="single" w:sz="12" w:space="0" w:color="000000"/>
            </w:tcBorders>
            <w:tcMar>
              <w:bottom w:w="28" w:type="dxa"/>
            </w:tcMar>
            <w:vAlign w:val="bottom"/>
          </w:tcPr>
          <w:p>
            <w:pPr>
              <w:pStyle w:val="TableContents"/>
              <w:bidi w:val="0"/>
              <w:spacing w:before="0" w:after="0"/>
              <w:jc w:val="center"/>
              <w:rPr>
                <w:b/>
              </w:rPr>
            </w:pPr>
            <w:r>
              <w:rPr>
                <w:b/>
              </w:rPr>
              <w:t>Operating loss impact</w:t>
            </w:r>
          </w:p>
          <w:p>
            <w:pPr>
              <w:pStyle w:val="TableContents"/>
              <w:bidi w:val="0"/>
              <w:spacing w:before="0" w:after="0"/>
              <w:jc w:val="center"/>
              <w:rPr>
                <w:b/>
              </w:rPr>
            </w:pPr>
            <w:r>
              <w:rPr>
                <w:b/>
              </w:rPr>
              <w:t>Nine months ended</w:t>
            </w:r>
          </w:p>
          <w:p>
            <w:pPr>
              <w:pStyle w:val="TableContents"/>
              <w:bidi w:val="0"/>
              <w:spacing w:before="0" w:after="0"/>
              <w:jc w:val="center"/>
              <w:rPr>
                <w:b/>
              </w:rPr>
            </w:pPr>
            <w:r>
              <w:rPr>
                <w:b/>
              </w:rPr>
              <w:t>September 30,</w:t>
            </w:r>
          </w:p>
        </w:tc>
        <w:tc>
          <w:tcPr>
            <w:tcW w:w="95" w:type="dxa"/>
            <w:tcBorders/>
            <w:vAlign w:val="bottom"/>
          </w:tcPr>
          <w:p>
            <w:pPr>
              <w:pStyle w:val="TableContents"/>
              <w:bidi w:val="0"/>
              <w:spacing w:before="0" w:after="283"/>
              <w:jc w:val="left"/>
              <w:rPr/>
            </w:pPr>
            <w:r>
              <w:rPr/>
              <w:t> </w:t>
            </w:r>
          </w:p>
        </w:tc>
      </w:tr>
      <w:tr>
        <w:trPr/>
        <w:tc>
          <w:tcPr>
            <w:tcW w:w="1070" w:type="dxa"/>
            <w:tcBorders/>
            <w:vAlign w:val="bottom"/>
          </w:tcPr>
          <w:p>
            <w:pPr>
              <w:pStyle w:val="TableContents"/>
              <w:bidi w:val="0"/>
              <w:spacing w:before="0" w:after="0"/>
              <w:jc w:val="left"/>
              <w:rPr/>
            </w:pPr>
            <w:r>
              <w:rPr/>
              <w:t>​</w:t>
            </w:r>
          </w:p>
        </w:tc>
        <w:tc>
          <w:tcPr>
            <w:tcW w:w="60" w:type="dxa"/>
            <w:tcBorders/>
            <w:vAlign w:val="bottom"/>
          </w:tcPr>
          <w:p>
            <w:pPr>
              <w:pStyle w:val="TableContents"/>
              <w:bidi w:val="0"/>
              <w:spacing w:before="0" w:after="283"/>
              <w:jc w:val="left"/>
              <w:rPr/>
            </w:pPr>
            <w:r>
              <w:rPr/>
              <w:t> </w:t>
            </w:r>
          </w:p>
        </w:tc>
        <w:tc>
          <w:tcPr>
            <w:tcW w:w="1384" w:type="dxa"/>
            <w:gridSpan w:val="6"/>
            <w:tcBorders>
              <w:bottom w:val="single" w:sz="12" w:space="0" w:color="000000"/>
            </w:tcBorders>
            <w:tcMar>
              <w:bottom w:w="28" w:type="dxa"/>
            </w:tcMar>
            <w:vAlign w:val="bottom"/>
          </w:tcPr>
          <w:p>
            <w:pPr>
              <w:pStyle w:val="TableContents"/>
              <w:bidi w:val="0"/>
              <w:spacing w:before="0" w:after="0"/>
              <w:jc w:val="center"/>
              <w:rPr>
                <w:b/>
              </w:rPr>
            </w:pPr>
            <w:r>
              <w:rPr>
                <w:b/>
              </w:rPr>
              <w:t>2023</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05" w:type="dxa"/>
            <w:gridSpan w:val="6"/>
            <w:tcBorders>
              <w:bottom w:val="single" w:sz="12" w:space="0" w:color="000000"/>
            </w:tcBorders>
            <w:tcMar>
              <w:bottom w:w="28" w:type="dxa"/>
            </w:tcMar>
            <w:vAlign w:val="bottom"/>
          </w:tcPr>
          <w:p>
            <w:pPr>
              <w:pStyle w:val="TableContents"/>
              <w:bidi w:val="0"/>
              <w:spacing w:before="0" w:after="0"/>
              <w:jc w:val="center"/>
              <w:rPr>
                <w:b/>
              </w:rPr>
            </w:pPr>
            <w:r>
              <w:rPr>
                <w:b/>
              </w:rPr>
              <w:t>2022</w:t>
            </w:r>
          </w:p>
        </w:tc>
        <w:tc>
          <w:tcPr>
            <w:tcW w:w="95" w:type="dxa"/>
            <w:tcBorders/>
            <w:vAlign w:val="bottom"/>
          </w:tcPr>
          <w:p>
            <w:pPr>
              <w:pStyle w:val="TableContents"/>
              <w:bidi w:val="0"/>
              <w:spacing w:before="0" w:after="283"/>
              <w:jc w:val="left"/>
              <w:rPr/>
            </w:pPr>
            <w:r>
              <w:rPr/>
              <w:t> </w:t>
            </w:r>
          </w:p>
        </w:tc>
      </w:tr>
      <w:tr>
        <w:trPr/>
        <w:tc>
          <w:tcPr>
            <w:tcW w:w="1070" w:type="dxa"/>
            <w:tcBorders/>
            <w:vAlign w:val="bottom"/>
          </w:tcPr>
          <w:p>
            <w:pPr>
              <w:pStyle w:val="TableContents"/>
              <w:bidi w:val="0"/>
              <w:spacing w:before="0" w:after="0"/>
              <w:jc w:val="left"/>
              <w:rPr/>
            </w:pPr>
            <w:r>
              <w:rPr/>
              <w:t>​</w:t>
            </w:r>
          </w:p>
        </w:tc>
        <w:tc>
          <w:tcPr>
            <w:tcW w:w="60" w:type="dxa"/>
            <w:tcBorders/>
            <w:vAlign w:val="bottom"/>
          </w:tcPr>
          <w:p>
            <w:pPr>
              <w:pStyle w:val="TableContents"/>
              <w:bidi w:val="0"/>
              <w:spacing w:before="0" w:after="283"/>
              <w:jc w:val="left"/>
              <w:rPr/>
            </w:pPr>
            <w:r>
              <w:rPr/>
              <w:t> </w:t>
            </w:r>
          </w:p>
        </w:tc>
        <w:tc>
          <w:tcPr>
            <w:tcW w:w="3244" w:type="dxa"/>
            <w:gridSpan w:val="14"/>
            <w:tcBorders>
              <w:bottom w:val="single" w:sz="12" w:space="0" w:color="000000"/>
            </w:tcBorders>
            <w:tcMar>
              <w:bottom w:w="28" w:type="dxa"/>
            </w:tcMar>
            <w:vAlign w:val="bottom"/>
          </w:tcPr>
          <w:p>
            <w:pPr>
              <w:pStyle w:val="TableContents"/>
              <w:bidi w:val="0"/>
              <w:spacing w:before="0" w:after="0"/>
              <w:jc w:val="center"/>
              <w:rPr>
                <w:b/>
              </w:rPr>
            </w:pPr>
            <w:r>
              <w:rPr>
                <w:b/>
              </w:rPr>
              <w:t>(dollars in thousands)</w:t>
            </w:r>
          </w:p>
        </w:tc>
        <w:tc>
          <w:tcPr>
            <w:tcW w:w="95" w:type="dxa"/>
            <w:tcBorders/>
            <w:vAlign w:val="bottom"/>
          </w:tcPr>
          <w:p>
            <w:pPr>
              <w:pStyle w:val="TableContents"/>
              <w:bidi w:val="0"/>
              <w:spacing w:before="0" w:after="283"/>
              <w:jc w:val="left"/>
              <w:rPr/>
            </w:pPr>
            <w:r>
              <w:rPr/>
              <w:t> </w:t>
            </w:r>
          </w:p>
        </w:tc>
      </w:tr>
      <w:tr>
        <w:trPr/>
        <w:tc>
          <w:tcPr>
            <w:tcW w:w="1070" w:type="dxa"/>
            <w:tcBorders/>
            <w:vAlign w:val="bottom"/>
          </w:tcPr>
          <w:p>
            <w:pPr>
              <w:pStyle w:val="TableContents"/>
              <w:bidi w:val="0"/>
              <w:spacing w:before="0" w:after="0"/>
              <w:jc w:val="left"/>
              <w:rPr/>
            </w:pPr>
            <w:r>
              <w:rPr/>
              <w:t>​</w:t>
            </w:r>
          </w:p>
        </w:tc>
        <w:tc>
          <w:tcPr>
            <w:tcW w:w="60" w:type="dxa"/>
            <w:tcBorders/>
            <w:vAlign w:val="bottom"/>
          </w:tcPr>
          <w:p>
            <w:pPr>
              <w:pStyle w:val="TableContents"/>
              <w:bidi w:val="0"/>
              <w:spacing w:before="0" w:after="283"/>
              <w:jc w:val="left"/>
              <w:rPr/>
            </w:pPr>
            <w:r>
              <w:rPr/>
              <w:t> </w:t>
            </w:r>
          </w:p>
        </w:tc>
        <w:tc>
          <w:tcPr>
            <w:tcW w:w="634" w:type="dxa"/>
            <w:gridSpan w:val="2"/>
            <w:tcBorders>
              <w:bottom w:val="single" w:sz="12" w:space="0" w:color="000000"/>
            </w:tcBorders>
            <w:tcMar>
              <w:bottom w:w="28" w:type="dxa"/>
            </w:tcMar>
            <w:vAlign w:val="bottom"/>
          </w:tcPr>
          <w:p>
            <w:pPr>
              <w:pStyle w:val="TableContents"/>
              <w:bidi w:val="0"/>
              <w:spacing w:before="0" w:after="0"/>
              <w:jc w:val="center"/>
              <w:rPr>
                <w:b/>
              </w:rPr>
            </w:pPr>
            <w:r>
              <w:rPr>
                <w:b/>
              </w:rPr>
              <w:t>+10%</w:t>
            </w:r>
          </w:p>
        </w:tc>
        <w:tc>
          <w:tcPr>
            <w:tcW w:w="95" w:type="dxa"/>
            <w:tcBorders/>
            <w:vAlign w:val="bottom"/>
          </w:tcPr>
          <w:p>
            <w:pPr>
              <w:pStyle w:val="TableContents"/>
              <w:bidi w:val="0"/>
              <w:spacing w:before="0" w:after="0"/>
              <w:jc w:val="left"/>
              <w:rPr/>
            </w:pPr>
            <w:r>
              <w:rPr/>
              <w:t> </w:t>
            </w:r>
          </w:p>
        </w:tc>
        <w:tc>
          <w:tcPr>
            <w:tcW w:w="60" w:type="dxa"/>
            <w:tcBorders/>
            <w:vAlign w:val="bottom"/>
          </w:tcPr>
          <w:p>
            <w:pPr>
              <w:pStyle w:val="TableContents"/>
              <w:bidi w:val="0"/>
              <w:spacing w:before="0" w:after="283"/>
              <w:jc w:val="left"/>
              <w:rPr/>
            </w:pPr>
            <w:r>
              <w:rPr/>
              <w:t> </w:t>
            </w:r>
          </w:p>
        </w:tc>
        <w:tc>
          <w:tcPr>
            <w:tcW w:w="595" w:type="dxa"/>
            <w:gridSpan w:val="2"/>
            <w:tcBorders>
              <w:bottom w:val="single" w:sz="12" w:space="0" w:color="000000"/>
            </w:tcBorders>
            <w:tcMar>
              <w:bottom w:w="28" w:type="dxa"/>
            </w:tcMar>
            <w:vAlign w:val="bottom"/>
          </w:tcPr>
          <w:p>
            <w:pPr>
              <w:pStyle w:val="TableContents"/>
              <w:bidi w:val="0"/>
              <w:spacing w:before="0" w:after="0"/>
              <w:jc w:val="center"/>
              <w:rPr>
                <w:b/>
              </w:rPr>
            </w:pPr>
            <w:r>
              <w:rPr>
                <w:b/>
              </w:rPr>
              <w:t>-10%</w:t>
            </w:r>
          </w:p>
        </w:tc>
        <w:tc>
          <w:tcPr>
            <w:tcW w:w="95" w:type="dxa"/>
            <w:tcBorders/>
            <w:vAlign w:val="bottom"/>
          </w:tcPr>
          <w:p>
            <w:pPr>
              <w:pStyle w:val="TableContents"/>
              <w:bidi w:val="0"/>
              <w:spacing w:before="0" w:after="0"/>
              <w:jc w:val="left"/>
              <w:rPr/>
            </w:pPr>
            <w:r>
              <w:rPr/>
              <w:t> </w:t>
            </w:r>
          </w:p>
        </w:tc>
        <w:tc>
          <w:tcPr>
            <w:tcW w:w="60" w:type="dxa"/>
            <w:tcBorders/>
            <w:vAlign w:val="bottom"/>
          </w:tcPr>
          <w:p>
            <w:pPr>
              <w:pStyle w:val="TableContents"/>
              <w:bidi w:val="0"/>
              <w:spacing w:before="0" w:after="283"/>
              <w:jc w:val="left"/>
              <w:rPr/>
            </w:pPr>
            <w:r>
              <w:rPr/>
              <w:t> </w:t>
            </w:r>
          </w:p>
        </w:tc>
        <w:tc>
          <w:tcPr>
            <w:tcW w:w="775" w:type="dxa"/>
            <w:gridSpan w:val="2"/>
            <w:tcBorders>
              <w:bottom w:val="single" w:sz="12" w:space="0" w:color="000000"/>
            </w:tcBorders>
            <w:tcMar>
              <w:bottom w:w="28" w:type="dxa"/>
            </w:tcMar>
            <w:vAlign w:val="bottom"/>
          </w:tcPr>
          <w:p>
            <w:pPr>
              <w:pStyle w:val="TableContents"/>
              <w:bidi w:val="0"/>
              <w:spacing w:before="0" w:after="0"/>
              <w:jc w:val="center"/>
              <w:rPr>
                <w:b/>
              </w:rPr>
            </w:pPr>
            <w:r>
              <w:rPr>
                <w:b/>
              </w:rPr>
              <w:t>+10%</w:t>
            </w:r>
          </w:p>
        </w:tc>
        <w:tc>
          <w:tcPr>
            <w:tcW w:w="95" w:type="dxa"/>
            <w:tcBorders/>
            <w:vAlign w:val="bottom"/>
          </w:tcPr>
          <w:p>
            <w:pPr>
              <w:pStyle w:val="TableContents"/>
              <w:bidi w:val="0"/>
              <w:spacing w:before="0" w:after="0"/>
              <w:jc w:val="left"/>
              <w:rPr/>
            </w:pPr>
            <w:r>
              <w:rPr/>
              <w:t> </w:t>
            </w:r>
          </w:p>
        </w:tc>
        <w:tc>
          <w:tcPr>
            <w:tcW w:w="60" w:type="dxa"/>
            <w:tcBorders/>
            <w:vAlign w:val="bottom"/>
          </w:tcPr>
          <w:p>
            <w:pPr>
              <w:pStyle w:val="TableContents"/>
              <w:bidi w:val="0"/>
              <w:spacing w:before="0" w:after="283"/>
              <w:jc w:val="left"/>
              <w:rPr/>
            </w:pPr>
            <w:r>
              <w:rPr/>
              <w:t> </w:t>
            </w:r>
          </w:p>
        </w:tc>
        <w:tc>
          <w:tcPr>
            <w:tcW w:w="775" w:type="dxa"/>
            <w:gridSpan w:val="2"/>
            <w:tcBorders>
              <w:bottom w:val="single" w:sz="12" w:space="0" w:color="000000"/>
            </w:tcBorders>
            <w:tcMar>
              <w:bottom w:w="28" w:type="dxa"/>
            </w:tcMar>
            <w:vAlign w:val="bottom"/>
          </w:tcPr>
          <w:p>
            <w:pPr>
              <w:pStyle w:val="TableContents"/>
              <w:bidi w:val="0"/>
              <w:spacing w:before="0" w:after="0"/>
              <w:jc w:val="center"/>
              <w:rPr>
                <w:b/>
              </w:rPr>
            </w:pPr>
            <w:r>
              <w:rPr>
                <w:b/>
              </w:rPr>
              <w:t>-10%</w:t>
            </w:r>
          </w:p>
        </w:tc>
        <w:tc>
          <w:tcPr>
            <w:tcW w:w="95" w:type="dxa"/>
            <w:tcBorders/>
            <w:vAlign w:val="bottom"/>
          </w:tcPr>
          <w:p>
            <w:pPr>
              <w:pStyle w:val="TableContents"/>
              <w:bidi w:val="0"/>
              <w:spacing w:before="0" w:after="0"/>
              <w:jc w:val="left"/>
              <w:rPr/>
            </w:pPr>
            <w:r>
              <w:rPr/>
              <w:t> </w:t>
            </w:r>
          </w:p>
        </w:tc>
      </w:tr>
      <w:tr>
        <w:trPr/>
        <w:tc>
          <w:tcPr>
            <w:tcW w:w="1070" w:type="dxa"/>
            <w:tcBorders/>
            <w:shd w:fill="CCEEFF" w:val="clear"/>
            <w:vAlign w:val="bottom"/>
          </w:tcPr>
          <w:p>
            <w:pPr>
              <w:pStyle w:val="TableContents"/>
              <w:bidi w:val="0"/>
              <w:spacing w:before="0" w:after="0"/>
              <w:jc w:val="left"/>
              <w:rPr/>
            </w:pPr>
            <w:r>
              <w:rPr/>
              <w:t>NIS/USD</w:t>
            </w:r>
          </w:p>
        </w:tc>
        <w:tc>
          <w:tcPr>
            <w:tcW w:w="60"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0"/>
              <w:jc w:val="left"/>
              <w:rPr/>
            </w:pPr>
            <w:r>
              <w:rPr/>
              <w:t>$</w:t>
            </w:r>
          </w:p>
        </w:tc>
        <w:tc>
          <w:tcPr>
            <w:tcW w:w="485" w:type="dxa"/>
            <w:tcBorders/>
            <w:shd w:fill="CCEEFF" w:val="clear"/>
            <w:vAlign w:val="bottom"/>
          </w:tcPr>
          <w:p>
            <w:pPr>
              <w:pStyle w:val="TableContents"/>
              <w:bidi w:val="0"/>
              <w:spacing w:before="0" w:after="0"/>
              <w:jc w:val="right"/>
              <w:rPr/>
            </w:pPr>
            <w:r>
              <w:rPr/>
              <w:t>398</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0"/>
              <w:jc w:val="left"/>
              <w:rPr/>
            </w:pPr>
            <w:r>
              <w:rPr/>
              <w:t>$</w:t>
            </w:r>
          </w:p>
        </w:tc>
        <w:tc>
          <w:tcPr>
            <w:tcW w:w="455" w:type="dxa"/>
            <w:tcBorders/>
            <w:shd w:fill="CCEEFF" w:val="clear"/>
            <w:vAlign w:val="bottom"/>
          </w:tcPr>
          <w:p>
            <w:pPr>
              <w:pStyle w:val="TableContents"/>
              <w:bidi w:val="0"/>
              <w:spacing w:before="0" w:after="0"/>
              <w:jc w:val="right"/>
              <w:rPr/>
            </w:pPr>
            <w:r>
              <w:rPr/>
              <w:t>(398</w:t>
            </w:r>
          </w:p>
        </w:tc>
        <w:tc>
          <w:tcPr>
            <w:tcW w:w="95" w:type="dxa"/>
            <w:tcBorders/>
            <w:shd w:fill="CCEEFF" w:val="clear"/>
            <w:vAlign w:val="bottom"/>
          </w:tcPr>
          <w:p>
            <w:pPr>
              <w:pStyle w:val="TableContents"/>
              <w:bidi w:val="0"/>
              <w:spacing w:before="0" w:after="0"/>
              <w:jc w:val="left"/>
              <w:rPr/>
            </w:pPr>
            <w:r>
              <w:rPr/>
              <w:t>)</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0"/>
              <w:jc w:val="left"/>
              <w:rPr/>
            </w:pPr>
            <w:r>
              <w:rPr/>
              <w:t>$</w:t>
            </w:r>
          </w:p>
        </w:tc>
        <w:tc>
          <w:tcPr>
            <w:tcW w:w="635" w:type="dxa"/>
            <w:tcBorders/>
            <w:shd w:fill="CCEEFF" w:val="clear"/>
            <w:vAlign w:val="bottom"/>
          </w:tcPr>
          <w:p>
            <w:pPr>
              <w:pStyle w:val="TableContents"/>
              <w:bidi w:val="0"/>
              <w:spacing w:before="0" w:after="0"/>
              <w:jc w:val="right"/>
              <w:rPr/>
            </w:pPr>
            <w:r>
              <w:rPr/>
              <w:t>(4,443</w:t>
            </w:r>
          </w:p>
        </w:tc>
        <w:tc>
          <w:tcPr>
            <w:tcW w:w="95" w:type="dxa"/>
            <w:tcBorders/>
            <w:shd w:fill="CCEEFF" w:val="clear"/>
            <w:vAlign w:val="bottom"/>
          </w:tcPr>
          <w:p>
            <w:pPr>
              <w:pStyle w:val="TableContents"/>
              <w:bidi w:val="0"/>
              <w:spacing w:before="0" w:after="0"/>
              <w:jc w:val="left"/>
              <w:rPr/>
            </w:pPr>
            <w:r>
              <w:rPr/>
              <w:t>)</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0"/>
              <w:jc w:val="left"/>
              <w:rPr/>
            </w:pPr>
            <w:r>
              <w:rPr/>
              <w:t>$</w:t>
            </w:r>
          </w:p>
        </w:tc>
        <w:tc>
          <w:tcPr>
            <w:tcW w:w="635" w:type="dxa"/>
            <w:tcBorders/>
            <w:shd w:fill="CCEEFF" w:val="clear"/>
            <w:vAlign w:val="bottom"/>
          </w:tcPr>
          <w:p>
            <w:pPr>
              <w:pStyle w:val="TableContents"/>
              <w:bidi w:val="0"/>
              <w:spacing w:before="0" w:after="0"/>
              <w:jc w:val="right"/>
              <w:rPr/>
            </w:pPr>
            <w:r>
              <w:rPr/>
              <w:t>4,443</w:t>
            </w:r>
          </w:p>
        </w:tc>
        <w:tc>
          <w:tcPr>
            <w:tcW w:w="95" w:type="dxa"/>
            <w:tcBorders/>
            <w:shd w:fill="CCEEFF" w:val="clear"/>
            <w:vAlign w:val="bottom"/>
          </w:tcPr>
          <w:p>
            <w:pPr>
              <w:pStyle w:val="TableContents"/>
              <w:bidi w:val="0"/>
              <w:spacing w:before="0" w:after="283"/>
              <w:jc w:val="left"/>
              <w:rPr/>
            </w:pPr>
            <w:r>
              <w:rPr/>
              <w:t> </w:t>
            </w:r>
          </w:p>
        </w:tc>
      </w:tr>
      <w:tr>
        <w:trPr/>
        <w:tc>
          <w:tcPr>
            <w:tcW w:w="1070" w:type="dxa"/>
            <w:tcBorders/>
            <w:vAlign w:val="bottom"/>
          </w:tcPr>
          <w:p>
            <w:pPr>
              <w:pStyle w:val="TableContents"/>
              <w:bidi w:val="0"/>
              <w:spacing w:before="0" w:after="0"/>
              <w:jc w:val="left"/>
              <w:rPr/>
            </w:pPr>
            <w:r>
              <w:rPr/>
              <w:t>EUR/USD</w:t>
            </w:r>
          </w:p>
        </w:tc>
        <w:tc>
          <w:tcPr>
            <w:tcW w:w="60"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0"/>
              <w:jc w:val="left"/>
              <w:rPr/>
            </w:pPr>
            <w:r>
              <w:rPr/>
              <w:t>$</w:t>
            </w:r>
          </w:p>
        </w:tc>
        <w:tc>
          <w:tcPr>
            <w:tcW w:w="485" w:type="dxa"/>
            <w:tcBorders/>
            <w:vAlign w:val="bottom"/>
          </w:tcPr>
          <w:p>
            <w:pPr>
              <w:pStyle w:val="TableContents"/>
              <w:bidi w:val="0"/>
              <w:spacing w:before="0" w:after="0"/>
              <w:jc w:val="right"/>
              <w:rPr/>
            </w:pPr>
            <w:r>
              <w:rPr/>
              <w:t>214</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0"/>
              <w:jc w:val="left"/>
              <w:rPr/>
            </w:pPr>
            <w:r>
              <w:rPr/>
              <w:t>$</w:t>
            </w:r>
          </w:p>
        </w:tc>
        <w:tc>
          <w:tcPr>
            <w:tcW w:w="455" w:type="dxa"/>
            <w:tcBorders/>
            <w:vAlign w:val="bottom"/>
          </w:tcPr>
          <w:p>
            <w:pPr>
              <w:pStyle w:val="TableContents"/>
              <w:bidi w:val="0"/>
              <w:spacing w:before="0" w:after="0"/>
              <w:jc w:val="right"/>
              <w:rPr/>
            </w:pPr>
            <w:r>
              <w:rPr/>
              <w:t>(214</w:t>
            </w:r>
          </w:p>
        </w:tc>
        <w:tc>
          <w:tcPr>
            <w:tcW w:w="95" w:type="dxa"/>
            <w:tcBorders/>
            <w:vAlign w:val="bottom"/>
          </w:tcPr>
          <w:p>
            <w:pPr>
              <w:pStyle w:val="TableContents"/>
              <w:bidi w:val="0"/>
              <w:spacing w:before="0" w:after="0"/>
              <w:jc w:val="left"/>
              <w:rPr/>
            </w:pPr>
            <w:r>
              <w:rPr/>
              <w:t>)</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0"/>
              <w:jc w:val="left"/>
              <w:rPr/>
            </w:pPr>
            <w:r>
              <w:rPr/>
              <w:t>$</w:t>
            </w:r>
          </w:p>
        </w:tc>
        <w:tc>
          <w:tcPr>
            <w:tcW w:w="635" w:type="dxa"/>
            <w:tcBorders/>
            <w:vAlign w:val="bottom"/>
          </w:tcPr>
          <w:p>
            <w:pPr>
              <w:pStyle w:val="TableContents"/>
              <w:bidi w:val="0"/>
              <w:spacing w:before="0" w:after="0"/>
              <w:jc w:val="right"/>
              <w:rPr/>
            </w:pPr>
            <w:r>
              <w:rPr/>
              <w:t>4,920</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0"/>
              <w:jc w:val="left"/>
              <w:rPr/>
            </w:pPr>
            <w:r>
              <w:rPr/>
              <w:t>$</w:t>
            </w:r>
          </w:p>
        </w:tc>
        <w:tc>
          <w:tcPr>
            <w:tcW w:w="635" w:type="dxa"/>
            <w:tcBorders/>
            <w:vAlign w:val="bottom"/>
          </w:tcPr>
          <w:p>
            <w:pPr>
              <w:pStyle w:val="TableContents"/>
              <w:bidi w:val="0"/>
              <w:spacing w:before="0" w:after="0"/>
              <w:jc w:val="right"/>
              <w:rPr/>
            </w:pPr>
            <w:r>
              <w:rPr/>
              <w:t>(4,920</w:t>
            </w:r>
          </w:p>
        </w:tc>
        <w:tc>
          <w:tcPr>
            <w:tcW w:w="95" w:type="dxa"/>
            <w:tcBorders/>
            <w:vAlign w:val="bottom"/>
          </w:tcPr>
          <w:p>
            <w:pPr>
              <w:pStyle w:val="TableContents"/>
              <w:bidi w:val="0"/>
              <w:spacing w:before="0" w:after="0"/>
              <w:jc w:val="left"/>
              <w:rPr/>
            </w:pPr>
            <w:r>
              <w:rPr/>
              <w:t>)</w:t>
            </w:r>
          </w:p>
        </w:tc>
      </w:tr>
      <w:tr>
        <w:trPr/>
        <w:tc>
          <w:tcPr>
            <w:tcW w:w="1070" w:type="dxa"/>
            <w:tcBorders/>
            <w:shd w:fill="CCEEFF" w:val="clear"/>
            <w:vAlign w:val="bottom"/>
          </w:tcPr>
          <w:p>
            <w:pPr>
              <w:pStyle w:val="TableContents"/>
              <w:bidi w:val="0"/>
              <w:spacing w:before="0" w:after="0"/>
              <w:jc w:val="left"/>
              <w:rPr/>
            </w:pPr>
            <w:r>
              <w:rPr/>
              <w:t>GBP/USD</w:t>
            </w:r>
          </w:p>
        </w:tc>
        <w:tc>
          <w:tcPr>
            <w:tcW w:w="60"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0"/>
              <w:jc w:val="left"/>
              <w:rPr/>
            </w:pPr>
            <w:r>
              <w:rPr/>
              <w:t>$</w:t>
            </w:r>
          </w:p>
        </w:tc>
        <w:tc>
          <w:tcPr>
            <w:tcW w:w="485" w:type="dxa"/>
            <w:tcBorders/>
            <w:shd w:fill="CCEEFF" w:val="clear"/>
            <w:vAlign w:val="bottom"/>
          </w:tcPr>
          <w:p>
            <w:pPr>
              <w:pStyle w:val="TableContents"/>
              <w:bidi w:val="0"/>
              <w:spacing w:before="0" w:after="0"/>
              <w:jc w:val="right"/>
              <w:rPr/>
            </w:pPr>
            <w:r>
              <w:rPr/>
              <w:t>(470</w:t>
            </w:r>
          </w:p>
        </w:tc>
        <w:tc>
          <w:tcPr>
            <w:tcW w:w="95" w:type="dxa"/>
            <w:tcBorders/>
            <w:shd w:fill="CCEEFF" w:val="clear"/>
            <w:vAlign w:val="bottom"/>
          </w:tcPr>
          <w:p>
            <w:pPr>
              <w:pStyle w:val="TableContents"/>
              <w:bidi w:val="0"/>
              <w:spacing w:before="0" w:after="0"/>
              <w:jc w:val="left"/>
              <w:rPr/>
            </w:pPr>
            <w:r>
              <w:rPr/>
              <w:t>)</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0"/>
              <w:jc w:val="left"/>
              <w:rPr/>
            </w:pPr>
            <w:r>
              <w:rPr/>
              <w:t>$</w:t>
            </w:r>
          </w:p>
        </w:tc>
        <w:tc>
          <w:tcPr>
            <w:tcW w:w="455" w:type="dxa"/>
            <w:tcBorders/>
            <w:shd w:fill="CCEEFF" w:val="clear"/>
            <w:vAlign w:val="bottom"/>
          </w:tcPr>
          <w:p>
            <w:pPr>
              <w:pStyle w:val="TableContents"/>
              <w:bidi w:val="0"/>
              <w:spacing w:before="0" w:after="0"/>
              <w:jc w:val="right"/>
              <w:rPr/>
            </w:pPr>
            <w:r>
              <w:rPr/>
              <w:t>470</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0"/>
              <w:jc w:val="left"/>
              <w:rPr/>
            </w:pPr>
            <w:r>
              <w:rPr/>
              <w:t>$</w:t>
            </w:r>
          </w:p>
        </w:tc>
        <w:tc>
          <w:tcPr>
            <w:tcW w:w="635" w:type="dxa"/>
            <w:tcBorders/>
            <w:shd w:fill="CCEEFF" w:val="clear"/>
            <w:vAlign w:val="bottom"/>
          </w:tcPr>
          <w:p>
            <w:pPr>
              <w:pStyle w:val="TableContents"/>
              <w:bidi w:val="0"/>
              <w:spacing w:before="0" w:after="0"/>
              <w:jc w:val="right"/>
              <w:rPr/>
            </w:pPr>
            <w:r>
              <w:rPr/>
              <w:t>(3,403</w:t>
            </w:r>
          </w:p>
        </w:tc>
        <w:tc>
          <w:tcPr>
            <w:tcW w:w="95" w:type="dxa"/>
            <w:tcBorders/>
            <w:shd w:fill="CCEEFF" w:val="clear"/>
            <w:vAlign w:val="bottom"/>
          </w:tcPr>
          <w:p>
            <w:pPr>
              <w:pStyle w:val="TableContents"/>
              <w:bidi w:val="0"/>
              <w:spacing w:before="0" w:after="0"/>
              <w:jc w:val="left"/>
              <w:rPr/>
            </w:pPr>
            <w:r>
              <w:rPr/>
              <w:t>)</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0"/>
              <w:jc w:val="left"/>
              <w:rPr/>
            </w:pPr>
            <w:r>
              <w:rPr/>
              <w:t>$</w:t>
            </w:r>
          </w:p>
        </w:tc>
        <w:tc>
          <w:tcPr>
            <w:tcW w:w="635" w:type="dxa"/>
            <w:tcBorders/>
            <w:shd w:fill="CCEEFF" w:val="clear"/>
            <w:vAlign w:val="bottom"/>
          </w:tcPr>
          <w:p>
            <w:pPr>
              <w:pStyle w:val="TableContents"/>
              <w:bidi w:val="0"/>
              <w:spacing w:before="0" w:after="0"/>
              <w:jc w:val="right"/>
              <w:rPr/>
            </w:pPr>
            <w:r>
              <w:rPr/>
              <w:t>3,403</w:t>
            </w:r>
          </w:p>
        </w:tc>
        <w:tc>
          <w:tcPr>
            <w:tcW w:w="95" w:type="dxa"/>
            <w:tcBorders/>
            <w:shd w:fill="CCEEFF" w:val="clear"/>
            <w:vAlign w:val="bottom"/>
          </w:tcPr>
          <w:p>
            <w:pPr>
              <w:pStyle w:val="TableContents"/>
              <w:bidi w:val="0"/>
              <w:spacing w:before="0" w:after="283"/>
              <w:jc w:val="left"/>
              <w:rPr/>
            </w:pPr>
            <w:r>
              <w:rPr/>
              <w:t> </w:t>
            </w:r>
          </w:p>
        </w:tc>
      </w:tr>
      <w:tr>
        <w:trPr/>
        <w:tc>
          <w:tcPr>
            <w:tcW w:w="1070" w:type="dxa"/>
            <w:tcBorders/>
            <w:vAlign w:val="bottom"/>
          </w:tcPr>
          <w:p>
            <w:pPr>
              <w:pStyle w:val="TableContents"/>
              <w:bidi w:val="0"/>
              <w:spacing w:before="0" w:after="0"/>
              <w:jc w:val="left"/>
              <w:rPr/>
            </w:pPr>
            <w:r>
              <w:rPr/>
              <w:t>JPY/USD</w:t>
            </w:r>
          </w:p>
        </w:tc>
        <w:tc>
          <w:tcPr>
            <w:tcW w:w="60"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0"/>
              <w:jc w:val="left"/>
              <w:rPr/>
            </w:pPr>
            <w:r>
              <w:rPr/>
              <w:t>$</w:t>
            </w:r>
          </w:p>
        </w:tc>
        <w:tc>
          <w:tcPr>
            <w:tcW w:w="485" w:type="dxa"/>
            <w:tcBorders/>
            <w:vAlign w:val="bottom"/>
          </w:tcPr>
          <w:p>
            <w:pPr>
              <w:pStyle w:val="TableContents"/>
              <w:bidi w:val="0"/>
              <w:spacing w:before="0" w:after="0"/>
              <w:jc w:val="right"/>
              <w:rPr/>
            </w:pPr>
            <w:r>
              <w:rPr/>
              <w:t>639</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0"/>
              <w:jc w:val="left"/>
              <w:rPr/>
            </w:pPr>
            <w:r>
              <w:rPr/>
              <w:t>$</w:t>
            </w:r>
          </w:p>
        </w:tc>
        <w:tc>
          <w:tcPr>
            <w:tcW w:w="455" w:type="dxa"/>
            <w:tcBorders/>
            <w:vAlign w:val="bottom"/>
          </w:tcPr>
          <w:p>
            <w:pPr>
              <w:pStyle w:val="TableContents"/>
              <w:bidi w:val="0"/>
              <w:spacing w:before="0" w:after="0"/>
              <w:jc w:val="right"/>
              <w:rPr/>
            </w:pPr>
            <w:r>
              <w:rPr/>
              <w:t>(639</w:t>
            </w:r>
          </w:p>
        </w:tc>
        <w:tc>
          <w:tcPr>
            <w:tcW w:w="95" w:type="dxa"/>
            <w:tcBorders/>
            <w:vAlign w:val="bottom"/>
          </w:tcPr>
          <w:p>
            <w:pPr>
              <w:pStyle w:val="TableContents"/>
              <w:bidi w:val="0"/>
              <w:spacing w:before="0" w:after="0"/>
              <w:jc w:val="left"/>
              <w:rPr/>
            </w:pPr>
            <w:r>
              <w:rPr/>
              <w:t>)</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0"/>
              <w:jc w:val="left"/>
              <w:rPr/>
            </w:pPr>
            <w:r>
              <w:rPr/>
              <w:t>$</w:t>
            </w:r>
          </w:p>
        </w:tc>
        <w:tc>
          <w:tcPr>
            <w:tcW w:w="635" w:type="dxa"/>
            <w:tcBorders/>
            <w:vAlign w:val="bottom"/>
          </w:tcPr>
          <w:p>
            <w:pPr>
              <w:pStyle w:val="TableContents"/>
              <w:bidi w:val="0"/>
              <w:spacing w:before="0" w:after="0"/>
              <w:jc w:val="right"/>
              <w:rPr/>
            </w:pPr>
            <w:r>
              <w:rPr/>
              <w:t>1,333</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0"/>
              <w:jc w:val="left"/>
              <w:rPr/>
            </w:pPr>
            <w:r>
              <w:rPr/>
              <w:t>$</w:t>
            </w:r>
          </w:p>
        </w:tc>
        <w:tc>
          <w:tcPr>
            <w:tcW w:w="635" w:type="dxa"/>
            <w:tcBorders/>
            <w:vAlign w:val="bottom"/>
          </w:tcPr>
          <w:p>
            <w:pPr>
              <w:pStyle w:val="TableContents"/>
              <w:bidi w:val="0"/>
              <w:spacing w:before="0" w:after="0"/>
              <w:jc w:val="right"/>
              <w:rPr/>
            </w:pPr>
            <w:r>
              <w:rPr/>
              <w:t>(1,333</w:t>
            </w:r>
          </w:p>
        </w:tc>
        <w:tc>
          <w:tcPr>
            <w:tcW w:w="95" w:type="dxa"/>
            <w:tcBorders/>
            <w:vAlign w:val="bottom"/>
          </w:tcPr>
          <w:p>
            <w:pPr>
              <w:pStyle w:val="TableContents"/>
              <w:bidi w:val="0"/>
              <w:spacing w:before="0" w:after="0"/>
              <w:jc w:val="left"/>
              <w:rPr/>
            </w:pPr>
            <w:r>
              <w:rPr/>
              <w:t>)</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To reduce the impact of foreign exchange risks associated with forecasted future cash flows related to payroll expenses and other personnel related costs denominated in NIS and their volatility, we have established a hedging program and use derivative financial instruments, specifically foreign currency forward contracts, call and put options, to manage exposure to foreign currency risks. These derivative instruments are designated as cash flow hedges.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Interest Rate Risk</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Interest rate risk is the risk that the value or yield of fixed-income investments may decline if interest rates change.</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Our cash, cash equivalents, and short-term investments are held mainly for working capital purposes. The primary objectives of our investment activities are the preservation of capital and the fulfillment of liquidity needs. We do not enter into investments for trading or speculative purposes. Such interest-earning instruments carry a degree of interest rate risk. Changes in interest rates affect the interest earned on our cash and cash equivalents and short-term investments, and the market value of those securities.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As of September 30, 2023, we had approximately $202.7 million of outstanding borrowings under our long-term loan with a variable interest rate. In April 2023, we voluntarily prepaid $30.0 million and in October 2023, subsequent to the balance sheet date, we voluntarily prepaid an additional $50.0 million of the principal amount of the debt outstanding under the long-term loan. See Liquidity and Capital Resources for information regarding our incremental revolving credit facility amendment.</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Fluctuations in interest rates may impact the level of interest expense recorded on future borrowings. We do not enter into derivative financial instruments, including interest rate swaps, to effectively hedge the effect of interest rate changes or for speculative purposes.</w:t>
      </w:r>
    </w:p>
    <w:p>
      <w:pPr>
        <w:pStyle w:val="TextBody"/>
        <w:bidi w:val="0"/>
        <w:spacing w:before="0" w:after="0"/>
        <w:jc w:val="both"/>
        <w:rPr/>
      </w:pPr>
      <w:r>
        <w:rPr/>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Inflation Risk</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We do not believe that inflation has had a material effect on our business, financial condition, or results of operations, other than its impact on the general economy. However, if our costs, in particular labor, sales and marketing, information system, technology and utilities costs, were to become subject to significant inflationary pressures, we might not be able to effectively mitigate such higher costs. Our inability or failure to do so could adversely affect our business, financial condition, and results of operations.</w:t>
      </w:r>
    </w:p>
    <w:p>
      <w:pPr>
        <w:pStyle w:val="TextBody"/>
        <w:bidi w:val="0"/>
        <w:spacing w:before="0" w:after="0"/>
        <w:jc w:val="both"/>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49</w:t>
      </w:r>
    </w:p>
    <w:p>
      <w:pPr>
        <w:pStyle w:val="HorizontalLine"/>
        <w:bidi w:val="0"/>
        <w:spacing w:before="200" w:after="200"/>
        <w:jc w:val="left"/>
        <w:rPr/>
      </w:pPr>
      <w:r>
        <w:rPr/>
      </w:r>
    </w:p>
    <w:p>
      <w:pPr>
        <w:pStyle w:val="TextBody"/>
        <w:bidi w:val="0"/>
        <w:spacing w:before="200" w:after="200"/>
        <w:jc w:val="left"/>
        <w:rPr/>
      </w:pPr>
      <w:hyperlink w:anchor="Contents">
        <w:r>
          <w:rPr>
            <w:rStyle w:val="InternetLink"/>
            <w:rFonts w:ascii="Times New Roman" w:hAnsi="Times New Roman"/>
            <w:i/>
            <w:color w:val="000000"/>
            <w:sz w:val="16"/>
            <w:shd w:fill="FFFFFF" w:val="clear"/>
          </w:rPr>
          <w:t>Table of Contents</w:t>
        </w:r>
      </w:hyperlink>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Credit Risk</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Credit risk with respect to accounts receivable is generally not significant, as we routinely assess the creditworthiness of our partners and Advertisers. Historically, we generally have not experienced any material losses related to receivables from Advertisers. We do not require collateral. Due to these factors, no additional credit risk beyond amounts provided for collection losses is believed by management to be probable in our accounts receivable.</w:t>
      </w:r>
    </w:p>
    <w:p>
      <w:pPr>
        <w:pStyle w:val="TextBody"/>
        <w:bidi w:val="0"/>
        <w:spacing w:before="0" w:after="0"/>
        <w:jc w:val="both"/>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As of September 30, 2023, we maintained cash balances primarily in banks in the United States, the United Kingdom and Israel. In the United States and United Kingdom, the Company deposits are maintained with commercial banks, which are insured by the U.S. Federal Deposit Insurance Corporation (“FDIC”) and Financial Services Compensation Scheme (“FSCS”), which is authorized by the Bank of England (acting in its capacity as the Prudential Regulation Authority), respectively. In Israel, commercial banks do not have government-sponsored deposit insurance. Historically we have not experienced losses related to these balances and believe our credit risk in this area is reasonable. As of September 30, 2023, we maintained cash balances with U.S. and United Kingdom banks that significantly exceed FDIC and FSCS insurance limits and expect we will continue to do so. We regularly monitor bank financial strength and other factors in determining where to maintain cash deposits but may not be able to fully mitigate the risk of possible bank failures.</w:t>
      </w:r>
    </w:p>
    <w:p>
      <w:pPr>
        <w:pStyle w:val="TextBody"/>
        <w:bidi w:val="0"/>
        <w:spacing w:before="0" w:after="0"/>
        <w:jc w:val="both"/>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Our short-term investments, which were $12.5 million as of September 30, 2023, are investments in marketable securities with high credit ratings as required by our investment policy and are not insured or guaranteed.</w:t>
      </w:r>
    </w:p>
    <w:p>
      <w:pPr>
        <w:pStyle w:val="TextBody"/>
        <w:bidi w:val="0"/>
        <w:spacing w:before="0" w:after="0"/>
        <w:jc w:val="both"/>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Our derivatives expose us to credit risk to the extent that the counterparties may be unable to meet the terms of the agreement. We seek to mitigate such risk by limiting our counterparties to major financial institutions and by spreading the risk across a number of major financial institutions. However, failure of one or more of these financial institutions is possible and could result in losses.</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15" w:name="Controls"/>
      <w:bookmarkStart w:id="16" w:name="Controls"/>
      <w:bookmarkEnd w:id="16"/>
    </w:p>
    <w:tbl>
      <w:tblPr>
        <w:tblW w:w="3325" w:type="dxa"/>
        <w:jc w:val="left"/>
        <w:tblInd w:w="0" w:type="dxa"/>
        <w:tblLayout w:type="fixed"/>
        <w:tblCellMar>
          <w:top w:w="0" w:type="dxa"/>
          <w:left w:w="0" w:type="dxa"/>
          <w:bottom w:w="0" w:type="dxa"/>
          <w:right w:w="0" w:type="dxa"/>
        </w:tblCellMar>
      </w:tblPr>
      <w:tblGrid>
        <w:gridCol w:w="740"/>
        <w:gridCol w:w="2585"/>
      </w:tblGrid>
      <w:tr>
        <w:trPr/>
        <w:tc>
          <w:tcPr>
            <w:tcW w:w="740" w:type="dxa"/>
            <w:tcBorders/>
            <w:vAlign w:val="center"/>
          </w:tcPr>
          <w:p>
            <w:pPr>
              <w:pStyle w:val="TableContents"/>
              <w:bidi w:val="0"/>
              <w:spacing w:before="0" w:after="283"/>
              <w:jc w:val="left"/>
              <w:rPr>
                <w:b/>
                <w:color w:val="000000"/>
              </w:rPr>
            </w:pPr>
            <w:r>
              <w:rPr>
                <w:b/>
                <w:color w:val="000000"/>
              </w:rPr>
              <w:t>Item 4.</w:t>
            </w:r>
          </w:p>
        </w:tc>
        <w:tc>
          <w:tcPr>
            <w:tcW w:w="2585" w:type="dxa"/>
            <w:tcBorders/>
            <w:vAlign w:val="center"/>
          </w:tcPr>
          <w:p>
            <w:pPr>
              <w:pStyle w:val="TableContents"/>
              <w:bidi w:val="0"/>
              <w:spacing w:before="0" w:after="0"/>
              <w:jc w:val="both"/>
              <w:rPr>
                <w:b/>
                <w:color w:val="000000"/>
              </w:rPr>
            </w:pPr>
            <w:r>
              <w:rPr>
                <w:b/>
                <w:color w:val="000000"/>
              </w:rPr>
              <w:t>Controls and Procedures</w:t>
            </w:r>
          </w:p>
        </w:tc>
      </w:tr>
    </w:tbl>
    <w:p>
      <w:pPr>
        <w:pStyle w:val="TextBody"/>
        <w:bidi w:val="0"/>
        <w:spacing w:before="0" w:after="0"/>
        <w:jc w:val="left"/>
        <w:rPr/>
      </w:pPr>
      <w:r>
        <w:rPr/>
      </w:r>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Evaluation of Disclosure Controls and Procedures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We maintain disclosure controls and procedures (as that term is defined in Rules 13a-15(e) and 15d-15(e) under the Securities Exchange Act of 1934, as amended (the “Exchange Act”) that are designed to ensure that information required to be disclosed in the Company’s reports under the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disclosures. Any controls and procedures, no matter how well designed and operated, can provide only reasonable assurance of achieving the desired control objectives. Our management, with the participation of our Chief Executive Officer and Chief Financial Officer, has evaluated the effectiveness of the design and operation of our disclosure controls and procedures as of September 30, 2023. Based upon that evaluation, our Chief Executive Officer and Chief Financial Officer concluded that, as of September 30, 2023, our disclosure controls and procedures were effective to accomplish their objectives at the reasonable assurance level.</w:t>
      </w:r>
    </w:p>
    <w:p>
      <w:pPr>
        <w:pStyle w:val="TextBody"/>
        <w:bidi w:val="0"/>
        <w:spacing w:before="0" w:after="0"/>
        <w:jc w:val="left"/>
        <w:rPr/>
      </w:pPr>
      <w:r>
        <w:rPr/>
      </w:r>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Changes in Internal Control</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There were no changes in our internal control over financial reporting identified in management’s evaluation pursuant to Rules 13a-15(d) or 15d-15(d) of the Exchange Act during the period covered by this Quarterly Report on Form 10-Q that materially affected, or are reasonably likely to materially affect, our internal control over financial reporting.</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50</w:t>
      </w:r>
    </w:p>
    <w:p>
      <w:pPr>
        <w:pStyle w:val="HorizontalLine"/>
        <w:bidi w:val="0"/>
        <w:spacing w:before="200" w:after="200"/>
        <w:jc w:val="left"/>
        <w:rPr/>
      </w:pPr>
      <w:r>
        <w:rPr/>
      </w:r>
    </w:p>
    <w:p>
      <w:pPr>
        <w:pStyle w:val="TextBody"/>
        <w:bidi w:val="0"/>
        <w:spacing w:before="200" w:after="200"/>
        <w:jc w:val="left"/>
        <w:rPr/>
      </w:pPr>
      <w:hyperlink w:anchor="Contents">
        <w:r>
          <w:rPr>
            <w:rStyle w:val="InternetLink"/>
            <w:rFonts w:ascii="Times New Roman" w:hAnsi="Times New Roman"/>
            <w:i/>
            <w:color w:val="000000"/>
            <w:sz w:val="16"/>
            <w:shd w:fill="FFFFFF" w:val="clear"/>
          </w:rPr>
          <w:t>Table of Contents</w:t>
        </w:r>
      </w:hyperlink>
    </w:p>
    <w:p>
      <w:pPr>
        <w:pStyle w:val="TextBody"/>
        <w:bidi w:val="0"/>
        <w:spacing w:before="0" w:after="0"/>
        <w:jc w:val="both"/>
        <w:rPr>
          <w:rFonts w:ascii="Times New Roman" w:hAnsi="Times New Roman"/>
          <w:b/>
          <w:color w:val="000000"/>
          <w:sz w:val="20"/>
          <w:shd w:fill="FFFFFF" w:val="clear"/>
        </w:rPr>
      </w:pPr>
      <w:bookmarkStart w:id="17" w:name="PARTIIOTHERINFORMATION"/>
      <w:bookmarkEnd w:id="17"/>
      <w:r>
        <w:rPr>
          <w:rFonts w:ascii="Times New Roman" w:hAnsi="Times New Roman"/>
          <w:b/>
          <w:color w:val="000000"/>
          <w:sz w:val="20"/>
          <w:shd w:fill="FFFFFF" w:val="clear"/>
        </w:rPr>
        <w:t>PART II – OTHER INFORMATION</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Legal"/>
      <w:bookmarkStart w:id="19" w:name="Legal"/>
      <w:bookmarkEnd w:id="19"/>
    </w:p>
    <w:tbl>
      <w:tblPr>
        <w:tblW w:w="2635" w:type="dxa"/>
        <w:jc w:val="left"/>
        <w:tblInd w:w="0" w:type="dxa"/>
        <w:tblLayout w:type="fixed"/>
        <w:tblCellMar>
          <w:top w:w="0" w:type="dxa"/>
          <w:left w:w="0" w:type="dxa"/>
          <w:bottom w:w="0" w:type="dxa"/>
          <w:right w:w="0" w:type="dxa"/>
        </w:tblCellMar>
      </w:tblPr>
      <w:tblGrid>
        <w:gridCol w:w="740"/>
        <w:gridCol w:w="1895"/>
      </w:tblGrid>
      <w:tr>
        <w:trPr/>
        <w:tc>
          <w:tcPr>
            <w:tcW w:w="740" w:type="dxa"/>
            <w:tcBorders/>
            <w:vAlign w:val="center"/>
          </w:tcPr>
          <w:p>
            <w:pPr>
              <w:pStyle w:val="TableContents"/>
              <w:bidi w:val="0"/>
              <w:spacing w:before="0" w:after="283"/>
              <w:jc w:val="left"/>
              <w:rPr>
                <w:b/>
              </w:rPr>
            </w:pPr>
            <w:r>
              <w:rPr>
                <w:b/>
              </w:rPr>
              <w:t>Item 1.</w:t>
            </w:r>
          </w:p>
        </w:tc>
        <w:tc>
          <w:tcPr>
            <w:tcW w:w="1895" w:type="dxa"/>
            <w:tcBorders/>
            <w:vAlign w:val="center"/>
          </w:tcPr>
          <w:p>
            <w:pPr>
              <w:pStyle w:val="TableContents"/>
              <w:bidi w:val="0"/>
              <w:spacing w:before="0" w:after="0"/>
              <w:jc w:val="both"/>
              <w:rPr>
                <w:b/>
              </w:rPr>
            </w:pPr>
            <w:r>
              <w:rPr>
                <w:b/>
              </w:rPr>
              <w:t>Legal Proceedings</w:t>
            </w:r>
          </w:p>
        </w:tc>
      </w:tr>
    </w:tbl>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From time to time we are a party to various litigation matters incidental to the conduct of our business. We are not presently party to any legal proceedings the resolution of which we believe would have a material adverse effect on our consolidated business prospects, financial condition, liquidity, results of operation, cash flows or capital levels.</w:t>
      </w:r>
    </w:p>
    <w:p>
      <w:pPr>
        <w:pStyle w:val="TextBody"/>
        <w:bidi w:val="0"/>
        <w:spacing w:before="0" w:after="0"/>
        <w:jc w:val="left"/>
        <w:rPr>
          <w:color w:val="000000"/>
          <w:shd w:fill="FFFFFF" w:val="clear"/>
        </w:rPr>
      </w:pPr>
      <w:r>
        <w:rPr>
          <w:color w:val="000000"/>
          <w:shd w:fill="FFFFFF" w:val="clear"/>
        </w:rPr>
        <w:t> </w:t>
      </w:r>
    </w:p>
    <w:p>
      <w:pPr>
        <w:pStyle w:val="Normal"/>
        <w:bidi w:val="0"/>
        <w:spacing w:before="0" w:after="0"/>
        <w:jc w:val="left"/>
        <w:rPr>
          <w:sz w:val="4"/>
          <w:szCs w:val="4"/>
        </w:rPr>
      </w:pPr>
      <w:r>
        <w:rPr>
          <w:sz w:val="4"/>
          <w:szCs w:val="4"/>
        </w:rPr>
      </w:r>
      <w:bookmarkStart w:id="20" w:name="Risk"/>
      <w:bookmarkStart w:id="21" w:name="Risk"/>
      <w:bookmarkEnd w:id="21"/>
    </w:p>
    <w:tbl>
      <w:tblPr>
        <w:tblW w:w="2245" w:type="dxa"/>
        <w:jc w:val="left"/>
        <w:tblInd w:w="0" w:type="dxa"/>
        <w:tblLayout w:type="fixed"/>
        <w:tblCellMar>
          <w:top w:w="0" w:type="dxa"/>
          <w:left w:w="0" w:type="dxa"/>
          <w:bottom w:w="0" w:type="dxa"/>
          <w:right w:w="0" w:type="dxa"/>
        </w:tblCellMar>
      </w:tblPr>
      <w:tblGrid>
        <w:gridCol w:w="920"/>
        <w:gridCol w:w="1325"/>
      </w:tblGrid>
      <w:tr>
        <w:trPr/>
        <w:tc>
          <w:tcPr>
            <w:tcW w:w="920" w:type="dxa"/>
            <w:tcBorders/>
            <w:vAlign w:val="center"/>
          </w:tcPr>
          <w:p>
            <w:pPr>
              <w:pStyle w:val="TableContents"/>
              <w:bidi w:val="0"/>
              <w:spacing w:before="0" w:after="283"/>
              <w:jc w:val="left"/>
              <w:rPr>
                <w:b/>
              </w:rPr>
            </w:pPr>
            <w:r>
              <w:rPr>
                <w:b/>
              </w:rPr>
              <w:t>Item 1A.</w:t>
            </w:r>
          </w:p>
        </w:tc>
        <w:tc>
          <w:tcPr>
            <w:tcW w:w="1325" w:type="dxa"/>
            <w:tcBorders/>
            <w:vAlign w:val="center"/>
          </w:tcPr>
          <w:p>
            <w:pPr>
              <w:pStyle w:val="TableContents"/>
              <w:bidi w:val="0"/>
              <w:spacing w:before="0" w:after="0"/>
              <w:jc w:val="both"/>
              <w:rPr>
                <w:b/>
              </w:rPr>
            </w:pPr>
            <w:r>
              <w:rPr>
                <w:b/>
              </w:rPr>
              <w:t>Risk Factors</w:t>
            </w:r>
          </w:p>
        </w:tc>
      </w:tr>
    </w:tbl>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Investing in our Ordinary shares involves a high degree of risk. We describe risks associated with our business in Part I, Item 1A: “Risk Factors” of our 2022 Form 10-K. Each of the risks described in those Risk Factors may be relevant to decisions regarding an investment in or ownership of our Ordinary shares. The occurrence of any such risks could have a significant adverse effect on our reputation, business, financial condition, revenue, results of operations, growth, or ability to accomplish our strategic objectives, and could cause the trading price of our Ordinary shares to decline. You should carefully consider such risks and the other information contained in this report, including our condensed consolidated interim financial statements and related notes and Management’s Discussion and Analysis of Financial Condition and Results of Operations, before making investment decisions related to our Ordinary shares. Except as set forth below, there have been no material changes to the Risk Factors in our 2022 Form 10-K.</w:t>
      </w:r>
    </w:p>
    <w:p>
      <w:pPr>
        <w:pStyle w:val="TextBody"/>
        <w:bidi w:val="0"/>
        <w:spacing w:before="0" w:after="0"/>
        <w:jc w:val="left"/>
        <w:rPr/>
      </w:pPr>
      <w:r>
        <w:rPr/>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The war in Israel could have a material adverse effect on our business and operations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As has been widely publicly reported, in October 2023 war was declared in Israel. Although we are a company formed under the laws of the State of Israel and have a significant presence there, we are a global company with operations in multiple countries. We maintain a business continuity plan and have taken the steps designed to maintain our operations in light of the war in Israel. As of the date of this Quarterly Report on Form 10-Q, our operations have not been materially adversely affected by the war.</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We cannot predict the duration or severity of the war in Israel or how it will evolve, including any possible escalation or expansion of the war or other hostilities with other countries or groups, any of which could exacerbate geopolitical tensions and have economic implications. In connection with the war in Israel, several hundred thousand Israeli military reservists were called to immediate service. Certain of our employees and consultants in Israel have been called, and additional ones may be called, for service. Those persons may be absent for an extended period of time. In addition, due to the war or other hostilities our facilities could be damaged and our operations could be otherwise disrupted, which can impact our ability to deliver products and services in a timely manner to meet our contractual obligations towards customers. Any of the foregoing and related risks and uncertainties could have a material adverse effect on our business and operations.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Promptly following the attacks on Israel, the Israeli courts announced they would only operate on emergency matters and it is uncertain when they will resume normal operations. The Company needs Israeli court approval to conduct share repurchases and net issuances related to equity-based compensation beyond November 16, 2023 (when the current court approval expires). There can be no assurances as to when or whether the Company will receive court approval.</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51</w:t>
      </w:r>
    </w:p>
    <w:p>
      <w:pPr>
        <w:pStyle w:val="HorizontalLine"/>
        <w:bidi w:val="0"/>
        <w:spacing w:before="200" w:after="200"/>
        <w:jc w:val="left"/>
        <w:rPr/>
      </w:pPr>
      <w:r>
        <w:rPr/>
      </w:r>
    </w:p>
    <w:p>
      <w:pPr>
        <w:pStyle w:val="TextBody"/>
        <w:bidi w:val="0"/>
        <w:spacing w:before="200" w:after="200"/>
        <w:jc w:val="left"/>
        <w:rPr/>
      </w:pPr>
      <w:hyperlink w:anchor="Contents">
        <w:r>
          <w:rPr>
            <w:rStyle w:val="InternetLink"/>
            <w:rFonts w:ascii="Times New Roman" w:hAnsi="Times New Roman"/>
            <w:i/>
            <w:color w:val="000000"/>
            <w:sz w:val="16"/>
            <w:shd w:fill="FFFFFF" w:val="clear"/>
          </w:rPr>
          <w:t>Table of Contents</w:t>
        </w:r>
      </w:hyperlink>
    </w:p>
    <w:p>
      <w:pPr>
        <w:pStyle w:val="Normal"/>
        <w:bidi w:val="0"/>
        <w:spacing w:before="0" w:after="0"/>
        <w:jc w:val="left"/>
        <w:rPr>
          <w:sz w:val="4"/>
          <w:szCs w:val="4"/>
        </w:rPr>
      </w:pPr>
      <w:r>
        <w:rPr>
          <w:sz w:val="4"/>
          <w:szCs w:val="4"/>
        </w:rPr>
      </w:r>
      <w:bookmarkStart w:id="22" w:name="Unregistered"/>
      <w:bookmarkStart w:id="23" w:name="Unregistered"/>
      <w:bookmarkEnd w:id="23"/>
    </w:p>
    <w:tbl>
      <w:tblPr>
        <w:tblW w:w="6820" w:type="dxa"/>
        <w:jc w:val="left"/>
        <w:tblInd w:w="0" w:type="dxa"/>
        <w:tblLayout w:type="fixed"/>
        <w:tblCellMar>
          <w:top w:w="0" w:type="dxa"/>
          <w:left w:w="0" w:type="dxa"/>
          <w:bottom w:w="0" w:type="dxa"/>
          <w:right w:w="0" w:type="dxa"/>
        </w:tblCellMar>
      </w:tblPr>
      <w:tblGrid>
        <w:gridCol w:w="740"/>
        <w:gridCol w:w="6080"/>
      </w:tblGrid>
      <w:tr>
        <w:trPr/>
        <w:tc>
          <w:tcPr>
            <w:tcW w:w="740" w:type="dxa"/>
            <w:tcBorders/>
            <w:vAlign w:val="center"/>
          </w:tcPr>
          <w:p>
            <w:pPr>
              <w:pStyle w:val="TableContents"/>
              <w:bidi w:val="0"/>
              <w:spacing w:before="0" w:after="283"/>
              <w:jc w:val="left"/>
              <w:rPr>
                <w:b/>
              </w:rPr>
            </w:pPr>
            <w:r>
              <w:rPr>
                <w:b/>
              </w:rPr>
              <w:t>Item 2.</w:t>
            </w:r>
          </w:p>
        </w:tc>
        <w:tc>
          <w:tcPr>
            <w:tcW w:w="6080" w:type="dxa"/>
            <w:tcBorders/>
            <w:vAlign w:val="center"/>
          </w:tcPr>
          <w:p>
            <w:pPr>
              <w:pStyle w:val="TableContents"/>
              <w:bidi w:val="0"/>
              <w:spacing w:before="0" w:after="0"/>
              <w:jc w:val="both"/>
              <w:rPr>
                <w:b/>
              </w:rPr>
            </w:pPr>
            <w:r>
              <w:rPr>
                <w:b/>
              </w:rPr>
              <w:t>Unregistered Sales of Equity Securities and Use of Proceeds</w:t>
            </w:r>
          </w:p>
        </w:tc>
      </w:tr>
    </w:tbl>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following table presents Ordinary shares repurchased pursuant to our Ordinary share buyback program for the three months ended September 30, 2023.</w:t>
      </w:r>
    </w:p>
    <w:p>
      <w:pPr>
        <w:pStyle w:val="TextBody"/>
        <w:bidi w:val="0"/>
        <w:spacing w:before="0" w:after="0"/>
        <w:jc w:val="both"/>
        <w:rPr/>
      </w:pPr>
      <w:r>
        <w:rPr/>
      </w:r>
    </w:p>
    <w:tbl>
      <w:tblPr>
        <w:tblW w:w="10205" w:type="dxa"/>
        <w:jc w:val="left"/>
        <w:tblInd w:w="0" w:type="dxa"/>
        <w:tblLayout w:type="fixed"/>
        <w:tblCellMar>
          <w:top w:w="0" w:type="dxa"/>
          <w:left w:w="0" w:type="dxa"/>
          <w:bottom w:w="28" w:type="dxa"/>
          <w:right w:w="0" w:type="dxa"/>
        </w:tblCellMar>
      </w:tblPr>
      <w:tblGrid>
        <w:gridCol w:w="2633"/>
        <w:gridCol w:w="116"/>
        <w:gridCol w:w="131"/>
        <w:gridCol w:w="1175"/>
        <w:gridCol w:w="116"/>
        <w:gridCol w:w="116"/>
        <w:gridCol w:w="406"/>
        <w:gridCol w:w="1027"/>
        <w:gridCol w:w="116"/>
        <w:gridCol w:w="116"/>
        <w:gridCol w:w="176"/>
        <w:gridCol w:w="1583"/>
        <w:gridCol w:w="116"/>
        <w:gridCol w:w="116"/>
        <w:gridCol w:w="310"/>
        <w:gridCol w:w="1833"/>
        <w:gridCol w:w="119"/>
      </w:tblGrid>
      <w:tr>
        <w:trPr/>
        <w:tc>
          <w:tcPr>
            <w:tcW w:w="2633" w:type="dxa"/>
            <w:tcBorders>
              <w:bottom w:val="single" w:sz="12" w:space="0" w:color="000000"/>
            </w:tcBorders>
            <w:vAlign w:val="center"/>
          </w:tcPr>
          <w:p>
            <w:pPr>
              <w:pStyle w:val="TableContents"/>
              <w:bidi w:val="0"/>
              <w:spacing w:before="0" w:after="0"/>
              <w:jc w:val="left"/>
              <w:rPr/>
            </w:pPr>
            <w:r>
              <w:rPr/>
              <w:t>Period</w:t>
            </w:r>
          </w:p>
        </w:tc>
        <w:tc>
          <w:tcPr>
            <w:tcW w:w="116" w:type="dxa"/>
            <w:tcBorders/>
            <w:tcMar>
              <w:bottom w:w="0" w:type="dxa"/>
            </w:tcMar>
            <w:vAlign w:val="bottom"/>
          </w:tcPr>
          <w:p>
            <w:pPr>
              <w:pStyle w:val="TableContents"/>
              <w:bidi w:val="0"/>
              <w:spacing w:before="0" w:after="283"/>
              <w:jc w:val="left"/>
              <w:rPr/>
            </w:pPr>
            <w:r>
              <w:rPr/>
              <w:t> </w:t>
            </w:r>
          </w:p>
        </w:tc>
        <w:tc>
          <w:tcPr>
            <w:tcW w:w="1306" w:type="dxa"/>
            <w:gridSpan w:val="2"/>
            <w:tcBorders>
              <w:bottom w:val="single" w:sz="12" w:space="0" w:color="000000"/>
            </w:tcBorders>
            <w:vAlign w:val="center"/>
          </w:tcPr>
          <w:p>
            <w:pPr>
              <w:pStyle w:val="TableContents"/>
              <w:bidi w:val="0"/>
              <w:spacing w:before="0" w:after="0"/>
              <w:jc w:val="center"/>
              <w:rPr/>
            </w:pPr>
            <w:r>
              <w:rPr/>
              <w:t xml:space="preserve">(a) Total </w:t>
            </w:r>
          </w:p>
          <w:p>
            <w:pPr>
              <w:pStyle w:val="TableContents"/>
              <w:bidi w:val="0"/>
              <w:spacing w:before="0" w:after="0"/>
              <w:jc w:val="center"/>
              <w:rPr/>
            </w:pPr>
            <w:r>
              <w:rPr/>
              <w:t xml:space="preserve">Number of </w:t>
            </w:r>
          </w:p>
          <w:p>
            <w:pPr>
              <w:pStyle w:val="TableContents"/>
              <w:bidi w:val="0"/>
              <w:spacing w:before="0" w:after="0"/>
              <w:jc w:val="center"/>
              <w:rPr/>
            </w:pPr>
            <w:r>
              <w:rPr/>
              <w:t xml:space="preserve">Shares </w:t>
            </w:r>
          </w:p>
          <w:p>
            <w:pPr>
              <w:pStyle w:val="TableContents"/>
              <w:bidi w:val="0"/>
              <w:spacing w:before="0" w:after="0"/>
              <w:jc w:val="center"/>
              <w:rPr/>
            </w:pPr>
            <w:r>
              <w:rPr/>
              <w:t>Repurchased</w:t>
            </w:r>
          </w:p>
        </w:tc>
        <w:tc>
          <w:tcPr>
            <w:tcW w:w="116" w:type="dxa"/>
            <w:tcBorders/>
            <w:tcMar>
              <w:bottom w:w="0" w:type="dxa"/>
            </w:tcMar>
            <w:vAlign w:val="center"/>
          </w:tcPr>
          <w:p>
            <w:pPr>
              <w:pStyle w:val="TableContents"/>
              <w:bidi w:val="0"/>
              <w:spacing w:before="0" w:after="283"/>
              <w:jc w:val="center"/>
              <w:rPr/>
            </w:pPr>
            <w:r>
              <w:rPr/>
              <w:t> </w:t>
            </w:r>
          </w:p>
        </w:tc>
        <w:tc>
          <w:tcPr>
            <w:tcW w:w="116" w:type="dxa"/>
            <w:tcBorders/>
            <w:tcMar>
              <w:bottom w:w="0" w:type="dxa"/>
            </w:tcMar>
            <w:vAlign w:val="center"/>
          </w:tcPr>
          <w:p>
            <w:pPr>
              <w:pStyle w:val="TableContents"/>
              <w:bidi w:val="0"/>
              <w:spacing w:before="0" w:after="283"/>
              <w:jc w:val="center"/>
              <w:rPr/>
            </w:pPr>
            <w:r>
              <w:rPr/>
              <w:t> </w:t>
            </w:r>
          </w:p>
        </w:tc>
        <w:tc>
          <w:tcPr>
            <w:tcW w:w="1433" w:type="dxa"/>
            <w:gridSpan w:val="2"/>
            <w:tcBorders>
              <w:bottom w:val="single" w:sz="12" w:space="0" w:color="000000"/>
            </w:tcBorders>
            <w:vAlign w:val="center"/>
          </w:tcPr>
          <w:p>
            <w:pPr>
              <w:pStyle w:val="TableContents"/>
              <w:bidi w:val="0"/>
              <w:spacing w:before="0" w:after="0"/>
              <w:jc w:val="center"/>
              <w:rPr/>
            </w:pPr>
            <w:r>
              <w:rPr/>
              <w:t xml:space="preserve">(b) Average Price </w:t>
            </w:r>
          </w:p>
          <w:p>
            <w:pPr>
              <w:pStyle w:val="TableContents"/>
              <w:bidi w:val="0"/>
              <w:spacing w:lineRule="auto" w:line="240" w:before="0" w:after="0"/>
              <w:jc w:val="center"/>
              <w:rPr/>
            </w:pPr>
            <w:r>
              <w:rPr/>
              <w:t>Paid Per Share (1)</w:t>
            </w:r>
          </w:p>
        </w:tc>
        <w:tc>
          <w:tcPr>
            <w:tcW w:w="116" w:type="dxa"/>
            <w:tcBorders/>
            <w:tcMar>
              <w:bottom w:w="0" w:type="dxa"/>
            </w:tcMar>
            <w:vAlign w:val="center"/>
          </w:tcPr>
          <w:p>
            <w:pPr>
              <w:pStyle w:val="TableContents"/>
              <w:bidi w:val="0"/>
              <w:spacing w:before="0" w:after="283"/>
              <w:jc w:val="center"/>
              <w:rPr/>
            </w:pPr>
            <w:r>
              <w:rPr/>
              <w:t> </w:t>
            </w:r>
          </w:p>
        </w:tc>
        <w:tc>
          <w:tcPr>
            <w:tcW w:w="116" w:type="dxa"/>
            <w:tcBorders/>
            <w:tcMar>
              <w:bottom w:w="0" w:type="dxa"/>
            </w:tcMar>
            <w:vAlign w:val="center"/>
          </w:tcPr>
          <w:p>
            <w:pPr>
              <w:pStyle w:val="TableContents"/>
              <w:bidi w:val="0"/>
              <w:spacing w:before="0" w:after="283"/>
              <w:jc w:val="center"/>
              <w:rPr/>
            </w:pPr>
            <w:r>
              <w:rPr/>
              <w:t> </w:t>
            </w:r>
          </w:p>
        </w:tc>
        <w:tc>
          <w:tcPr>
            <w:tcW w:w="1759" w:type="dxa"/>
            <w:gridSpan w:val="2"/>
            <w:tcBorders>
              <w:bottom w:val="single" w:sz="12" w:space="0" w:color="000000"/>
            </w:tcBorders>
            <w:vAlign w:val="center"/>
          </w:tcPr>
          <w:p>
            <w:pPr>
              <w:pStyle w:val="TableContents"/>
              <w:bidi w:val="0"/>
              <w:spacing w:before="0" w:after="0"/>
              <w:jc w:val="center"/>
              <w:rPr/>
            </w:pPr>
            <w:r>
              <w:rPr/>
              <w:t xml:space="preserve">(c) Total Number of </w:t>
            </w:r>
          </w:p>
          <w:p>
            <w:pPr>
              <w:pStyle w:val="TableContents"/>
              <w:bidi w:val="0"/>
              <w:spacing w:before="0" w:after="0"/>
              <w:jc w:val="center"/>
              <w:rPr/>
            </w:pPr>
            <w:r>
              <w:rPr/>
              <w:t xml:space="preserve">Shares Purchased as </w:t>
            </w:r>
          </w:p>
          <w:p>
            <w:pPr>
              <w:pStyle w:val="TableContents"/>
              <w:bidi w:val="0"/>
              <w:spacing w:before="0" w:after="0"/>
              <w:jc w:val="center"/>
              <w:rPr/>
            </w:pPr>
            <w:r>
              <w:rPr/>
              <w:t xml:space="preserve">Part of Publicly </w:t>
            </w:r>
          </w:p>
          <w:p>
            <w:pPr>
              <w:pStyle w:val="TableContents"/>
              <w:bidi w:val="0"/>
              <w:spacing w:before="0" w:after="0"/>
              <w:jc w:val="center"/>
              <w:rPr/>
            </w:pPr>
            <w:r>
              <w:rPr/>
              <w:t>Announced Program</w:t>
            </w:r>
          </w:p>
        </w:tc>
        <w:tc>
          <w:tcPr>
            <w:tcW w:w="116" w:type="dxa"/>
            <w:tcBorders/>
            <w:tcMar>
              <w:bottom w:w="0" w:type="dxa"/>
            </w:tcMar>
            <w:vAlign w:val="center"/>
          </w:tcPr>
          <w:p>
            <w:pPr>
              <w:pStyle w:val="TableContents"/>
              <w:bidi w:val="0"/>
              <w:spacing w:before="0" w:after="283"/>
              <w:jc w:val="center"/>
              <w:rPr/>
            </w:pPr>
            <w:r>
              <w:rPr/>
              <w:t> </w:t>
            </w:r>
          </w:p>
        </w:tc>
        <w:tc>
          <w:tcPr>
            <w:tcW w:w="116" w:type="dxa"/>
            <w:tcBorders/>
            <w:tcMar>
              <w:bottom w:w="0" w:type="dxa"/>
            </w:tcMar>
            <w:vAlign w:val="center"/>
          </w:tcPr>
          <w:p>
            <w:pPr>
              <w:pStyle w:val="TableContents"/>
              <w:bidi w:val="0"/>
              <w:spacing w:before="0" w:after="283"/>
              <w:jc w:val="center"/>
              <w:rPr/>
            </w:pPr>
            <w:r>
              <w:rPr/>
              <w:t> </w:t>
            </w:r>
          </w:p>
        </w:tc>
        <w:tc>
          <w:tcPr>
            <w:tcW w:w="2143" w:type="dxa"/>
            <w:gridSpan w:val="2"/>
            <w:tcBorders>
              <w:bottom w:val="single" w:sz="12" w:space="0" w:color="000000"/>
            </w:tcBorders>
            <w:vAlign w:val="center"/>
          </w:tcPr>
          <w:p>
            <w:pPr>
              <w:pStyle w:val="TableContents"/>
              <w:bidi w:val="0"/>
              <w:spacing w:before="0" w:after="0"/>
              <w:jc w:val="center"/>
              <w:rPr/>
            </w:pPr>
            <w:r>
              <w:rPr/>
              <w:t xml:space="preserve">(d) Approximate Dollar </w:t>
            </w:r>
          </w:p>
          <w:p>
            <w:pPr>
              <w:pStyle w:val="TableContents"/>
              <w:bidi w:val="0"/>
              <w:spacing w:before="0" w:after="0"/>
              <w:jc w:val="center"/>
              <w:rPr/>
            </w:pPr>
            <w:r>
              <w:rPr/>
              <w:t xml:space="preserve">Value of Shares that May </w:t>
            </w:r>
          </w:p>
          <w:p>
            <w:pPr>
              <w:pStyle w:val="TableContents"/>
              <w:bidi w:val="0"/>
              <w:spacing w:before="0" w:after="0"/>
              <w:jc w:val="center"/>
              <w:rPr/>
            </w:pPr>
            <w:r>
              <w:rPr/>
              <w:t xml:space="preserve">Yet Be Purchased Under </w:t>
            </w:r>
          </w:p>
          <w:p>
            <w:pPr>
              <w:pStyle w:val="TableContents"/>
              <w:bidi w:val="0"/>
              <w:spacing w:lineRule="auto" w:line="240" w:before="0" w:after="0"/>
              <w:jc w:val="center"/>
              <w:rPr/>
            </w:pPr>
            <w:r>
              <w:rPr/>
              <w:t>the Plan or Program (2)</w:t>
            </w:r>
          </w:p>
        </w:tc>
        <w:tc>
          <w:tcPr>
            <w:tcW w:w="119" w:type="dxa"/>
            <w:tcBorders/>
            <w:tcMar>
              <w:bottom w:w="0" w:type="dxa"/>
            </w:tcMar>
            <w:vAlign w:val="bottom"/>
          </w:tcPr>
          <w:p>
            <w:pPr>
              <w:pStyle w:val="TableContents"/>
              <w:bidi w:val="0"/>
              <w:spacing w:before="0" w:after="283"/>
              <w:jc w:val="left"/>
              <w:rPr/>
            </w:pPr>
            <w:r>
              <w:rPr/>
              <w:t> </w:t>
            </w:r>
          </w:p>
        </w:tc>
      </w:tr>
      <w:tr>
        <w:trPr/>
        <w:tc>
          <w:tcPr>
            <w:tcW w:w="2633" w:type="dxa"/>
            <w:tcBorders/>
            <w:shd w:fill="CCEEFF" w:val="clear"/>
            <w:tcMar>
              <w:top w:w="28" w:type="dxa"/>
              <w:left w:w="28" w:type="dxa"/>
              <w:right w:w="28" w:type="dxa"/>
            </w:tcMar>
            <w:vAlign w:val="bottom"/>
          </w:tcPr>
          <w:p>
            <w:pPr>
              <w:pStyle w:val="TableContents"/>
              <w:bidi w:val="0"/>
              <w:spacing w:before="0" w:after="0"/>
              <w:jc w:val="left"/>
              <w:rPr/>
            </w:pPr>
            <w:r>
              <w:rPr/>
              <w:t>July 1 - July 31, 2023</w:t>
            </w:r>
          </w:p>
        </w:tc>
        <w:tc>
          <w:tcPr>
            <w:tcW w:w="116" w:type="dxa"/>
            <w:tcBorders/>
            <w:shd w:fill="CCEEFF" w:val="clear"/>
            <w:tcMar>
              <w:top w:w="28" w:type="dxa"/>
              <w:left w:w="28" w:type="dxa"/>
              <w:right w:w="28" w:type="dxa"/>
            </w:tcMar>
            <w:vAlign w:val="bottom"/>
          </w:tcPr>
          <w:p>
            <w:pPr>
              <w:pStyle w:val="TableContents"/>
              <w:bidi w:val="0"/>
              <w:spacing w:before="0" w:after="283"/>
              <w:jc w:val="left"/>
              <w:rPr/>
            </w:pPr>
            <w:r>
              <w:rPr/>
              <w:t> </w:t>
            </w:r>
          </w:p>
        </w:tc>
        <w:tc>
          <w:tcPr>
            <w:tcW w:w="131" w:type="dxa"/>
            <w:tcBorders/>
            <w:shd w:fill="CCEEFF" w:val="clear"/>
            <w:tcMar>
              <w:top w:w="28" w:type="dxa"/>
              <w:left w:w="28" w:type="dxa"/>
              <w:right w:w="28" w:type="dxa"/>
            </w:tcMar>
            <w:vAlign w:val="bottom"/>
          </w:tcPr>
          <w:p>
            <w:pPr>
              <w:pStyle w:val="TableContents"/>
              <w:bidi w:val="0"/>
              <w:spacing w:before="0" w:after="283"/>
              <w:jc w:val="left"/>
              <w:rPr/>
            </w:pPr>
            <w:r>
              <w:rPr/>
              <w:t> </w:t>
            </w:r>
          </w:p>
        </w:tc>
        <w:tc>
          <w:tcPr>
            <w:tcW w:w="1175" w:type="dxa"/>
            <w:tcBorders/>
            <w:shd w:fill="CCEEFF" w:val="clear"/>
            <w:tcMar>
              <w:top w:w="28" w:type="dxa"/>
              <w:left w:w="28" w:type="dxa"/>
              <w:right w:w="28" w:type="dxa"/>
            </w:tcMar>
            <w:vAlign w:val="bottom"/>
          </w:tcPr>
          <w:p>
            <w:pPr>
              <w:pStyle w:val="TableContents"/>
              <w:bidi w:val="0"/>
              <w:spacing w:before="0" w:after="0"/>
              <w:jc w:val="right"/>
              <w:rPr/>
            </w:pPr>
            <w:r>
              <w:rPr/>
              <w:t>1,206,600</w:t>
            </w:r>
          </w:p>
        </w:tc>
        <w:tc>
          <w:tcPr>
            <w:tcW w:w="116" w:type="dxa"/>
            <w:tcBorders/>
            <w:shd w:fill="CCEEFF" w:val="clear"/>
            <w:tcMar>
              <w:top w:w="28" w:type="dxa"/>
              <w:left w:w="28" w:type="dxa"/>
              <w:right w:w="28" w:type="dxa"/>
            </w:tcMar>
            <w:vAlign w:val="bottom"/>
          </w:tcPr>
          <w:p>
            <w:pPr>
              <w:pStyle w:val="TableContents"/>
              <w:bidi w:val="0"/>
              <w:spacing w:before="0" w:after="283"/>
              <w:jc w:val="left"/>
              <w:rPr/>
            </w:pPr>
            <w:r>
              <w:rPr/>
              <w:t> </w:t>
            </w:r>
          </w:p>
        </w:tc>
        <w:tc>
          <w:tcPr>
            <w:tcW w:w="116" w:type="dxa"/>
            <w:tcBorders/>
            <w:shd w:fill="CCEEFF" w:val="clear"/>
            <w:tcMar>
              <w:top w:w="28" w:type="dxa"/>
              <w:left w:w="28" w:type="dxa"/>
              <w:right w:w="28" w:type="dxa"/>
            </w:tcMar>
            <w:vAlign w:val="bottom"/>
          </w:tcPr>
          <w:p>
            <w:pPr>
              <w:pStyle w:val="TableContents"/>
              <w:bidi w:val="0"/>
              <w:spacing w:before="0" w:after="283"/>
              <w:jc w:val="left"/>
              <w:rPr/>
            </w:pPr>
            <w:r>
              <w:rPr/>
              <w:t> </w:t>
            </w:r>
          </w:p>
        </w:tc>
        <w:tc>
          <w:tcPr>
            <w:tcW w:w="406" w:type="dxa"/>
            <w:tcBorders/>
            <w:shd w:fill="CCEEFF" w:val="clear"/>
            <w:tcMar>
              <w:top w:w="28" w:type="dxa"/>
              <w:left w:w="28" w:type="dxa"/>
              <w:right w:w="28" w:type="dxa"/>
            </w:tcMar>
            <w:vAlign w:val="bottom"/>
          </w:tcPr>
          <w:p>
            <w:pPr>
              <w:pStyle w:val="TableContents"/>
              <w:bidi w:val="0"/>
              <w:spacing w:before="0" w:after="0"/>
              <w:jc w:val="left"/>
              <w:rPr/>
            </w:pPr>
            <w:r>
              <w:rPr/>
              <w:t>$</w:t>
            </w:r>
          </w:p>
        </w:tc>
        <w:tc>
          <w:tcPr>
            <w:tcW w:w="1027" w:type="dxa"/>
            <w:tcBorders/>
            <w:shd w:fill="CCEEFF" w:val="clear"/>
            <w:tcMar>
              <w:top w:w="28" w:type="dxa"/>
              <w:left w:w="28" w:type="dxa"/>
              <w:right w:w="28" w:type="dxa"/>
            </w:tcMar>
            <w:vAlign w:val="bottom"/>
          </w:tcPr>
          <w:p>
            <w:pPr>
              <w:pStyle w:val="TableContents"/>
              <w:bidi w:val="0"/>
              <w:spacing w:before="0" w:after="0"/>
              <w:jc w:val="right"/>
              <w:rPr/>
            </w:pPr>
            <w:r>
              <w:rPr/>
              <w:t>3.29</w:t>
            </w:r>
          </w:p>
        </w:tc>
        <w:tc>
          <w:tcPr>
            <w:tcW w:w="116" w:type="dxa"/>
            <w:tcBorders/>
            <w:shd w:fill="CCEEFF" w:val="clear"/>
            <w:tcMar>
              <w:top w:w="28" w:type="dxa"/>
              <w:left w:w="28" w:type="dxa"/>
              <w:right w:w="28" w:type="dxa"/>
            </w:tcMar>
            <w:vAlign w:val="bottom"/>
          </w:tcPr>
          <w:p>
            <w:pPr>
              <w:pStyle w:val="TableContents"/>
              <w:bidi w:val="0"/>
              <w:spacing w:before="0" w:after="283"/>
              <w:jc w:val="left"/>
              <w:rPr/>
            </w:pPr>
            <w:r>
              <w:rPr/>
              <w:t> </w:t>
            </w:r>
          </w:p>
        </w:tc>
        <w:tc>
          <w:tcPr>
            <w:tcW w:w="116" w:type="dxa"/>
            <w:tcBorders/>
            <w:shd w:fill="CCEEFF" w:val="clear"/>
            <w:tcMar>
              <w:top w:w="28" w:type="dxa"/>
              <w:left w:w="28" w:type="dxa"/>
              <w:right w:w="28" w:type="dxa"/>
            </w:tcMar>
            <w:vAlign w:val="bottom"/>
          </w:tcPr>
          <w:p>
            <w:pPr>
              <w:pStyle w:val="TableContents"/>
              <w:bidi w:val="0"/>
              <w:spacing w:before="0" w:after="283"/>
              <w:jc w:val="left"/>
              <w:rPr/>
            </w:pPr>
            <w:r>
              <w:rPr/>
              <w:t> </w:t>
            </w:r>
          </w:p>
        </w:tc>
        <w:tc>
          <w:tcPr>
            <w:tcW w:w="176" w:type="dxa"/>
            <w:tcBorders/>
            <w:shd w:fill="CCEEFF" w:val="clear"/>
            <w:tcMar>
              <w:top w:w="28" w:type="dxa"/>
              <w:left w:w="28" w:type="dxa"/>
              <w:right w:w="28" w:type="dxa"/>
            </w:tcMar>
            <w:vAlign w:val="bottom"/>
          </w:tcPr>
          <w:p>
            <w:pPr>
              <w:pStyle w:val="TableContents"/>
              <w:bidi w:val="0"/>
              <w:spacing w:before="0" w:after="283"/>
              <w:jc w:val="left"/>
              <w:rPr/>
            </w:pPr>
            <w:r>
              <w:rPr/>
              <w:t> </w:t>
            </w:r>
          </w:p>
        </w:tc>
        <w:tc>
          <w:tcPr>
            <w:tcW w:w="1583" w:type="dxa"/>
            <w:tcBorders/>
            <w:shd w:fill="CCEEFF" w:val="clear"/>
            <w:tcMar>
              <w:top w:w="28" w:type="dxa"/>
              <w:left w:w="28" w:type="dxa"/>
              <w:right w:w="28" w:type="dxa"/>
            </w:tcMar>
            <w:vAlign w:val="bottom"/>
          </w:tcPr>
          <w:p>
            <w:pPr>
              <w:pStyle w:val="TableContents"/>
              <w:bidi w:val="0"/>
              <w:spacing w:before="0" w:after="0"/>
              <w:jc w:val="right"/>
              <w:rPr/>
            </w:pPr>
            <w:r>
              <w:rPr/>
              <w:t>1,206,600</w:t>
            </w:r>
          </w:p>
        </w:tc>
        <w:tc>
          <w:tcPr>
            <w:tcW w:w="116" w:type="dxa"/>
            <w:tcBorders/>
            <w:shd w:fill="CCEEFF" w:val="clear"/>
            <w:tcMar>
              <w:top w:w="28" w:type="dxa"/>
              <w:left w:w="28" w:type="dxa"/>
              <w:right w:w="28" w:type="dxa"/>
            </w:tcMar>
            <w:vAlign w:val="bottom"/>
          </w:tcPr>
          <w:p>
            <w:pPr>
              <w:pStyle w:val="TableContents"/>
              <w:bidi w:val="0"/>
              <w:spacing w:before="0" w:after="283"/>
              <w:jc w:val="left"/>
              <w:rPr/>
            </w:pPr>
            <w:r>
              <w:rPr/>
              <w:t> </w:t>
            </w:r>
          </w:p>
        </w:tc>
        <w:tc>
          <w:tcPr>
            <w:tcW w:w="116" w:type="dxa"/>
            <w:tcBorders/>
            <w:shd w:fill="CCEEFF" w:val="clear"/>
            <w:tcMar>
              <w:top w:w="28" w:type="dxa"/>
              <w:left w:w="28" w:type="dxa"/>
              <w:right w:w="28" w:type="dxa"/>
            </w:tcMar>
            <w:vAlign w:val="bottom"/>
          </w:tcPr>
          <w:p>
            <w:pPr>
              <w:pStyle w:val="TableContents"/>
              <w:bidi w:val="0"/>
              <w:spacing w:before="0" w:after="283"/>
              <w:jc w:val="left"/>
              <w:rPr/>
            </w:pPr>
            <w:r>
              <w:rPr/>
              <w:t> </w:t>
            </w:r>
          </w:p>
        </w:tc>
        <w:tc>
          <w:tcPr>
            <w:tcW w:w="310" w:type="dxa"/>
            <w:tcBorders/>
            <w:shd w:fill="CCEEFF" w:val="clear"/>
            <w:tcMar>
              <w:top w:w="28" w:type="dxa"/>
              <w:left w:w="28" w:type="dxa"/>
              <w:right w:w="28" w:type="dxa"/>
            </w:tcMar>
            <w:vAlign w:val="bottom"/>
          </w:tcPr>
          <w:p>
            <w:pPr>
              <w:pStyle w:val="TableContents"/>
              <w:bidi w:val="0"/>
              <w:spacing w:before="0" w:after="0"/>
              <w:jc w:val="left"/>
              <w:rPr/>
            </w:pPr>
            <w:r>
              <w:rPr/>
              <w:t>$</w:t>
            </w:r>
          </w:p>
        </w:tc>
        <w:tc>
          <w:tcPr>
            <w:tcW w:w="1833" w:type="dxa"/>
            <w:tcBorders/>
            <w:shd w:fill="CCEEFF" w:val="clear"/>
            <w:tcMar>
              <w:top w:w="28" w:type="dxa"/>
              <w:left w:w="28" w:type="dxa"/>
              <w:right w:w="28" w:type="dxa"/>
            </w:tcMar>
            <w:vAlign w:val="bottom"/>
          </w:tcPr>
          <w:p>
            <w:pPr>
              <w:pStyle w:val="TableContents"/>
              <w:bidi w:val="0"/>
              <w:spacing w:before="0" w:after="0"/>
              <w:jc w:val="right"/>
              <w:rPr/>
            </w:pPr>
            <w:r>
              <w:rPr/>
              <w:t>31,675,448</w:t>
            </w:r>
          </w:p>
        </w:tc>
        <w:tc>
          <w:tcPr>
            <w:tcW w:w="119" w:type="dxa"/>
            <w:tcBorders/>
            <w:shd w:fill="CCEEFF" w:val="clear"/>
            <w:tcMar>
              <w:top w:w="28" w:type="dxa"/>
              <w:left w:w="28" w:type="dxa"/>
              <w:right w:w="28" w:type="dxa"/>
            </w:tcMar>
            <w:vAlign w:val="bottom"/>
          </w:tcPr>
          <w:p>
            <w:pPr>
              <w:pStyle w:val="TableContents"/>
              <w:bidi w:val="0"/>
              <w:spacing w:before="0" w:after="283"/>
              <w:jc w:val="left"/>
              <w:rPr/>
            </w:pPr>
            <w:r>
              <w:rPr/>
              <w:t> </w:t>
            </w:r>
          </w:p>
        </w:tc>
      </w:tr>
      <w:tr>
        <w:trPr/>
        <w:tc>
          <w:tcPr>
            <w:tcW w:w="2633" w:type="dxa"/>
            <w:tcBorders/>
            <w:tcMar>
              <w:top w:w="28" w:type="dxa"/>
              <w:left w:w="28" w:type="dxa"/>
              <w:right w:w="28" w:type="dxa"/>
            </w:tcMar>
            <w:vAlign w:val="bottom"/>
          </w:tcPr>
          <w:p>
            <w:pPr>
              <w:pStyle w:val="TableContents"/>
              <w:bidi w:val="0"/>
              <w:spacing w:before="0" w:after="0"/>
              <w:jc w:val="left"/>
              <w:rPr/>
            </w:pPr>
            <w:r>
              <w:rPr/>
              <w:t>August 1 - August 31, 2023</w:t>
            </w:r>
          </w:p>
        </w:tc>
        <w:tc>
          <w:tcPr>
            <w:tcW w:w="116" w:type="dxa"/>
            <w:tcBorders/>
            <w:tcMar>
              <w:top w:w="28" w:type="dxa"/>
              <w:left w:w="28" w:type="dxa"/>
              <w:right w:w="28" w:type="dxa"/>
            </w:tcMar>
            <w:vAlign w:val="bottom"/>
          </w:tcPr>
          <w:p>
            <w:pPr>
              <w:pStyle w:val="TableContents"/>
              <w:bidi w:val="0"/>
              <w:spacing w:before="0" w:after="283"/>
              <w:jc w:val="left"/>
              <w:rPr/>
            </w:pPr>
            <w:r>
              <w:rPr/>
              <w:t> </w:t>
            </w:r>
          </w:p>
        </w:tc>
        <w:tc>
          <w:tcPr>
            <w:tcW w:w="131" w:type="dxa"/>
            <w:tcBorders/>
            <w:tcMar>
              <w:top w:w="28" w:type="dxa"/>
              <w:left w:w="28" w:type="dxa"/>
              <w:right w:w="28" w:type="dxa"/>
            </w:tcMar>
            <w:vAlign w:val="bottom"/>
          </w:tcPr>
          <w:p>
            <w:pPr>
              <w:pStyle w:val="TableContents"/>
              <w:bidi w:val="0"/>
              <w:spacing w:before="0" w:after="283"/>
              <w:jc w:val="left"/>
              <w:rPr/>
            </w:pPr>
            <w:r>
              <w:rPr/>
              <w:t> </w:t>
            </w:r>
          </w:p>
        </w:tc>
        <w:tc>
          <w:tcPr>
            <w:tcW w:w="1175" w:type="dxa"/>
            <w:tcBorders/>
            <w:tcMar>
              <w:top w:w="28" w:type="dxa"/>
              <w:left w:w="28" w:type="dxa"/>
              <w:right w:w="28" w:type="dxa"/>
            </w:tcMar>
            <w:vAlign w:val="bottom"/>
          </w:tcPr>
          <w:p>
            <w:pPr>
              <w:pStyle w:val="TableContents"/>
              <w:bidi w:val="0"/>
              <w:spacing w:before="0" w:after="0"/>
              <w:jc w:val="right"/>
              <w:rPr/>
            </w:pPr>
            <w:r>
              <w:rPr/>
              <w:t>1,611,800</w:t>
            </w:r>
          </w:p>
        </w:tc>
        <w:tc>
          <w:tcPr>
            <w:tcW w:w="116" w:type="dxa"/>
            <w:tcBorders/>
            <w:tcMar>
              <w:top w:w="28" w:type="dxa"/>
              <w:left w:w="28" w:type="dxa"/>
              <w:right w:w="28" w:type="dxa"/>
            </w:tcMar>
            <w:vAlign w:val="bottom"/>
          </w:tcPr>
          <w:p>
            <w:pPr>
              <w:pStyle w:val="TableContents"/>
              <w:bidi w:val="0"/>
              <w:spacing w:before="0" w:after="283"/>
              <w:jc w:val="left"/>
              <w:rPr/>
            </w:pPr>
            <w:r>
              <w:rPr/>
              <w:t> </w:t>
            </w:r>
          </w:p>
        </w:tc>
        <w:tc>
          <w:tcPr>
            <w:tcW w:w="116" w:type="dxa"/>
            <w:tcBorders/>
            <w:tcMar>
              <w:top w:w="28" w:type="dxa"/>
              <w:left w:w="28" w:type="dxa"/>
              <w:right w:w="28" w:type="dxa"/>
            </w:tcMar>
            <w:vAlign w:val="bottom"/>
          </w:tcPr>
          <w:p>
            <w:pPr>
              <w:pStyle w:val="TableContents"/>
              <w:bidi w:val="0"/>
              <w:spacing w:before="0" w:after="283"/>
              <w:jc w:val="left"/>
              <w:rPr/>
            </w:pPr>
            <w:r>
              <w:rPr/>
              <w:t> </w:t>
            </w:r>
          </w:p>
        </w:tc>
        <w:tc>
          <w:tcPr>
            <w:tcW w:w="406" w:type="dxa"/>
            <w:tcBorders/>
            <w:tcMar>
              <w:top w:w="28" w:type="dxa"/>
              <w:left w:w="28" w:type="dxa"/>
              <w:right w:w="28" w:type="dxa"/>
            </w:tcMar>
            <w:vAlign w:val="bottom"/>
          </w:tcPr>
          <w:p>
            <w:pPr>
              <w:pStyle w:val="TableContents"/>
              <w:bidi w:val="0"/>
              <w:spacing w:before="0" w:after="0"/>
              <w:jc w:val="left"/>
              <w:rPr/>
            </w:pPr>
            <w:r>
              <w:rPr/>
              <w:t>$</w:t>
            </w:r>
          </w:p>
        </w:tc>
        <w:tc>
          <w:tcPr>
            <w:tcW w:w="1027" w:type="dxa"/>
            <w:tcBorders/>
            <w:tcMar>
              <w:top w:w="28" w:type="dxa"/>
              <w:left w:w="28" w:type="dxa"/>
              <w:right w:w="28" w:type="dxa"/>
            </w:tcMar>
            <w:vAlign w:val="bottom"/>
          </w:tcPr>
          <w:p>
            <w:pPr>
              <w:pStyle w:val="TableContents"/>
              <w:bidi w:val="0"/>
              <w:spacing w:before="0" w:after="0"/>
              <w:jc w:val="right"/>
              <w:rPr/>
            </w:pPr>
            <w:r>
              <w:rPr/>
              <w:t>3.52</w:t>
            </w:r>
          </w:p>
        </w:tc>
        <w:tc>
          <w:tcPr>
            <w:tcW w:w="116" w:type="dxa"/>
            <w:tcBorders/>
            <w:tcMar>
              <w:top w:w="28" w:type="dxa"/>
              <w:left w:w="28" w:type="dxa"/>
              <w:right w:w="28" w:type="dxa"/>
            </w:tcMar>
            <w:vAlign w:val="bottom"/>
          </w:tcPr>
          <w:p>
            <w:pPr>
              <w:pStyle w:val="TableContents"/>
              <w:bidi w:val="0"/>
              <w:spacing w:before="0" w:after="283"/>
              <w:jc w:val="left"/>
              <w:rPr/>
            </w:pPr>
            <w:r>
              <w:rPr/>
              <w:t> </w:t>
            </w:r>
          </w:p>
        </w:tc>
        <w:tc>
          <w:tcPr>
            <w:tcW w:w="116" w:type="dxa"/>
            <w:tcBorders/>
            <w:tcMar>
              <w:top w:w="28" w:type="dxa"/>
              <w:left w:w="28" w:type="dxa"/>
              <w:right w:w="28" w:type="dxa"/>
            </w:tcMar>
            <w:vAlign w:val="bottom"/>
          </w:tcPr>
          <w:p>
            <w:pPr>
              <w:pStyle w:val="TableContents"/>
              <w:bidi w:val="0"/>
              <w:spacing w:before="0" w:after="283"/>
              <w:jc w:val="left"/>
              <w:rPr/>
            </w:pPr>
            <w:r>
              <w:rPr/>
              <w:t> </w:t>
            </w:r>
          </w:p>
        </w:tc>
        <w:tc>
          <w:tcPr>
            <w:tcW w:w="176" w:type="dxa"/>
            <w:tcBorders/>
            <w:tcMar>
              <w:top w:w="28" w:type="dxa"/>
              <w:left w:w="28" w:type="dxa"/>
              <w:right w:w="28" w:type="dxa"/>
            </w:tcMar>
            <w:vAlign w:val="bottom"/>
          </w:tcPr>
          <w:p>
            <w:pPr>
              <w:pStyle w:val="TableContents"/>
              <w:bidi w:val="0"/>
              <w:spacing w:before="0" w:after="283"/>
              <w:jc w:val="left"/>
              <w:rPr/>
            </w:pPr>
            <w:r>
              <w:rPr/>
              <w:t> </w:t>
            </w:r>
          </w:p>
        </w:tc>
        <w:tc>
          <w:tcPr>
            <w:tcW w:w="1583" w:type="dxa"/>
            <w:tcBorders/>
            <w:tcMar>
              <w:top w:w="28" w:type="dxa"/>
              <w:left w:w="28" w:type="dxa"/>
              <w:right w:w="28" w:type="dxa"/>
            </w:tcMar>
            <w:vAlign w:val="bottom"/>
          </w:tcPr>
          <w:p>
            <w:pPr>
              <w:pStyle w:val="TableContents"/>
              <w:bidi w:val="0"/>
              <w:spacing w:before="0" w:after="0"/>
              <w:jc w:val="right"/>
              <w:rPr/>
            </w:pPr>
            <w:r>
              <w:rPr/>
              <w:t>1,611,800</w:t>
            </w:r>
          </w:p>
        </w:tc>
        <w:tc>
          <w:tcPr>
            <w:tcW w:w="116" w:type="dxa"/>
            <w:tcBorders/>
            <w:tcMar>
              <w:top w:w="28" w:type="dxa"/>
              <w:left w:w="28" w:type="dxa"/>
              <w:right w:w="28" w:type="dxa"/>
            </w:tcMar>
            <w:vAlign w:val="bottom"/>
          </w:tcPr>
          <w:p>
            <w:pPr>
              <w:pStyle w:val="TableContents"/>
              <w:bidi w:val="0"/>
              <w:spacing w:before="0" w:after="283"/>
              <w:jc w:val="left"/>
              <w:rPr/>
            </w:pPr>
            <w:r>
              <w:rPr/>
              <w:t> </w:t>
            </w:r>
          </w:p>
        </w:tc>
        <w:tc>
          <w:tcPr>
            <w:tcW w:w="116" w:type="dxa"/>
            <w:tcBorders/>
            <w:tcMar>
              <w:top w:w="28" w:type="dxa"/>
              <w:left w:w="28" w:type="dxa"/>
              <w:right w:w="28" w:type="dxa"/>
            </w:tcMar>
            <w:vAlign w:val="bottom"/>
          </w:tcPr>
          <w:p>
            <w:pPr>
              <w:pStyle w:val="TableContents"/>
              <w:bidi w:val="0"/>
              <w:spacing w:before="0" w:after="283"/>
              <w:jc w:val="left"/>
              <w:rPr/>
            </w:pPr>
            <w:r>
              <w:rPr/>
              <w:t> </w:t>
            </w:r>
          </w:p>
        </w:tc>
        <w:tc>
          <w:tcPr>
            <w:tcW w:w="310" w:type="dxa"/>
            <w:tcBorders/>
            <w:tcMar>
              <w:top w:w="28" w:type="dxa"/>
              <w:left w:w="28" w:type="dxa"/>
              <w:right w:w="28" w:type="dxa"/>
            </w:tcMar>
            <w:vAlign w:val="bottom"/>
          </w:tcPr>
          <w:p>
            <w:pPr>
              <w:pStyle w:val="TableContents"/>
              <w:bidi w:val="0"/>
              <w:spacing w:before="0" w:after="0"/>
              <w:jc w:val="left"/>
              <w:rPr/>
            </w:pPr>
            <w:r>
              <w:rPr/>
              <w:t>$</w:t>
            </w:r>
          </w:p>
        </w:tc>
        <w:tc>
          <w:tcPr>
            <w:tcW w:w="1833" w:type="dxa"/>
            <w:tcBorders/>
            <w:tcMar>
              <w:top w:w="28" w:type="dxa"/>
              <w:left w:w="28" w:type="dxa"/>
              <w:right w:w="28" w:type="dxa"/>
            </w:tcMar>
            <w:vAlign w:val="bottom"/>
          </w:tcPr>
          <w:p>
            <w:pPr>
              <w:pStyle w:val="TableContents"/>
              <w:bidi w:val="0"/>
              <w:spacing w:before="0" w:after="0"/>
              <w:jc w:val="right"/>
              <w:rPr/>
            </w:pPr>
            <w:r>
              <w:rPr/>
              <w:t>25,995,730</w:t>
            </w:r>
          </w:p>
        </w:tc>
        <w:tc>
          <w:tcPr>
            <w:tcW w:w="119" w:type="dxa"/>
            <w:tcBorders/>
            <w:tcMar>
              <w:top w:w="28" w:type="dxa"/>
              <w:left w:w="28" w:type="dxa"/>
              <w:right w:w="28" w:type="dxa"/>
            </w:tcMar>
            <w:vAlign w:val="bottom"/>
          </w:tcPr>
          <w:p>
            <w:pPr>
              <w:pStyle w:val="TableContents"/>
              <w:bidi w:val="0"/>
              <w:spacing w:before="0" w:after="283"/>
              <w:jc w:val="left"/>
              <w:rPr/>
            </w:pPr>
            <w:r>
              <w:rPr/>
              <w:t> </w:t>
            </w:r>
          </w:p>
        </w:tc>
      </w:tr>
      <w:tr>
        <w:trPr/>
        <w:tc>
          <w:tcPr>
            <w:tcW w:w="2633" w:type="dxa"/>
            <w:tcBorders/>
            <w:shd w:fill="CCEEFF" w:val="clear"/>
            <w:tcMar>
              <w:top w:w="28" w:type="dxa"/>
              <w:left w:w="28" w:type="dxa"/>
              <w:right w:w="28" w:type="dxa"/>
            </w:tcMar>
            <w:vAlign w:val="bottom"/>
          </w:tcPr>
          <w:p>
            <w:pPr>
              <w:pStyle w:val="TableContents"/>
              <w:bidi w:val="0"/>
              <w:spacing w:before="0" w:after="0"/>
              <w:jc w:val="left"/>
              <w:rPr/>
            </w:pPr>
            <w:r>
              <w:rPr/>
              <w:t>September 1 - September 30, 2023</w:t>
            </w:r>
          </w:p>
        </w:tc>
        <w:tc>
          <w:tcPr>
            <w:tcW w:w="116" w:type="dxa"/>
            <w:tcBorders/>
            <w:shd w:fill="CCEEFF" w:val="clear"/>
            <w:tcMar>
              <w:top w:w="28" w:type="dxa"/>
              <w:left w:w="28" w:type="dxa"/>
              <w:right w:w="28" w:type="dxa"/>
            </w:tcMar>
            <w:vAlign w:val="bottom"/>
          </w:tcPr>
          <w:p>
            <w:pPr>
              <w:pStyle w:val="TableContents"/>
              <w:bidi w:val="0"/>
              <w:spacing w:before="0" w:after="283"/>
              <w:jc w:val="left"/>
              <w:rPr/>
            </w:pPr>
            <w:r>
              <w:rPr/>
              <w:t> </w:t>
            </w:r>
          </w:p>
        </w:tc>
        <w:tc>
          <w:tcPr>
            <w:tcW w:w="131" w:type="dxa"/>
            <w:tcBorders/>
            <w:shd w:fill="CCEEFF" w:val="clear"/>
            <w:tcMar>
              <w:top w:w="28" w:type="dxa"/>
              <w:left w:w="28" w:type="dxa"/>
              <w:right w:w="28" w:type="dxa"/>
            </w:tcMar>
            <w:vAlign w:val="bottom"/>
          </w:tcPr>
          <w:p>
            <w:pPr>
              <w:pStyle w:val="TableContents"/>
              <w:bidi w:val="0"/>
              <w:spacing w:before="0" w:after="283"/>
              <w:jc w:val="left"/>
              <w:rPr/>
            </w:pPr>
            <w:r>
              <w:rPr/>
              <w:t> </w:t>
            </w:r>
          </w:p>
        </w:tc>
        <w:tc>
          <w:tcPr>
            <w:tcW w:w="1175" w:type="dxa"/>
            <w:tcBorders/>
            <w:shd w:fill="CCEEFF" w:val="clear"/>
            <w:tcMar>
              <w:top w:w="28" w:type="dxa"/>
              <w:left w:w="28" w:type="dxa"/>
              <w:right w:w="28" w:type="dxa"/>
            </w:tcMar>
            <w:vAlign w:val="bottom"/>
          </w:tcPr>
          <w:p>
            <w:pPr>
              <w:pStyle w:val="TableContents"/>
              <w:bidi w:val="0"/>
              <w:spacing w:before="0" w:after="0"/>
              <w:jc w:val="right"/>
              <w:rPr/>
            </w:pPr>
            <w:r>
              <w:rPr/>
              <w:t>2,412,515</w:t>
            </w:r>
          </w:p>
        </w:tc>
        <w:tc>
          <w:tcPr>
            <w:tcW w:w="116" w:type="dxa"/>
            <w:tcBorders/>
            <w:shd w:fill="CCEEFF" w:val="clear"/>
            <w:tcMar>
              <w:top w:w="28" w:type="dxa"/>
              <w:left w:w="28" w:type="dxa"/>
              <w:right w:w="28" w:type="dxa"/>
            </w:tcMar>
            <w:vAlign w:val="bottom"/>
          </w:tcPr>
          <w:p>
            <w:pPr>
              <w:pStyle w:val="TableContents"/>
              <w:bidi w:val="0"/>
              <w:spacing w:before="0" w:after="283"/>
              <w:jc w:val="left"/>
              <w:rPr/>
            </w:pPr>
            <w:r>
              <w:rPr/>
              <w:t> </w:t>
            </w:r>
          </w:p>
        </w:tc>
        <w:tc>
          <w:tcPr>
            <w:tcW w:w="116" w:type="dxa"/>
            <w:tcBorders/>
            <w:shd w:fill="CCEEFF" w:val="clear"/>
            <w:tcMar>
              <w:top w:w="28" w:type="dxa"/>
              <w:left w:w="28" w:type="dxa"/>
              <w:right w:w="28" w:type="dxa"/>
            </w:tcMar>
            <w:vAlign w:val="bottom"/>
          </w:tcPr>
          <w:p>
            <w:pPr>
              <w:pStyle w:val="TableContents"/>
              <w:bidi w:val="0"/>
              <w:spacing w:before="0" w:after="283"/>
              <w:jc w:val="left"/>
              <w:rPr/>
            </w:pPr>
            <w:r>
              <w:rPr/>
              <w:t> </w:t>
            </w:r>
          </w:p>
        </w:tc>
        <w:tc>
          <w:tcPr>
            <w:tcW w:w="406" w:type="dxa"/>
            <w:tcBorders/>
            <w:shd w:fill="CCEEFF" w:val="clear"/>
            <w:tcMar>
              <w:top w:w="28" w:type="dxa"/>
              <w:left w:w="28" w:type="dxa"/>
              <w:right w:w="28" w:type="dxa"/>
            </w:tcMar>
            <w:vAlign w:val="bottom"/>
          </w:tcPr>
          <w:p>
            <w:pPr>
              <w:pStyle w:val="TableContents"/>
              <w:bidi w:val="0"/>
              <w:spacing w:before="0" w:after="0"/>
              <w:jc w:val="left"/>
              <w:rPr/>
            </w:pPr>
            <w:r>
              <w:rPr/>
              <w:t>$</w:t>
            </w:r>
          </w:p>
        </w:tc>
        <w:tc>
          <w:tcPr>
            <w:tcW w:w="1027" w:type="dxa"/>
            <w:tcBorders/>
            <w:shd w:fill="CCEEFF" w:val="clear"/>
            <w:tcMar>
              <w:top w:w="28" w:type="dxa"/>
              <w:left w:w="28" w:type="dxa"/>
              <w:right w:w="28" w:type="dxa"/>
            </w:tcMar>
            <w:vAlign w:val="bottom"/>
          </w:tcPr>
          <w:p>
            <w:pPr>
              <w:pStyle w:val="TableContents"/>
              <w:bidi w:val="0"/>
              <w:spacing w:before="0" w:after="0"/>
              <w:jc w:val="right"/>
              <w:rPr/>
            </w:pPr>
            <w:r>
              <w:rPr/>
              <w:t>3.72</w:t>
            </w:r>
          </w:p>
        </w:tc>
        <w:tc>
          <w:tcPr>
            <w:tcW w:w="116" w:type="dxa"/>
            <w:tcBorders/>
            <w:shd w:fill="CCEEFF" w:val="clear"/>
            <w:tcMar>
              <w:top w:w="28" w:type="dxa"/>
              <w:left w:w="28" w:type="dxa"/>
              <w:right w:w="28" w:type="dxa"/>
            </w:tcMar>
            <w:vAlign w:val="bottom"/>
          </w:tcPr>
          <w:p>
            <w:pPr>
              <w:pStyle w:val="TableContents"/>
              <w:bidi w:val="0"/>
              <w:spacing w:before="0" w:after="283"/>
              <w:jc w:val="left"/>
              <w:rPr/>
            </w:pPr>
            <w:r>
              <w:rPr/>
              <w:t> </w:t>
            </w:r>
          </w:p>
        </w:tc>
        <w:tc>
          <w:tcPr>
            <w:tcW w:w="116" w:type="dxa"/>
            <w:tcBorders/>
            <w:shd w:fill="CCEEFF" w:val="clear"/>
            <w:tcMar>
              <w:top w:w="28" w:type="dxa"/>
              <w:left w:w="28" w:type="dxa"/>
              <w:right w:w="28" w:type="dxa"/>
            </w:tcMar>
            <w:vAlign w:val="bottom"/>
          </w:tcPr>
          <w:p>
            <w:pPr>
              <w:pStyle w:val="TableContents"/>
              <w:bidi w:val="0"/>
              <w:spacing w:before="0" w:after="283"/>
              <w:jc w:val="left"/>
              <w:rPr/>
            </w:pPr>
            <w:r>
              <w:rPr/>
              <w:t> </w:t>
            </w:r>
          </w:p>
        </w:tc>
        <w:tc>
          <w:tcPr>
            <w:tcW w:w="176" w:type="dxa"/>
            <w:tcBorders/>
            <w:shd w:fill="CCEEFF" w:val="clear"/>
            <w:tcMar>
              <w:top w:w="28" w:type="dxa"/>
              <w:left w:w="28" w:type="dxa"/>
              <w:right w:w="28" w:type="dxa"/>
            </w:tcMar>
            <w:vAlign w:val="bottom"/>
          </w:tcPr>
          <w:p>
            <w:pPr>
              <w:pStyle w:val="TableContents"/>
              <w:bidi w:val="0"/>
              <w:spacing w:before="0" w:after="283"/>
              <w:jc w:val="left"/>
              <w:rPr/>
            </w:pPr>
            <w:r>
              <w:rPr/>
              <w:t> </w:t>
            </w:r>
          </w:p>
        </w:tc>
        <w:tc>
          <w:tcPr>
            <w:tcW w:w="1583" w:type="dxa"/>
            <w:tcBorders/>
            <w:shd w:fill="CCEEFF" w:val="clear"/>
            <w:tcMar>
              <w:top w:w="28" w:type="dxa"/>
              <w:left w:w="28" w:type="dxa"/>
              <w:right w:w="28" w:type="dxa"/>
            </w:tcMar>
            <w:vAlign w:val="bottom"/>
          </w:tcPr>
          <w:p>
            <w:pPr>
              <w:pStyle w:val="TableContents"/>
              <w:bidi w:val="0"/>
              <w:spacing w:before="0" w:after="0"/>
              <w:jc w:val="right"/>
              <w:rPr/>
            </w:pPr>
            <w:r>
              <w:rPr/>
              <w:t>2,412,515</w:t>
            </w:r>
          </w:p>
        </w:tc>
        <w:tc>
          <w:tcPr>
            <w:tcW w:w="116" w:type="dxa"/>
            <w:tcBorders/>
            <w:shd w:fill="CCEEFF" w:val="clear"/>
            <w:tcMar>
              <w:top w:w="28" w:type="dxa"/>
              <w:left w:w="28" w:type="dxa"/>
              <w:right w:w="28" w:type="dxa"/>
            </w:tcMar>
            <w:vAlign w:val="bottom"/>
          </w:tcPr>
          <w:p>
            <w:pPr>
              <w:pStyle w:val="TableContents"/>
              <w:bidi w:val="0"/>
              <w:spacing w:before="0" w:after="283"/>
              <w:jc w:val="left"/>
              <w:rPr/>
            </w:pPr>
            <w:r>
              <w:rPr/>
              <w:t> </w:t>
            </w:r>
          </w:p>
        </w:tc>
        <w:tc>
          <w:tcPr>
            <w:tcW w:w="116" w:type="dxa"/>
            <w:tcBorders/>
            <w:shd w:fill="CCEEFF" w:val="clear"/>
            <w:tcMar>
              <w:top w:w="28" w:type="dxa"/>
              <w:left w:w="28" w:type="dxa"/>
              <w:right w:w="28" w:type="dxa"/>
            </w:tcMar>
            <w:vAlign w:val="bottom"/>
          </w:tcPr>
          <w:p>
            <w:pPr>
              <w:pStyle w:val="TableContents"/>
              <w:bidi w:val="0"/>
              <w:spacing w:before="0" w:after="283"/>
              <w:jc w:val="left"/>
              <w:rPr/>
            </w:pPr>
            <w:r>
              <w:rPr/>
              <w:t> </w:t>
            </w:r>
          </w:p>
        </w:tc>
        <w:tc>
          <w:tcPr>
            <w:tcW w:w="310" w:type="dxa"/>
            <w:tcBorders/>
            <w:shd w:fill="CCEEFF" w:val="clear"/>
            <w:tcMar>
              <w:top w:w="28" w:type="dxa"/>
              <w:left w:w="28" w:type="dxa"/>
              <w:right w:w="28" w:type="dxa"/>
            </w:tcMar>
            <w:vAlign w:val="bottom"/>
          </w:tcPr>
          <w:p>
            <w:pPr>
              <w:pStyle w:val="TableContents"/>
              <w:bidi w:val="0"/>
              <w:spacing w:before="0" w:after="0"/>
              <w:jc w:val="left"/>
              <w:rPr/>
            </w:pPr>
            <w:r>
              <w:rPr/>
              <w:t>$</w:t>
            </w:r>
          </w:p>
        </w:tc>
        <w:tc>
          <w:tcPr>
            <w:tcW w:w="1833" w:type="dxa"/>
            <w:tcBorders/>
            <w:shd w:fill="CCEEFF" w:val="clear"/>
            <w:tcMar>
              <w:top w:w="28" w:type="dxa"/>
              <w:left w:w="28" w:type="dxa"/>
              <w:right w:w="28" w:type="dxa"/>
            </w:tcMar>
            <w:vAlign w:val="bottom"/>
          </w:tcPr>
          <w:p>
            <w:pPr>
              <w:pStyle w:val="TableContents"/>
              <w:bidi w:val="0"/>
              <w:spacing w:before="0" w:after="0"/>
              <w:jc w:val="right"/>
              <w:rPr/>
            </w:pPr>
            <w:r>
              <w:rPr/>
              <w:t>17,009,723</w:t>
            </w:r>
          </w:p>
        </w:tc>
        <w:tc>
          <w:tcPr>
            <w:tcW w:w="119" w:type="dxa"/>
            <w:tcBorders/>
            <w:shd w:fill="CCEEFF" w:val="clear"/>
            <w:tcMar>
              <w:top w:w="28" w:type="dxa"/>
              <w:left w:w="28" w:type="dxa"/>
              <w:right w:w="28" w:type="dxa"/>
            </w:tcMar>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HorizontalLine"/>
        <w:bidi w:val="0"/>
        <w:jc w:val="left"/>
        <w:rPr/>
      </w:pPr>
      <w:r>
        <w:rPr/>
      </w:r>
    </w:p>
    <w:tbl>
      <w:tblPr>
        <w:tblW w:w="3865" w:type="dxa"/>
        <w:jc w:val="left"/>
        <w:tblInd w:w="0" w:type="dxa"/>
        <w:tblLayout w:type="fixed"/>
        <w:tblCellMar>
          <w:top w:w="0" w:type="dxa"/>
          <w:left w:w="0" w:type="dxa"/>
          <w:bottom w:w="0" w:type="dxa"/>
          <w:right w:w="0" w:type="dxa"/>
        </w:tblCellMar>
      </w:tblPr>
      <w:tblGrid>
        <w:gridCol w:w="305"/>
        <w:gridCol w:w="3560"/>
      </w:tblGrid>
      <w:tr>
        <w:trPr/>
        <w:tc>
          <w:tcPr>
            <w:tcW w:w="305" w:type="dxa"/>
            <w:tcBorders/>
            <w:vAlign w:val="center"/>
          </w:tcPr>
          <w:p>
            <w:pPr>
              <w:pStyle w:val="TableContents"/>
              <w:bidi w:val="0"/>
              <w:spacing w:before="0" w:after="283"/>
              <w:jc w:val="left"/>
              <w:rPr/>
            </w:pPr>
            <w:r>
              <w:rPr/>
              <w:t>(1)</w:t>
            </w:r>
          </w:p>
        </w:tc>
        <w:tc>
          <w:tcPr>
            <w:tcW w:w="3560" w:type="dxa"/>
            <w:tcBorders/>
            <w:vAlign w:val="center"/>
          </w:tcPr>
          <w:p>
            <w:pPr>
              <w:pStyle w:val="TableContents"/>
              <w:bidi w:val="0"/>
              <w:spacing w:before="0" w:after="0"/>
              <w:jc w:val="both"/>
              <w:rPr/>
            </w:pPr>
            <w:r>
              <w:rPr/>
              <w:t>Excludes broker and transaction fees.</w:t>
            </w:r>
          </w:p>
        </w:tc>
      </w:tr>
    </w:tbl>
    <w:tbl>
      <w:tblPr>
        <w:tblW w:w="10205" w:type="dxa"/>
        <w:jc w:val="left"/>
        <w:tblInd w:w="0" w:type="dxa"/>
        <w:tblLayout w:type="fixed"/>
        <w:tblCellMar>
          <w:top w:w="0" w:type="dxa"/>
          <w:left w:w="0" w:type="dxa"/>
          <w:bottom w:w="0" w:type="dxa"/>
          <w:right w:w="0" w:type="dxa"/>
        </w:tblCellMar>
      </w:tblPr>
      <w:tblGrid>
        <w:gridCol w:w="238"/>
        <w:gridCol w:w="9967"/>
      </w:tblGrid>
      <w:tr>
        <w:trPr/>
        <w:tc>
          <w:tcPr>
            <w:tcW w:w="238" w:type="dxa"/>
            <w:tcBorders/>
            <w:vAlign w:val="center"/>
          </w:tcPr>
          <w:p>
            <w:pPr>
              <w:pStyle w:val="TableContents"/>
              <w:bidi w:val="0"/>
              <w:spacing w:before="0" w:after="283"/>
              <w:jc w:val="left"/>
              <w:rPr/>
            </w:pPr>
            <w:r>
              <w:rPr/>
              <w:t>(2)</w:t>
            </w:r>
          </w:p>
        </w:tc>
        <w:tc>
          <w:tcPr>
            <w:tcW w:w="9967" w:type="dxa"/>
            <w:tcBorders/>
            <w:vAlign w:val="center"/>
          </w:tcPr>
          <w:p>
            <w:pPr>
              <w:pStyle w:val="TableContents"/>
              <w:bidi w:val="0"/>
              <w:spacing w:before="0" w:after="0"/>
              <w:jc w:val="both"/>
              <w:rPr/>
            </w:pPr>
            <w:r>
              <w:rPr/>
              <w:t>On May 10, 2023, the Company announced a share buyback program for the repurchase of up to $40.0 million of our outstanding Ordinary shares, with no expiration date (the “Buyback Program”). On November 7, 2023, the Board authorized up to an additional $40.0 million of buybacks under the Buyback Program. The Buyback Program program permits us to purchase our Ordinary shares from time to time in the open market, including through trading plans intended to comply with Rule 10b5-1 under the Exchange Act, in privately negotiated transactions or otherwise. The timing and amount of any share buybacks will be subject to market conditions and other factors determined by the Company. The Company may suspend, modify or discontinue the program at any time in its sole discretion without prior notice.</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4" w:name="Defaults"/>
      <w:bookmarkStart w:id="25" w:name="Defaults"/>
      <w:bookmarkEnd w:id="25"/>
    </w:p>
    <w:tbl>
      <w:tblPr>
        <w:tblW w:w="3955" w:type="dxa"/>
        <w:jc w:val="left"/>
        <w:tblInd w:w="0" w:type="dxa"/>
        <w:tblLayout w:type="fixed"/>
        <w:tblCellMar>
          <w:top w:w="0" w:type="dxa"/>
          <w:left w:w="0" w:type="dxa"/>
          <w:bottom w:w="0" w:type="dxa"/>
          <w:right w:w="0" w:type="dxa"/>
        </w:tblCellMar>
      </w:tblPr>
      <w:tblGrid>
        <w:gridCol w:w="740"/>
        <w:gridCol w:w="3215"/>
      </w:tblGrid>
      <w:tr>
        <w:trPr/>
        <w:tc>
          <w:tcPr>
            <w:tcW w:w="740" w:type="dxa"/>
            <w:tcBorders/>
            <w:vAlign w:val="center"/>
          </w:tcPr>
          <w:p>
            <w:pPr>
              <w:pStyle w:val="TableContents"/>
              <w:bidi w:val="0"/>
              <w:spacing w:before="0" w:after="283"/>
              <w:jc w:val="left"/>
              <w:rPr>
                <w:b/>
              </w:rPr>
            </w:pPr>
            <w:r>
              <w:rPr>
                <w:b/>
              </w:rPr>
              <w:t>Item 3.</w:t>
            </w:r>
          </w:p>
        </w:tc>
        <w:tc>
          <w:tcPr>
            <w:tcW w:w="3215" w:type="dxa"/>
            <w:tcBorders/>
            <w:vAlign w:val="center"/>
          </w:tcPr>
          <w:p>
            <w:pPr>
              <w:pStyle w:val="TableContents"/>
              <w:bidi w:val="0"/>
              <w:spacing w:before="0" w:after="0"/>
              <w:jc w:val="both"/>
              <w:rPr>
                <w:b/>
              </w:rPr>
            </w:pPr>
            <w:r>
              <w:rPr>
                <w:b/>
              </w:rPr>
              <w:t>Defaults upon Senior Securities</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None.</w:t>
      </w:r>
    </w:p>
    <w:p>
      <w:pPr>
        <w:pStyle w:val="TextBody"/>
        <w:bidi w:val="0"/>
        <w:spacing w:before="0" w:after="0"/>
        <w:jc w:val="left"/>
        <w:rPr>
          <w:color w:val="000000"/>
          <w:shd w:fill="FFFFFF" w:val="clear"/>
        </w:rPr>
      </w:pPr>
      <w:r>
        <w:rPr>
          <w:color w:val="000000"/>
          <w:shd w:fill="FFFFFF" w:val="clear"/>
        </w:rPr>
        <w:t> </w:t>
      </w:r>
    </w:p>
    <w:p>
      <w:pPr>
        <w:pStyle w:val="Normal"/>
        <w:bidi w:val="0"/>
        <w:spacing w:before="0" w:after="0"/>
        <w:jc w:val="left"/>
        <w:rPr>
          <w:sz w:val="4"/>
          <w:szCs w:val="4"/>
        </w:rPr>
      </w:pPr>
      <w:r>
        <w:rPr>
          <w:sz w:val="4"/>
          <w:szCs w:val="4"/>
        </w:rPr>
      </w:r>
      <w:bookmarkStart w:id="26" w:name="Mine"/>
      <w:bookmarkStart w:id="27" w:name="Mine"/>
      <w:bookmarkEnd w:id="27"/>
    </w:p>
    <w:tbl>
      <w:tblPr>
        <w:tblW w:w="3190" w:type="dxa"/>
        <w:jc w:val="left"/>
        <w:tblInd w:w="0" w:type="dxa"/>
        <w:tblLayout w:type="fixed"/>
        <w:tblCellMar>
          <w:top w:w="0" w:type="dxa"/>
          <w:left w:w="0" w:type="dxa"/>
          <w:bottom w:w="0" w:type="dxa"/>
          <w:right w:w="0" w:type="dxa"/>
        </w:tblCellMar>
      </w:tblPr>
      <w:tblGrid>
        <w:gridCol w:w="740"/>
        <w:gridCol w:w="2450"/>
      </w:tblGrid>
      <w:tr>
        <w:trPr/>
        <w:tc>
          <w:tcPr>
            <w:tcW w:w="740" w:type="dxa"/>
            <w:tcBorders/>
            <w:vAlign w:val="center"/>
          </w:tcPr>
          <w:p>
            <w:pPr>
              <w:pStyle w:val="TableContents"/>
              <w:bidi w:val="0"/>
              <w:spacing w:before="0" w:after="283"/>
              <w:jc w:val="left"/>
              <w:rPr>
                <w:b/>
              </w:rPr>
            </w:pPr>
            <w:r>
              <w:rPr>
                <w:b/>
              </w:rPr>
              <w:t>Item 4.</w:t>
            </w:r>
          </w:p>
        </w:tc>
        <w:tc>
          <w:tcPr>
            <w:tcW w:w="2450" w:type="dxa"/>
            <w:tcBorders/>
            <w:vAlign w:val="center"/>
          </w:tcPr>
          <w:p>
            <w:pPr>
              <w:pStyle w:val="TableContents"/>
              <w:bidi w:val="0"/>
              <w:spacing w:before="0" w:after="0"/>
              <w:jc w:val="both"/>
              <w:rPr>
                <w:b/>
              </w:rPr>
            </w:pPr>
            <w:r>
              <w:rPr>
                <w:b/>
              </w:rPr>
              <w:t>Mine Safety Disclosures</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Not applicable.</w:t>
      </w:r>
    </w:p>
    <w:p>
      <w:pPr>
        <w:pStyle w:val="TextBody"/>
        <w:bidi w:val="0"/>
        <w:spacing w:before="0" w:after="0"/>
        <w:jc w:val="left"/>
        <w:rPr>
          <w:color w:val="000000"/>
          <w:shd w:fill="FFFFFF" w:val="clear"/>
        </w:rPr>
      </w:pPr>
      <w:r>
        <w:rPr>
          <w:color w:val="000000"/>
          <w:shd w:fill="FFFFFF" w:val="clear"/>
        </w:rPr>
        <w:t> </w:t>
      </w:r>
    </w:p>
    <w:p>
      <w:pPr>
        <w:pStyle w:val="Normal"/>
        <w:bidi w:val="0"/>
        <w:spacing w:before="0" w:after="0"/>
        <w:jc w:val="left"/>
        <w:rPr>
          <w:sz w:val="4"/>
          <w:szCs w:val="4"/>
        </w:rPr>
      </w:pPr>
      <w:r>
        <w:rPr>
          <w:sz w:val="4"/>
          <w:szCs w:val="4"/>
        </w:rPr>
      </w:r>
      <w:bookmarkStart w:id="28" w:name="Other"/>
      <w:bookmarkStart w:id="29" w:name="Other"/>
      <w:bookmarkEnd w:id="29"/>
    </w:p>
    <w:tbl>
      <w:tblPr>
        <w:tblW w:w="2665" w:type="dxa"/>
        <w:jc w:val="left"/>
        <w:tblInd w:w="0" w:type="dxa"/>
        <w:tblLayout w:type="fixed"/>
        <w:tblCellMar>
          <w:top w:w="0" w:type="dxa"/>
          <w:left w:w="0" w:type="dxa"/>
          <w:bottom w:w="0" w:type="dxa"/>
          <w:right w:w="0" w:type="dxa"/>
        </w:tblCellMar>
      </w:tblPr>
      <w:tblGrid>
        <w:gridCol w:w="740"/>
        <w:gridCol w:w="1925"/>
      </w:tblGrid>
      <w:tr>
        <w:trPr/>
        <w:tc>
          <w:tcPr>
            <w:tcW w:w="740" w:type="dxa"/>
            <w:tcBorders/>
            <w:vAlign w:val="center"/>
          </w:tcPr>
          <w:p>
            <w:pPr>
              <w:pStyle w:val="TableContents"/>
              <w:bidi w:val="0"/>
              <w:spacing w:before="0" w:after="283"/>
              <w:jc w:val="left"/>
              <w:rPr>
                <w:b/>
              </w:rPr>
            </w:pPr>
            <w:r>
              <w:rPr>
                <w:b/>
              </w:rPr>
              <w:t>Item 5.</w:t>
            </w:r>
          </w:p>
        </w:tc>
        <w:tc>
          <w:tcPr>
            <w:tcW w:w="1925" w:type="dxa"/>
            <w:tcBorders/>
            <w:vAlign w:val="center"/>
          </w:tcPr>
          <w:p>
            <w:pPr>
              <w:pStyle w:val="TableContents"/>
              <w:bidi w:val="0"/>
              <w:spacing w:before="0" w:after="0"/>
              <w:jc w:val="both"/>
              <w:rPr>
                <w:b/>
              </w:rPr>
            </w:pPr>
            <w:r>
              <w:rPr>
                <w:b/>
              </w:rPr>
              <w:t>Other Information</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160"/>
        <w:jc w:val="both"/>
        <w:rPr>
          <w:rFonts w:ascii="Times New Roman" w:hAnsi="Times New Roman"/>
          <w:b/>
          <w:color w:val="000000"/>
          <w:sz w:val="20"/>
          <w:shd w:fill="FFFFFF" w:val="clear"/>
        </w:rPr>
      </w:pPr>
      <w:r>
        <w:rPr>
          <w:rFonts w:ascii="Times New Roman" w:hAnsi="Times New Roman"/>
          <w:b/>
          <w:color w:val="000000"/>
          <w:sz w:val="20"/>
          <w:shd w:fill="FFFFFF" w:val="clear"/>
        </w:rPr>
        <w:t>Rule 10b5-1 Trading Plans</w:t>
      </w:r>
    </w:p>
    <w:p>
      <w:pPr>
        <w:pStyle w:val="TextBody"/>
        <w:bidi w:val="0"/>
        <w:spacing w:before="0" w:after="160"/>
        <w:jc w:val="both"/>
        <w:rPr>
          <w:rFonts w:ascii="Times New Roman" w:hAnsi="Times New Roman"/>
          <w:color w:val="000000"/>
          <w:sz w:val="20"/>
          <w:shd w:fill="FFFFFF" w:val="clear"/>
        </w:rPr>
      </w:pPr>
      <w:r>
        <w:rPr>
          <w:rFonts w:ascii="Times New Roman" w:hAnsi="Times New Roman"/>
          <w:color w:val="000000"/>
          <w:sz w:val="20"/>
          <w:shd w:fill="FFFFFF" w:val="clear"/>
        </w:rPr>
        <w:t>Each of the following trading plans are intended to satisfy the affirmative defense conditions of Rule 10b5-1(c).</w:t>
      </w:r>
    </w:p>
    <w:p>
      <w:pPr>
        <w:pStyle w:val="TextBody"/>
        <w:bidi w:val="0"/>
        <w:spacing w:before="0" w:after="160"/>
        <w:jc w:val="both"/>
        <w:rPr>
          <w:rFonts w:ascii="Times New Roman" w:hAnsi="Times New Roman"/>
          <w:color w:val="000000"/>
          <w:sz w:val="20"/>
          <w:shd w:fill="FFFFFF" w:val="clear"/>
        </w:rPr>
      </w:pPr>
      <w:r>
        <w:rPr>
          <w:rFonts w:ascii="Times New Roman" w:hAnsi="Times New Roman"/>
          <w:color w:val="000000"/>
          <w:sz w:val="20"/>
          <w:shd w:fill="FFFFFF" w:val="clear"/>
        </w:rPr>
        <w:t>On August 30, 2023 Eldad Maniv, President and Chief Operating Officer, adopted a 10b5-1 trading plan providing for the potential sale of up to 1,668,613 Ordinary shares of the Company. The duration of the plan is until the earlier of March 7, 2024 or the completion of all transactions subject to the plan. </w:t>
      </w:r>
    </w:p>
    <w:p>
      <w:pPr>
        <w:pStyle w:val="TextBody"/>
        <w:bidi w:val="0"/>
        <w:spacing w:before="0" w:after="160"/>
        <w:jc w:val="both"/>
        <w:rPr>
          <w:rFonts w:ascii="Times New Roman" w:hAnsi="Times New Roman"/>
          <w:color w:val="000000"/>
          <w:sz w:val="20"/>
          <w:shd w:fill="FFFFFF" w:val="clear"/>
        </w:rPr>
      </w:pPr>
      <w:r>
        <w:rPr>
          <w:rFonts w:ascii="Times New Roman" w:hAnsi="Times New Roman"/>
          <w:color w:val="000000"/>
          <w:sz w:val="20"/>
          <w:shd w:fill="FFFFFF" w:val="clear"/>
        </w:rPr>
        <w:t>On August 30, 2023, Lior Golan, Chief Technology Officer, adopted a 10b5-1 sales plan providing for the potential exercise of vested stock options and the associated sale of up to 1,228,706 Ordinary shares of the Company. The duration of the plan is until the earlier of April 30, 2024 or the completion of all transactions subject to the plan.</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52</w:t>
      </w:r>
    </w:p>
    <w:p>
      <w:pPr>
        <w:pStyle w:val="HorizontalLine"/>
        <w:bidi w:val="0"/>
        <w:spacing w:before="200" w:after="200"/>
        <w:jc w:val="left"/>
        <w:rPr/>
      </w:pPr>
      <w:r>
        <w:rPr/>
      </w:r>
    </w:p>
    <w:p>
      <w:pPr>
        <w:pStyle w:val="TextBody"/>
        <w:bidi w:val="0"/>
        <w:spacing w:before="200" w:after="200"/>
        <w:jc w:val="left"/>
        <w:rPr/>
      </w:pPr>
      <w:hyperlink w:anchor="Contents">
        <w:r>
          <w:rPr>
            <w:rStyle w:val="InternetLink"/>
            <w:rFonts w:ascii="Times New Roman" w:hAnsi="Times New Roman"/>
            <w:i/>
            <w:color w:val="000000"/>
            <w:sz w:val="16"/>
            <w:shd w:fill="FFFFFF" w:val="clear"/>
          </w:rPr>
          <w:t>Table of Contents</w:t>
        </w:r>
      </w:hyperlink>
    </w:p>
    <w:p>
      <w:pPr>
        <w:pStyle w:val="Normal"/>
        <w:bidi w:val="0"/>
        <w:spacing w:before="0" w:after="0"/>
        <w:jc w:val="left"/>
        <w:rPr>
          <w:sz w:val="4"/>
          <w:szCs w:val="4"/>
        </w:rPr>
      </w:pPr>
      <w:r>
        <w:rPr>
          <w:sz w:val="4"/>
          <w:szCs w:val="4"/>
        </w:rPr>
      </w:r>
      <w:bookmarkStart w:id="30" w:name="Exhibits"/>
      <w:bookmarkStart w:id="31" w:name="Exhibits"/>
      <w:bookmarkEnd w:id="31"/>
    </w:p>
    <w:tbl>
      <w:tblPr>
        <w:tblW w:w="1615" w:type="dxa"/>
        <w:jc w:val="left"/>
        <w:tblInd w:w="0" w:type="dxa"/>
        <w:tblLayout w:type="fixed"/>
        <w:tblCellMar>
          <w:top w:w="0" w:type="dxa"/>
          <w:left w:w="0" w:type="dxa"/>
          <w:bottom w:w="0" w:type="dxa"/>
          <w:right w:w="0" w:type="dxa"/>
        </w:tblCellMar>
      </w:tblPr>
      <w:tblGrid>
        <w:gridCol w:w="740"/>
        <w:gridCol w:w="875"/>
      </w:tblGrid>
      <w:tr>
        <w:trPr/>
        <w:tc>
          <w:tcPr>
            <w:tcW w:w="740" w:type="dxa"/>
            <w:tcBorders/>
            <w:vAlign w:val="center"/>
          </w:tcPr>
          <w:p>
            <w:pPr>
              <w:pStyle w:val="TableContents"/>
              <w:bidi w:val="0"/>
              <w:spacing w:before="0" w:after="283"/>
              <w:jc w:val="left"/>
              <w:rPr>
                <w:b/>
              </w:rPr>
            </w:pPr>
            <w:r>
              <w:rPr>
                <w:b/>
              </w:rPr>
              <w:t>Item 6.</w:t>
            </w:r>
          </w:p>
        </w:tc>
        <w:tc>
          <w:tcPr>
            <w:tcW w:w="875" w:type="dxa"/>
            <w:tcBorders/>
            <w:vAlign w:val="center"/>
          </w:tcPr>
          <w:p>
            <w:pPr>
              <w:pStyle w:val="TableContents"/>
              <w:bidi w:val="0"/>
              <w:spacing w:before="0" w:after="0"/>
              <w:jc w:val="both"/>
              <w:rPr>
                <w:b/>
              </w:rPr>
            </w:pPr>
            <w:r>
              <w:rPr>
                <w:b/>
              </w:rPr>
              <w:t>Exhibits</w:t>
            </w:r>
          </w:p>
        </w:tc>
      </w:tr>
    </w:tbl>
    <w:p>
      <w:pPr>
        <w:pStyle w:val="TextBody"/>
        <w:bidi w:val="0"/>
        <w:spacing w:before="0" w:after="0"/>
        <w:jc w:val="left"/>
        <w:rPr/>
      </w:pPr>
      <w:r>
        <w:rPr/>
      </w:r>
    </w:p>
    <w:tbl>
      <w:tblPr>
        <w:tblW w:w="10205" w:type="dxa"/>
        <w:jc w:val="left"/>
        <w:tblInd w:w="-15" w:type="dxa"/>
        <w:tblLayout w:type="fixed"/>
        <w:tblCellMar>
          <w:top w:w="28" w:type="dxa"/>
          <w:left w:w="28" w:type="dxa"/>
          <w:bottom w:w="28" w:type="dxa"/>
          <w:right w:w="28" w:type="dxa"/>
        </w:tblCellMar>
      </w:tblPr>
      <w:tblGrid>
        <w:gridCol w:w="987"/>
        <w:gridCol w:w="9218"/>
      </w:tblGrid>
      <w:tr>
        <w:trPr/>
        <w:tc>
          <w:tcPr>
            <w:tcW w:w="987"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center"/>
              <w:rPr>
                <w:b/>
              </w:rPr>
            </w:pPr>
            <w:r>
              <w:rPr>
                <w:b/>
              </w:rPr>
              <w:t>Exhibit No.</w:t>
            </w:r>
          </w:p>
        </w:tc>
        <w:tc>
          <w:tcPr>
            <w:tcW w:w="9218"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center"/>
              <w:rPr>
                <w:b/>
              </w:rPr>
            </w:pPr>
            <w:r>
              <w:rPr>
                <w:b/>
              </w:rPr>
              <w:t>Exhibit Description</w:t>
            </w:r>
          </w:p>
        </w:tc>
      </w:tr>
      <w:tr>
        <w:trPr/>
        <w:tc>
          <w:tcPr>
            <w:tcW w:w="987" w:type="dxa"/>
            <w:tcBorders>
              <w:left w:val="single" w:sz="12" w:space="0" w:color="000000"/>
              <w:bottom w:val="single" w:sz="12" w:space="0" w:color="000000"/>
              <w:right w:val="single" w:sz="12" w:space="0" w:color="000000"/>
            </w:tcBorders>
            <w:shd w:fill="CCEEFF" w:val="clear"/>
            <w:tcMar>
              <w:top w:w="0" w:type="dxa"/>
            </w:tcMar>
            <w:vAlign w:val="center"/>
          </w:tcPr>
          <w:p>
            <w:pPr>
              <w:pStyle w:val="TableContents"/>
              <w:bidi w:val="0"/>
              <w:spacing w:before="0" w:after="0"/>
              <w:jc w:val="both"/>
              <w:rPr/>
            </w:pPr>
            <w:hyperlink w:anchor="ef20012468_ex31-1.htm">
              <w:r>
                <w:rPr>
                  <w:rStyle w:val="InternetLink"/>
                </w:rPr>
                <w:t>31.1</w:t>
              </w:r>
            </w:hyperlink>
          </w:p>
        </w:tc>
        <w:tc>
          <w:tcPr>
            <w:tcW w:w="9218" w:type="dxa"/>
            <w:tcBorders>
              <w:left w:val="single" w:sz="12" w:space="0" w:color="000000"/>
              <w:bottom w:val="single" w:sz="12" w:space="0" w:color="000000"/>
              <w:right w:val="single" w:sz="12" w:space="0" w:color="000000"/>
            </w:tcBorders>
            <w:shd w:fill="CCEEFF" w:val="clear"/>
            <w:tcMar>
              <w:top w:w="0" w:type="dxa"/>
            </w:tcMar>
            <w:vAlign w:val="center"/>
          </w:tcPr>
          <w:p>
            <w:pPr>
              <w:pStyle w:val="TableContents"/>
              <w:bidi w:val="0"/>
              <w:spacing w:before="0" w:after="0"/>
              <w:jc w:val="both"/>
              <w:rPr/>
            </w:pPr>
            <w:r>
              <w:rPr/>
              <w:t>Rule 13a-14(a)/15d-14(a) Certification of Chief Executive Officer</w:t>
            </w:r>
          </w:p>
        </w:tc>
      </w:tr>
      <w:tr>
        <w:trPr/>
        <w:tc>
          <w:tcPr>
            <w:tcW w:w="987"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both"/>
              <w:rPr/>
            </w:pPr>
            <w:hyperlink w:anchor="ef20012468_ex31-2.htm">
              <w:r>
                <w:rPr>
                  <w:rStyle w:val="InternetLink"/>
                </w:rPr>
                <w:t>31.2</w:t>
              </w:r>
            </w:hyperlink>
          </w:p>
        </w:tc>
        <w:tc>
          <w:tcPr>
            <w:tcW w:w="9218"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both"/>
              <w:rPr/>
            </w:pPr>
            <w:r>
              <w:rPr/>
              <w:t>Rule 13a-14(a)/15d-14(a) Certification of Chief Financial Officer</w:t>
            </w:r>
          </w:p>
        </w:tc>
      </w:tr>
      <w:tr>
        <w:trPr/>
        <w:tc>
          <w:tcPr>
            <w:tcW w:w="987" w:type="dxa"/>
            <w:tcBorders>
              <w:left w:val="single" w:sz="12" w:space="0" w:color="000000"/>
              <w:bottom w:val="single" w:sz="12" w:space="0" w:color="000000"/>
              <w:right w:val="single" w:sz="12" w:space="0" w:color="000000"/>
            </w:tcBorders>
            <w:shd w:fill="CCEEFF" w:val="clear"/>
            <w:tcMar>
              <w:top w:w="0" w:type="dxa"/>
            </w:tcMar>
            <w:vAlign w:val="center"/>
          </w:tcPr>
          <w:p>
            <w:pPr>
              <w:pStyle w:val="TableContents"/>
              <w:bidi w:val="0"/>
              <w:spacing w:before="0" w:after="0"/>
              <w:jc w:val="both"/>
              <w:rPr/>
            </w:pPr>
            <w:hyperlink w:anchor="ef20012468_ex32.htm">
              <w:r>
                <w:rPr>
                  <w:rStyle w:val="InternetLink"/>
                </w:rPr>
                <w:t>32</w:t>
              </w:r>
            </w:hyperlink>
          </w:p>
        </w:tc>
        <w:tc>
          <w:tcPr>
            <w:tcW w:w="9218" w:type="dxa"/>
            <w:tcBorders>
              <w:left w:val="single" w:sz="12" w:space="0" w:color="000000"/>
              <w:bottom w:val="single" w:sz="12" w:space="0" w:color="000000"/>
              <w:right w:val="single" w:sz="12" w:space="0" w:color="000000"/>
            </w:tcBorders>
            <w:shd w:fill="CCEEFF" w:val="clear"/>
            <w:tcMar>
              <w:top w:w="0" w:type="dxa"/>
            </w:tcMar>
            <w:vAlign w:val="center"/>
          </w:tcPr>
          <w:p>
            <w:pPr>
              <w:pStyle w:val="TableContents"/>
              <w:bidi w:val="0"/>
              <w:spacing w:before="0" w:after="0"/>
              <w:jc w:val="both"/>
              <w:rPr/>
            </w:pPr>
            <w:r>
              <w:rPr/>
              <w:t>Section 1350 Certifications</w:t>
            </w:r>
          </w:p>
        </w:tc>
      </w:tr>
      <w:tr>
        <w:trPr/>
        <w:tc>
          <w:tcPr>
            <w:tcW w:w="987"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both"/>
              <w:rPr/>
            </w:pPr>
            <w:r>
              <w:rPr/>
              <w:t>101.INS</w:t>
            </w:r>
          </w:p>
        </w:tc>
        <w:tc>
          <w:tcPr>
            <w:tcW w:w="9218"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both"/>
              <w:rPr/>
            </w:pPr>
            <w:r>
              <w:rPr/>
              <w:t>Inline XBRL Instance Document (the instance document does not appear in the Interactive Data File because its XBRL tags are embedded within the Inline XBRL document).</w:t>
            </w:r>
          </w:p>
        </w:tc>
      </w:tr>
      <w:tr>
        <w:trPr/>
        <w:tc>
          <w:tcPr>
            <w:tcW w:w="987" w:type="dxa"/>
            <w:tcBorders>
              <w:left w:val="single" w:sz="12" w:space="0" w:color="000000"/>
              <w:bottom w:val="single" w:sz="12" w:space="0" w:color="000000"/>
              <w:right w:val="single" w:sz="12" w:space="0" w:color="000000"/>
            </w:tcBorders>
            <w:shd w:fill="CCEEFF" w:val="clear"/>
            <w:tcMar>
              <w:top w:w="0" w:type="dxa"/>
            </w:tcMar>
            <w:vAlign w:val="center"/>
          </w:tcPr>
          <w:p>
            <w:pPr>
              <w:pStyle w:val="TableContents"/>
              <w:bidi w:val="0"/>
              <w:spacing w:before="0" w:after="0"/>
              <w:jc w:val="both"/>
              <w:rPr/>
            </w:pPr>
            <w:r>
              <w:rPr/>
              <w:t>101.SCH</w:t>
            </w:r>
          </w:p>
        </w:tc>
        <w:tc>
          <w:tcPr>
            <w:tcW w:w="9218" w:type="dxa"/>
            <w:tcBorders>
              <w:left w:val="single" w:sz="12" w:space="0" w:color="000000"/>
              <w:bottom w:val="single" w:sz="12" w:space="0" w:color="000000"/>
              <w:right w:val="single" w:sz="12" w:space="0" w:color="000000"/>
            </w:tcBorders>
            <w:shd w:fill="CCEEFF" w:val="clear"/>
            <w:tcMar>
              <w:top w:w="0" w:type="dxa"/>
            </w:tcMar>
            <w:vAlign w:val="center"/>
          </w:tcPr>
          <w:p>
            <w:pPr>
              <w:pStyle w:val="TableContents"/>
              <w:bidi w:val="0"/>
              <w:spacing w:before="0" w:after="0"/>
              <w:jc w:val="both"/>
              <w:rPr/>
            </w:pPr>
            <w:r>
              <w:rPr/>
              <w:t>Inline XBRL Taxonomy Extension Schema Document.</w:t>
            </w:r>
          </w:p>
        </w:tc>
      </w:tr>
      <w:tr>
        <w:trPr/>
        <w:tc>
          <w:tcPr>
            <w:tcW w:w="987"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both"/>
              <w:rPr/>
            </w:pPr>
            <w:r>
              <w:rPr/>
              <w:t>101.CAL</w:t>
            </w:r>
          </w:p>
        </w:tc>
        <w:tc>
          <w:tcPr>
            <w:tcW w:w="9218"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both"/>
              <w:rPr/>
            </w:pPr>
            <w:r>
              <w:rPr/>
              <w:t>Inline XBRL Taxonomy Extension Calculation Linkbase Document.</w:t>
            </w:r>
          </w:p>
        </w:tc>
      </w:tr>
      <w:tr>
        <w:trPr/>
        <w:tc>
          <w:tcPr>
            <w:tcW w:w="987" w:type="dxa"/>
            <w:tcBorders>
              <w:left w:val="single" w:sz="12" w:space="0" w:color="000000"/>
              <w:bottom w:val="single" w:sz="12" w:space="0" w:color="000000"/>
              <w:right w:val="single" w:sz="12" w:space="0" w:color="000000"/>
            </w:tcBorders>
            <w:shd w:fill="CCEEFF" w:val="clear"/>
            <w:tcMar>
              <w:top w:w="0" w:type="dxa"/>
            </w:tcMar>
            <w:vAlign w:val="center"/>
          </w:tcPr>
          <w:p>
            <w:pPr>
              <w:pStyle w:val="TableContents"/>
              <w:bidi w:val="0"/>
              <w:spacing w:before="0" w:after="0"/>
              <w:jc w:val="both"/>
              <w:rPr/>
            </w:pPr>
            <w:r>
              <w:rPr/>
              <w:t>101.DEF</w:t>
            </w:r>
          </w:p>
        </w:tc>
        <w:tc>
          <w:tcPr>
            <w:tcW w:w="9218" w:type="dxa"/>
            <w:tcBorders>
              <w:left w:val="single" w:sz="12" w:space="0" w:color="000000"/>
              <w:bottom w:val="single" w:sz="12" w:space="0" w:color="000000"/>
              <w:right w:val="single" w:sz="12" w:space="0" w:color="000000"/>
            </w:tcBorders>
            <w:shd w:fill="CCEEFF" w:val="clear"/>
            <w:tcMar>
              <w:top w:w="0" w:type="dxa"/>
            </w:tcMar>
            <w:vAlign w:val="center"/>
          </w:tcPr>
          <w:p>
            <w:pPr>
              <w:pStyle w:val="TableContents"/>
              <w:bidi w:val="0"/>
              <w:spacing w:before="0" w:after="0"/>
              <w:jc w:val="both"/>
              <w:rPr/>
            </w:pPr>
            <w:r>
              <w:rPr/>
              <w:t>Inline XBRL Taxonomy Extension Definition Linkbase Document.</w:t>
            </w:r>
          </w:p>
        </w:tc>
      </w:tr>
      <w:tr>
        <w:trPr/>
        <w:tc>
          <w:tcPr>
            <w:tcW w:w="987"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both"/>
              <w:rPr/>
            </w:pPr>
            <w:r>
              <w:rPr/>
              <w:t>101.LAB</w:t>
            </w:r>
          </w:p>
        </w:tc>
        <w:tc>
          <w:tcPr>
            <w:tcW w:w="9218"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both"/>
              <w:rPr/>
            </w:pPr>
            <w:r>
              <w:rPr/>
              <w:t>Inline XBRL Taxonomy Extension Labels Linkbase Document.</w:t>
            </w:r>
          </w:p>
        </w:tc>
      </w:tr>
      <w:tr>
        <w:trPr/>
        <w:tc>
          <w:tcPr>
            <w:tcW w:w="987" w:type="dxa"/>
            <w:tcBorders>
              <w:left w:val="single" w:sz="12" w:space="0" w:color="000000"/>
              <w:bottom w:val="single" w:sz="12" w:space="0" w:color="000000"/>
              <w:right w:val="single" w:sz="12" w:space="0" w:color="000000"/>
            </w:tcBorders>
            <w:shd w:fill="CCEEFF" w:val="clear"/>
            <w:tcMar>
              <w:top w:w="0" w:type="dxa"/>
            </w:tcMar>
            <w:vAlign w:val="center"/>
          </w:tcPr>
          <w:p>
            <w:pPr>
              <w:pStyle w:val="TableContents"/>
              <w:bidi w:val="0"/>
              <w:spacing w:before="0" w:after="0"/>
              <w:jc w:val="both"/>
              <w:rPr/>
            </w:pPr>
            <w:r>
              <w:rPr/>
              <w:t>101.PRE</w:t>
            </w:r>
          </w:p>
        </w:tc>
        <w:tc>
          <w:tcPr>
            <w:tcW w:w="9218" w:type="dxa"/>
            <w:tcBorders>
              <w:left w:val="single" w:sz="12" w:space="0" w:color="000000"/>
              <w:bottom w:val="single" w:sz="12" w:space="0" w:color="000000"/>
              <w:right w:val="single" w:sz="12" w:space="0" w:color="000000"/>
            </w:tcBorders>
            <w:shd w:fill="CCEEFF" w:val="clear"/>
            <w:tcMar>
              <w:top w:w="0" w:type="dxa"/>
            </w:tcMar>
            <w:vAlign w:val="center"/>
          </w:tcPr>
          <w:p>
            <w:pPr>
              <w:pStyle w:val="TableContents"/>
              <w:bidi w:val="0"/>
              <w:spacing w:before="0" w:after="0"/>
              <w:jc w:val="both"/>
              <w:rPr/>
            </w:pPr>
            <w:r>
              <w:rPr/>
              <w:t>Inline XBRL Taxonomy Extension Presentation Linkbase Document.</w:t>
            </w:r>
          </w:p>
        </w:tc>
      </w:tr>
      <w:tr>
        <w:trPr/>
        <w:tc>
          <w:tcPr>
            <w:tcW w:w="987"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both"/>
              <w:rPr/>
            </w:pPr>
            <w:r>
              <w:rPr/>
              <w:t>104</w:t>
            </w:r>
          </w:p>
        </w:tc>
        <w:tc>
          <w:tcPr>
            <w:tcW w:w="9218"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both"/>
              <w:rPr/>
            </w:pPr>
            <w:r>
              <w:rPr/>
              <w:t>Cover Page Interactive Data File (formatted as inline XBRL and contained in Exhibit 101).</w:t>
            </w:r>
          </w:p>
        </w:tc>
      </w:tr>
    </w:tbl>
    <w:p>
      <w:pPr>
        <w:pStyle w:val="TextBody"/>
        <w:bidi w:val="0"/>
        <w:spacing w:before="0" w:after="0"/>
        <w:jc w:val="left"/>
        <w:rPr/>
      </w:pPr>
      <w:r>
        <w:rPr/>
      </w:r>
    </w:p>
    <w:p>
      <w:pPr>
        <w:pStyle w:val="TextBody"/>
        <w:bidi w:val="0"/>
        <w:spacing w:before="0" w:after="0"/>
        <w:jc w:val="center"/>
        <w:rPr>
          <w:rFonts w:ascii="Times New Roman" w:hAnsi="Times New Roman"/>
          <w:b/>
          <w:color w:val="000000"/>
          <w:sz w:val="20"/>
          <w:shd w:fill="FFFFFF" w:val="clear"/>
        </w:rPr>
      </w:pPr>
      <w:bookmarkStart w:id="32" w:name="SIGNATURE"/>
      <w:bookmarkEnd w:id="32"/>
      <w:r>
        <w:rPr>
          <w:rFonts w:ascii="Times New Roman" w:hAnsi="Times New Roman"/>
          <w:b/>
          <w:color w:val="000000"/>
          <w:sz w:val="20"/>
          <w:shd w:fill="FFFFFF" w:val="clear"/>
        </w:rPr>
        <w:t>SIGNATURE</w:t>
      </w:r>
    </w:p>
    <w:p>
      <w:pPr>
        <w:pStyle w:val="TextBody"/>
        <w:bidi w:val="0"/>
        <w:spacing w:before="0" w:after="0"/>
        <w:jc w:val="left"/>
        <w:rPr/>
      </w:pPr>
      <w:r>
        <w:rPr/>
      </w:r>
    </w:p>
    <w:p>
      <w:pPr>
        <w:pStyle w:val="TextBody"/>
        <w:bidi w:val="0"/>
        <w:spacing w:before="0" w:after="0"/>
        <w:ind w:left="0" w:right="0" w:firstLine="540"/>
        <w:jc w:val="both"/>
        <w:rPr>
          <w:rFonts w:ascii="Times New Roman" w:hAnsi="Times New Roman"/>
          <w:color w:val="000000"/>
          <w:sz w:val="20"/>
          <w:shd w:fill="FFFFFF" w:val="clear"/>
        </w:rPr>
      </w:pPr>
      <w:r>
        <w:rPr>
          <w:rFonts w:ascii="Times New Roman" w:hAnsi="Times New Roman"/>
          <w:color w:val="000000"/>
          <w:sz w:val="20"/>
          <w:shd w:fill="FFFFFF" w:val="clear"/>
        </w:rPr>
        <w:t>Pursuant to the requirements of the Securities Exchange Act of 1934, the Registrant has duly caused this Quarterly Report on Form 10-Q to be signed on its behalf by the undersigned, thereunto duly authorized, in New York, New York, on this 8th day of November 2023.</w:t>
      </w:r>
    </w:p>
    <w:p>
      <w:pPr>
        <w:pStyle w:val="TextBody"/>
        <w:bidi w:val="0"/>
        <w:spacing w:before="0" w:after="0"/>
        <w:jc w:val="left"/>
        <w:rPr/>
      </w:pPr>
      <w:r>
        <w:rPr/>
      </w:r>
    </w:p>
    <w:tbl>
      <w:tblPr>
        <w:tblW w:w="2825" w:type="dxa"/>
        <w:jc w:val="left"/>
        <w:tblInd w:w="0" w:type="dxa"/>
        <w:tblLayout w:type="fixed"/>
        <w:tblCellMar>
          <w:top w:w="0" w:type="dxa"/>
          <w:left w:w="0" w:type="dxa"/>
          <w:bottom w:w="0" w:type="dxa"/>
          <w:right w:w="0" w:type="dxa"/>
        </w:tblCellMar>
      </w:tblPr>
      <w:tblGrid>
        <w:gridCol w:w="60"/>
        <w:gridCol w:w="2765"/>
      </w:tblGrid>
      <w:tr>
        <w:trPr/>
        <w:tc>
          <w:tcPr>
            <w:tcW w:w="60" w:type="dxa"/>
            <w:tcBorders/>
            <w:vAlign w:val="center"/>
          </w:tcPr>
          <w:p>
            <w:pPr>
              <w:pStyle w:val="TableContents"/>
              <w:bidi w:val="0"/>
              <w:spacing w:before="0" w:after="283"/>
              <w:jc w:val="left"/>
              <w:rPr/>
            </w:pPr>
            <w:r>
              <w:rPr/>
              <w:t> </w:t>
            </w:r>
          </w:p>
        </w:tc>
        <w:tc>
          <w:tcPr>
            <w:tcW w:w="2765" w:type="dxa"/>
            <w:tcBorders/>
            <w:vAlign w:val="center"/>
          </w:tcPr>
          <w:p>
            <w:pPr>
              <w:pStyle w:val="TableContents"/>
              <w:bidi w:val="0"/>
              <w:spacing w:before="0" w:after="0"/>
              <w:jc w:val="left"/>
              <w:rPr>
                <w:color w:val="000000"/>
              </w:rPr>
            </w:pPr>
            <w:r>
              <w:rPr>
                <w:color w:val="000000"/>
              </w:rPr>
              <w:t xml:space="preserve">By: </w:t>
            </w:r>
            <w:r>
              <w:rPr>
                <w:color w:val="000000"/>
                <w:u w:val="single"/>
              </w:rPr>
              <w:t>/s/ Stephen C. Walker</w:t>
            </w:r>
          </w:p>
        </w:tc>
      </w:tr>
      <w:tr>
        <w:trPr/>
        <w:tc>
          <w:tcPr>
            <w:tcW w:w="60" w:type="dxa"/>
            <w:tcBorders/>
            <w:vAlign w:val="center"/>
          </w:tcPr>
          <w:p>
            <w:pPr>
              <w:pStyle w:val="TableContents"/>
              <w:bidi w:val="0"/>
              <w:spacing w:before="0" w:after="283"/>
              <w:jc w:val="left"/>
              <w:rPr/>
            </w:pPr>
            <w:r>
              <w:rPr/>
              <w:t> </w:t>
            </w:r>
          </w:p>
        </w:tc>
        <w:tc>
          <w:tcPr>
            <w:tcW w:w="2765" w:type="dxa"/>
            <w:tcBorders/>
            <w:vAlign w:val="center"/>
          </w:tcPr>
          <w:p>
            <w:pPr>
              <w:pStyle w:val="TableContents"/>
              <w:bidi w:val="0"/>
              <w:spacing w:before="0" w:after="0"/>
              <w:jc w:val="left"/>
              <w:rPr>
                <w:color w:val="000000"/>
              </w:rPr>
            </w:pPr>
            <w:r>
              <w:rPr>
                <w:color w:val="000000"/>
              </w:rPr>
              <w:t>Name: Stephen C. Walker</w:t>
            </w:r>
          </w:p>
        </w:tc>
      </w:tr>
      <w:tr>
        <w:trPr/>
        <w:tc>
          <w:tcPr>
            <w:tcW w:w="60" w:type="dxa"/>
            <w:tcBorders/>
            <w:vAlign w:val="center"/>
          </w:tcPr>
          <w:p>
            <w:pPr>
              <w:pStyle w:val="TableContents"/>
              <w:bidi w:val="0"/>
              <w:spacing w:before="0" w:after="283"/>
              <w:jc w:val="left"/>
              <w:rPr/>
            </w:pPr>
            <w:r>
              <w:rPr/>
              <w:t> </w:t>
            </w:r>
          </w:p>
        </w:tc>
        <w:tc>
          <w:tcPr>
            <w:tcW w:w="2765" w:type="dxa"/>
            <w:tcBorders/>
            <w:vAlign w:val="center"/>
          </w:tcPr>
          <w:p>
            <w:pPr>
              <w:pStyle w:val="TableContents"/>
              <w:bidi w:val="0"/>
              <w:spacing w:before="0" w:after="0"/>
              <w:jc w:val="left"/>
              <w:rPr>
                <w:color w:val="000000"/>
              </w:rPr>
            </w:pPr>
            <w:r>
              <w:rPr>
                <w:color w:val="000000"/>
              </w:rPr>
              <w:t>Title: Chief Financial Officer</w:t>
            </w:r>
          </w:p>
        </w:tc>
      </w:tr>
    </w:tbl>
    <w:p>
      <w:pPr>
        <w:pStyle w:val="TextBody"/>
        <w:bidi w:val="0"/>
        <w:spacing w:before="0" w:after="0"/>
        <w:jc w:val="left"/>
        <w:rPr/>
      </w:pPr>
      <w:r>
        <w:rPr/>
      </w:r>
    </w:p>
    <w:p>
      <w:pPr>
        <w:pStyle w:val="TextBody"/>
        <w:bidi w:val="0"/>
        <w:spacing w:before="0" w:after="0"/>
        <w:jc w:val="left"/>
        <w:rPr/>
      </w:pPr>
      <w:r>
        <w:rPr/>
      </w:r>
    </w:p>
    <w:p>
      <w:pPr>
        <w:pStyle w:val="HorizontalLine"/>
        <w:bidi w:val="0"/>
        <w:jc w:val="left"/>
        <w:rPr/>
      </w:pPr>
      <w:r>
        <w:rPr/>
      </w:r>
    </w:p>
    <w:p>
      <w:pPr>
        <w:pStyle w:val="HorizontalLine"/>
        <w:pBdr>
          <w:bottom w:val="single" w:sz="12" w:space="0" w:color="808080"/>
        </w:pBdr>
        <w:bidi w:val="0"/>
        <w:jc w:val="left"/>
        <w:rPr/>
      </w:pPr>
      <w:r>
        <w:rPr/>
      </w:r>
      <w:bookmarkStart w:id="33" w:name="ef20012468_ex31-1.htm"/>
      <w:bookmarkStart w:id="34" w:name="ksef20012468_ex311"/>
      <w:bookmarkStart w:id="35" w:name="ef20012468_ex31-1.htm"/>
      <w:bookmarkStart w:id="36" w:name="ksef20012468_ex311"/>
      <w:bookmarkEnd w:id="35"/>
      <w:bookmarkEnd w:id="36"/>
      <w:r>
        <w:br w:type="page"/>
      </w:r>
    </w:p>
    <w:p>
      <w:pPr>
        <w:pStyle w:val="TextBody"/>
        <w:bidi w:val="0"/>
        <w:spacing w:before="0" w:after="0"/>
        <w:jc w:val="right"/>
        <w:rPr>
          <w:rFonts w:ascii="Times New Roman" w:hAnsi="Times New Roman"/>
          <w:b/>
          <w:color w:val="000000"/>
          <w:sz w:val="20"/>
        </w:rPr>
      </w:pPr>
      <w:r>
        <w:rPr>
          <w:rFonts w:ascii="Times New Roman" w:hAnsi="Times New Roman"/>
          <w:b/>
          <w:color w:val="000000"/>
          <w:sz w:val="20"/>
        </w:rPr>
        <w:t>Exhibit 31.1</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 Adam Singolda, certify that:</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1.  I have reviewed this Quarterly Report on Form 10-Q of Taboola.com Ltd.;</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left"/>
        <w:rPr>
          <w:color w:val="000000"/>
        </w:rPr>
      </w:pPr>
      <w:r>
        <w:rPr>
          <w:color w:val="000000"/>
        </w:rPr>
        <w:t> </w:t>
      </w:r>
    </w:p>
    <w:p>
      <w:pPr>
        <w:pStyle w:val="TextBody"/>
        <w:bidi w:val="0"/>
        <w:spacing w:before="0" w:after="0"/>
        <w:ind w:left="720" w:right="0" w:hanging="0"/>
        <w:jc w:val="both"/>
        <w:rPr>
          <w:rFonts w:ascii="Times New Roman" w:hAnsi="Times New Roman"/>
          <w:color w:val="000000"/>
          <w:sz w:val="20"/>
        </w:rPr>
      </w:pPr>
      <w:r>
        <w:rPr>
          <w:rFonts w:ascii="Times New Roman" w:hAnsi="Times New Roman"/>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ind w:left="720" w:right="0" w:hanging="0"/>
        <w:jc w:val="left"/>
        <w:rPr>
          <w:color w:val="000000"/>
        </w:rPr>
      </w:pPr>
      <w:r>
        <w:rPr>
          <w:color w:val="000000"/>
        </w:rPr>
        <w:t> </w:t>
      </w:r>
    </w:p>
    <w:p>
      <w:pPr>
        <w:pStyle w:val="TextBody"/>
        <w:bidi w:val="0"/>
        <w:spacing w:before="0" w:after="0"/>
        <w:ind w:left="720" w:right="0" w:hanging="0"/>
        <w:jc w:val="both"/>
        <w:rPr>
          <w:rFonts w:ascii="Times New Roman" w:hAnsi="Times New Roman"/>
          <w:color w:val="000000"/>
          <w:sz w:val="20"/>
        </w:rPr>
      </w:pPr>
      <w:r>
        <w:rPr>
          <w:rFonts w:ascii="Times New Roman" w:hAnsi="Times New Roman"/>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720" w:right="0" w:hanging="0"/>
        <w:jc w:val="left"/>
        <w:rPr>
          <w:color w:val="000000"/>
        </w:rPr>
      </w:pPr>
      <w:r>
        <w:rPr>
          <w:color w:val="000000"/>
        </w:rPr>
        <w:t> </w:t>
      </w:r>
    </w:p>
    <w:p>
      <w:pPr>
        <w:pStyle w:val="TextBody"/>
        <w:bidi w:val="0"/>
        <w:spacing w:before="0" w:after="0"/>
        <w:ind w:left="720" w:right="0" w:hanging="0"/>
        <w:jc w:val="both"/>
        <w:rPr>
          <w:rFonts w:ascii="Times New Roman" w:hAnsi="Times New Roman"/>
          <w:color w:val="000000"/>
          <w:sz w:val="20"/>
        </w:rPr>
      </w:pPr>
      <w:r>
        <w:rPr>
          <w:rFonts w:ascii="Times New Roman" w:hAnsi="Times New Roman"/>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ind w:left="720" w:right="0" w:hanging="0"/>
        <w:jc w:val="left"/>
        <w:rPr>
          <w:color w:val="000000"/>
        </w:rPr>
      </w:pPr>
      <w:r>
        <w:rPr>
          <w:color w:val="000000"/>
        </w:rPr>
        <w:t> </w:t>
      </w:r>
    </w:p>
    <w:p>
      <w:pPr>
        <w:pStyle w:val="TextBody"/>
        <w:bidi w:val="0"/>
        <w:spacing w:before="0" w:after="0"/>
        <w:ind w:left="720" w:right="0" w:hanging="0"/>
        <w:jc w:val="both"/>
        <w:rPr>
          <w:rFonts w:ascii="Times New Roman" w:hAnsi="Times New Roman"/>
          <w:color w:val="000000"/>
          <w:sz w:val="20"/>
        </w:rPr>
      </w:pPr>
      <w:r>
        <w:rPr>
          <w:rFonts w:ascii="Times New Roman" w:hAnsi="Times New Roman"/>
          <w:color w:val="000000"/>
          <w:sz w:val="20"/>
        </w:rPr>
        <w:t>(d)  Disclosed in this report any change in the registrant’s internal control over financial reporting that occurred during the registrant’s fourth fiscal quarter that has materially affected, or is reasonably likely to materially affect, the registrant’s internal control over financial reporting; and</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left"/>
        <w:rPr>
          <w:color w:val="000000"/>
        </w:rPr>
      </w:pPr>
      <w:r>
        <w:rPr>
          <w:color w:val="000000"/>
        </w:rPr>
        <w:t> </w:t>
      </w:r>
    </w:p>
    <w:p>
      <w:pPr>
        <w:pStyle w:val="TextBody"/>
        <w:bidi w:val="0"/>
        <w:spacing w:before="0" w:after="0"/>
        <w:ind w:left="720" w:right="0" w:hanging="0"/>
        <w:jc w:val="both"/>
        <w:rPr>
          <w:rFonts w:ascii="Times New Roman" w:hAnsi="Times New Roman"/>
          <w:color w:val="000000"/>
          <w:sz w:val="20"/>
        </w:rPr>
      </w:pPr>
      <w:r>
        <w:rPr>
          <w:rFonts w:ascii="Times New Roman" w:hAnsi="Times New Roman"/>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720" w:right="0" w:hanging="0"/>
        <w:jc w:val="left"/>
        <w:rPr>
          <w:color w:val="000000"/>
        </w:rPr>
      </w:pPr>
      <w:r>
        <w:rPr>
          <w:color w:val="000000"/>
        </w:rPr>
        <w:t> </w:t>
      </w:r>
    </w:p>
    <w:p>
      <w:pPr>
        <w:pStyle w:val="TextBody"/>
        <w:bidi w:val="0"/>
        <w:spacing w:before="0" w:after="0"/>
        <w:ind w:left="720" w:right="0" w:hanging="0"/>
        <w:jc w:val="both"/>
        <w:rPr>
          <w:rFonts w:ascii="Times New Roman" w:hAnsi="Times New Roman"/>
          <w:color w:val="000000"/>
          <w:sz w:val="20"/>
        </w:rPr>
      </w:pPr>
      <w:r>
        <w:rPr>
          <w:rFonts w:ascii="Times New Roman" w:hAnsi="Times New Roman"/>
          <w:color w:val="000000"/>
          <w:sz w:val="20"/>
        </w:rPr>
        <w:t>(b)  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37" w:name="zd35d5a22c4714d0a8426004f69e82e4e"/>
      <w:bookmarkStart w:id="38" w:name="zd35d5a22c4714d0a8426004f69e82e4e"/>
      <w:bookmarkEnd w:id="38"/>
    </w:p>
    <w:tbl>
      <w:tblPr>
        <w:tblW w:w="4785" w:type="dxa"/>
        <w:jc w:val="left"/>
        <w:tblInd w:w="0" w:type="dxa"/>
        <w:tblLayout w:type="fixed"/>
        <w:tblCellMar>
          <w:top w:w="0" w:type="dxa"/>
          <w:left w:w="0" w:type="dxa"/>
          <w:bottom w:w="0" w:type="dxa"/>
          <w:right w:w="0" w:type="dxa"/>
        </w:tblCellMar>
      </w:tblPr>
      <w:tblGrid>
        <w:gridCol w:w="2000"/>
        <w:gridCol w:w="410"/>
        <w:gridCol w:w="2375"/>
      </w:tblGrid>
      <w:tr>
        <w:trPr/>
        <w:tc>
          <w:tcPr>
            <w:tcW w:w="2000" w:type="dxa"/>
            <w:tcBorders/>
            <w:vAlign w:val="center"/>
          </w:tcPr>
          <w:p>
            <w:pPr>
              <w:pStyle w:val="TableContents"/>
              <w:bidi w:val="0"/>
              <w:spacing w:before="0" w:after="0"/>
              <w:jc w:val="left"/>
              <w:rPr>
                <w:rFonts w:ascii="Times New Roman" w:hAnsi="Times New Roman"/>
                <w:sz w:val="20"/>
              </w:rPr>
            </w:pPr>
            <w:r>
              <w:rPr>
                <w:rFonts w:ascii="Times New Roman" w:hAnsi="Times New Roman"/>
                <w:color w:val="000000"/>
                <w:sz w:val="20"/>
              </w:rPr>
              <w:t xml:space="preserve">Date: </w:t>
            </w:r>
            <w:r>
              <w:rPr>
                <w:rFonts w:ascii="Times New Roman" w:hAnsi="Times New Roman"/>
                <w:sz w:val="20"/>
              </w:rPr>
              <w:t>November 8</w:t>
            </w:r>
            <w:r>
              <w:rPr>
                <w:rFonts w:ascii="Times New Roman" w:hAnsi="Times New Roman"/>
                <w:color w:val="000000"/>
                <w:sz w:val="20"/>
              </w:rPr>
              <w:t>, 2023</w:t>
            </w:r>
          </w:p>
        </w:tc>
        <w:tc>
          <w:tcPr>
            <w:tcW w:w="410"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 xml:space="preserve">By:  </w:t>
            </w:r>
          </w:p>
        </w:tc>
        <w:tc>
          <w:tcPr>
            <w:tcW w:w="2375" w:type="dxa"/>
            <w:tcBorders/>
            <w:vAlign w:val="center"/>
          </w:tcPr>
          <w:p>
            <w:pPr>
              <w:pStyle w:val="TableContents"/>
              <w:bidi w:val="0"/>
              <w:spacing w:before="0" w:after="0"/>
              <w:jc w:val="left"/>
              <w:rPr>
                <w:rFonts w:ascii="Times New Roman" w:hAnsi="Times New Roman"/>
                <w:color w:val="000000"/>
                <w:sz w:val="20"/>
                <w:u w:val="single"/>
              </w:rPr>
            </w:pPr>
            <w:r>
              <w:rPr>
                <w:rFonts w:ascii="Times New Roman" w:hAnsi="Times New Roman"/>
                <w:color w:val="000000"/>
                <w:sz w:val="20"/>
                <w:u w:val="single"/>
              </w:rPr>
              <w:t>/s/ Adam Singolda</w:t>
            </w:r>
          </w:p>
        </w:tc>
      </w:tr>
      <w:tr>
        <w:trPr/>
        <w:tc>
          <w:tcPr>
            <w:tcW w:w="2000"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left"/>
              <w:rPr/>
            </w:pPr>
            <w:r>
              <w:rPr/>
              <w:t> </w:t>
            </w:r>
          </w:p>
        </w:tc>
        <w:tc>
          <w:tcPr>
            <w:tcW w:w="237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Adam Singolda</w:t>
            </w:r>
          </w:p>
        </w:tc>
      </w:tr>
      <w:tr>
        <w:trPr/>
        <w:tc>
          <w:tcPr>
            <w:tcW w:w="2000"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left"/>
              <w:rPr/>
            </w:pPr>
            <w:r>
              <w:rPr/>
              <w:t> </w:t>
            </w:r>
          </w:p>
        </w:tc>
        <w:tc>
          <w:tcPr>
            <w:tcW w:w="23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Chief Executive Officer</w:t>
            </w:r>
          </w:p>
        </w:tc>
      </w:tr>
      <w:tr>
        <w:trPr/>
        <w:tc>
          <w:tcPr>
            <w:tcW w:w="2000"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left"/>
              <w:rPr/>
            </w:pPr>
            <w:r>
              <w:rPr/>
              <w:t> </w:t>
            </w:r>
          </w:p>
        </w:tc>
        <w:tc>
          <w:tcPr>
            <w:tcW w:w="23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t>
            </w:r>
            <w:r>
              <w:rPr>
                <w:rFonts w:ascii="Times New Roman" w:hAnsi="Times New Roman"/>
                <w:i/>
                <w:sz w:val="20"/>
              </w:rPr>
              <w:t>Principal Executive Officer</w:t>
            </w:r>
            <w:r>
              <w:rPr>
                <w:rFonts w:ascii="Times New Roman" w:hAnsi="Times New Roman"/>
                <w:sz w:val="20"/>
              </w:rPr>
              <w:t>)</w:t>
            </w:r>
          </w:p>
        </w:tc>
      </w:tr>
    </w:tbl>
    <w:p>
      <w:pPr>
        <w:pStyle w:val="TextBody"/>
        <w:bidi w:val="0"/>
        <w:spacing w:before="0" w:after="0"/>
        <w:jc w:val="left"/>
        <w:rPr>
          <w:color w:val="000000"/>
        </w:rPr>
      </w:pPr>
      <w:r>
        <w:rPr>
          <w:color w:val="000000"/>
        </w:rPr>
        <w:t> </w:t>
      </w:r>
    </w:p>
    <w:p>
      <w:pPr>
        <w:pStyle w:val="TextBody"/>
        <w:bidi w:val="0"/>
        <w:spacing w:before="0" w:after="0"/>
        <w:jc w:val="left"/>
        <w:rPr/>
      </w:pPr>
      <w:r>
        <w:rPr/>
      </w:r>
    </w:p>
    <w:p>
      <w:pPr>
        <w:pStyle w:val="HorizontalLine"/>
        <w:pBdr>
          <w:bottom w:val="single" w:sz="12" w:space="0" w:color="808080"/>
        </w:pBdr>
        <w:bidi w:val="0"/>
        <w:jc w:val="left"/>
        <w:rPr/>
      </w:pPr>
      <w:r>
        <w:rPr/>
      </w:r>
    </w:p>
    <w:p>
      <w:pPr>
        <w:pStyle w:val="HorizontalLine"/>
        <w:pBdr>
          <w:bottom w:val="single" w:sz="12" w:space="0" w:color="808080"/>
        </w:pBdr>
        <w:bidi w:val="0"/>
        <w:jc w:val="left"/>
        <w:rPr/>
      </w:pPr>
      <w:r>
        <w:rPr/>
      </w:r>
      <w:bookmarkStart w:id="39" w:name="ef20012468_ex31-2.htm"/>
      <w:bookmarkStart w:id="40" w:name="ksef20012468_ex312"/>
      <w:bookmarkStart w:id="41" w:name="ef20012468_ex31-2.htm"/>
      <w:bookmarkStart w:id="42" w:name="ksef20012468_ex312"/>
      <w:bookmarkEnd w:id="41"/>
      <w:bookmarkEnd w:id="42"/>
      <w:r>
        <w:br w:type="page"/>
      </w:r>
    </w:p>
    <w:p>
      <w:pPr>
        <w:pStyle w:val="TextBody"/>
        <w:bidi w:val="0"/>
        <w:spacing w:before="0" w:after="0"/>
        <w:jc w:val="right"/>
        <w:rPr>
          <w:rFonts w:ascii="Times New Roman" w:hAnsi="Times New Roman"/>
          <w:b/>
          <w:color w:val="000000"/>
          <w:sz w:val="20"/>
        </w:rPr>
      </w:pPr>
      <w:r>
        <w:rPr>
          <w:rFonts w:ascii="Times New Roman" w:hAnsi="Times New Roman"/>
          <w:b/>
          <w:color w:val="000000"/>
          <w:sz w:val="20"/>
        </w:rPr>
        <w:t>Exhibit 31.2</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 Stephen Walker, certify that:</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1.  I have reviewed this Quarterly Report on Form 10-Q of Taboola.com Ltd.;</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left"/>
        <w:rPr>
          <w:color w:val="000000"/>
        </w:rPr>
      </w:pPr>
      <w:r>
        <w:rPr>
          <w:color w:val="000000"/>
        </w:rPr>
        <w:t> </w:t>
      </w:r>
    </w:p>
    <w:p>
      <w:pPr>
        <w:pStyle w:val="TextBody"/>
        <w:bidi w:val="0"/>
        <w:spacing w:before="0" w:after="0"/>
        <w:ind w:left="720" w:right="0" w:hanging="0"/>
        <w:jc w:val="both"/>
        <w:rPr>
          <w:rFonts w:ascii="Times New Roman" w:hAnsi="Times New Roman"/>
          <w:color w:val="000000"/>
          <w:sz w:val="20"/>
        </w:rPr>
      </w:pPr>
      <w:r>
        <w:rPr>
          <w:rFonts w:ascii="Times New Roman" w:hAnsi="Times New Roman"/>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ind w:left="720" w:right="0" w:hanging="0"/>
        <w:jc w:val="left"/>
        <w:rPr>
          <w:color w:val="000000"/>
        </w:rPr>
      </w:pPr>
      <w:r>
        <w:rPr>
          <w:color w:val="000000"/>
        </w:rPr>
        <w:t> </w:t>
      </w:r>
    </w:p>
    <w:p>
      <w:pPr>
        <w:pStyle w:val="TextBody"/>
        <w:bidi w:val="0"/>
        <w:spacing w:before="0" w:after="0"/>
        <w:ind w:left="720" w:right="0" w:hanging="0"/>
        <w:jc w:val="both"/>
        <w:rPr>
          <w:rFonts w:ascii="Times New Roman" w:hAnsi="Times New Roman"/>
          <w:color w:val="000000"/>
          <w:sz w:val="20"/>
        </w:rPr>
      </w:pPr>
      <w:r>
        <w:rPr>
          <w:rFonts w:ascii="Times New Roman" w:hAnsi="Times New Roman"/>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720" w:right="0" w:hanging="0"/>
        <w:jc w:val="left"/>
        <w:rPr>
          <w:color w:val="000000"/>
        </w:rPr>
      </w:pPr>
      <w:r>
        <w:rPr>
          <w:color w:val="000000"/>
        </w:rPr>
        <w:t> </w:t>
      </w:r>
    </w:p>
    <w:p>
      <w:pPr>
        <w:pStyle w:val="TextBody"/>
        <w:bidi w:val="0"/>
        <w:spacing w:before="0" w:after="0"/>
        <w:ind w:left="720" w:right="0" w:hanging="0"/>
        <w:jc w:val="both"/>
        <w:rPr>
          <w:rFonts w:ascii="Times New Roman" w:hAnsi="Times New Roman"/>
          <w:color w:val="000000"/>
          <w:sz w:val="20"/>
        </w:rPr>
      </w:pPr>
      <w:r>
        <w:rPr>
          <w:rFonts w:ascii="Times New Roman" w:hAnsi="Times New Roman"/>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ind w:left="720" w:right="0" w:hanging="0"/>
        <w:jc w:val="left"/>
        <w:rPr>
          <w:color w:val="000000"/>
        </w:rPr>
      </w:pPr>
      <w:r>
        <w:rPr>
          <w:color w:val="000000"/>
        </w:rPr>
        <w:t> </w:t>
      </w:r>
    </w:p>
    <w:p>
      <w:pPr>
        <w:pStyle w:val="TextBody"/>
        <w:bidi w:val="0"/>
        <w:spacing w:before="0" w:after="0"/>
        <w:ind w:left="720" w:right="0" w:hanging="0"/>
        <w:jc w:val="both"/>
        <w:rPr>
          <w:rFonts w:ascii="Times New Roman" w:hAnsi="Times New Roman"/>
          <w:color w:val="000000"/>
          <w:sz w:val="20"/>
        </w:rPr>
      </w:pPr>
      <w:r>
        <w:rPr>
          <w:rFonts w:ascii="Times New Roman" w:hAnsi="Times New Roman"/>
          <w:color w:val="000000"/>
          <w:sz w:val="20"/>
        </w:rPr>
        <w:t>(d)  Disclosed in this report any change in the registrant’s internal control over financial reporting that occurred during the registrant’s fourth fiscal quarter that has materially affected, or is reasonably likely to materially affect, the registrant’s internal control over financial reporting; and</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left"/>
        <w:rPr>
          <w:color w:val="000000"/>
        </w:rPr>
      </w:pPr>
      <w:r>
        <w:rPr>
          <w:color w:val="000000"/>
        </w:rPr>
        <w:t> </w:t>
      </w:r>
    </w:p>
    <w:p>
      <w:pPr>
        <w:pStyle w:val="TextBody"/>
        <w:bidi w:val="0"/>
        <w:spacing w:before="0" w:after="0"/>
        <w:ind w:left="720" w:right="0" w:hanging="0"/>
        <w:jc w:val="both"/>
        <w:rPr>
          <w:rFonts w:ascii="Times New Roman" w:hAnsi="Times New Roman"/>
          <w:color w:val="000000"/>
          <w:sz w:val="20"/>
        </w:rPr>
      </w:pPr>
      <w:r>
        <w:rPr>
          <w:rFonts w:ascii="Times New Roman" w:hAnsi="Times New Roman"/>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720" w:right="0" w:hanging="0"/>
        <w:jc w:val="left"/>
        <w:rPr>
          <w:color w:val="000000"/>
        </w:rPr>
      </w:pPr>
      <w:r>
        <w:rPr>
          <w:color w:val="000000"/>
        </w:rPr>
        <w:t> </w:t>
      </w:r>
    </w:p>
    <w:p>
      <w:pPr>
        <w:pStyle w:val="TextBody"/>
        <w:bidi w:val="0"/>
        <w:spacing w:before="0" w:after="0"/>
        <w:ind w:left="720" w:right="0" w:hanging="0"/>
        <w:jc w:val="both"/>
        <w:rPr>
          <w:rFonts w:ascii="Times New Roman" w:hAnsi="Times New Roman"/>
          <w:color w:val="000000"/>
          <w:sz w:val="20"/>
        </w:rPr>
      </w:pPr>
      <w:r>
        <w:rPr>
          <w:rFonts w:ascii="Times New Roman" w:hAnsi="Times New Roman"/>
          <w:color w:val="000000"/>
          <w:sz w:val="20"/>
        </w:rPr>
        <w:t>(b)  Any fraud, whether or not material, that involves management or other employees who have a significant role in the registrant’s internal control over financial reporting.</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43" w:name="z31c2e3965e294d59916b1bc9481ac3de"/>
      <w:bookmarkStart w:id="44" w:name="z31c2e3965e294d59916b1bc9481ac3de"/>
      <w:bookmarkEnd w:id="44"/>
    </w:p>
    <w:tbl>
      <w:tblPr>
        <w:tblW w:w="5272" w:type="dxa"/>
        <w:jc w:val="left"/>
        <w:tblInd w:w="0" w:type="dxa"/>
        <w:tblLayout w:type="fixed"/>
        <w:tblCellMar>
          <w:top w:w="0" w:type="dxa"/>
          <w:left w:w="0" w:type="dxa"/>
          <w:bottom w:w="0" w:type="dxa"/>
          <w:right w:w="0" w:type="dxa"/>
        </w:tblCellMar>
      </w:tblPr>
      <w:tblGrid>
        <w:gridCol w:w="2000"/>
        <w:gridCol w:w="410"/>
        <w:gridCol w:w="2862"/>
      </w:tblGrid>
      <w:tr>
        <w:trPr/>
        <w:tc>
          <w:tcPr>
            <w:tcW w:w="2000" w:type="dxa"/>
            <w:tcBorders/>
            <w:vAlign w:val="center"/>
          </w:tcPr>
          <w:p>
            <w:pPr>
              <w:pStyle w:val="TableContents"/>
              <w:bidi w:val="0"/>
              <w:spacing w:before="0" w:after="0"/>
              <w:jc w:val="left"/>
              <w:rPr>
                <w:rFonts w:ascii="Times New Roman" w:hAnsi="Times New Roman"/>
                <w:sz w:val="20"/>
              </w:rPr>
            </w:pPr>
            <w:r>
              <w:rPr>
                <w:rFonts w:ascii="Times New Roman" w:hAnsi="Times New Roman"/>
                <w:color w:val="000000"/>
                <w:sz w:val="20"/>
              </w:rPr>
              <w:t xml:space="preserve">Date: </w:t>
            </w:r>
            <w:r>
              <w:rPr>
                <w:rFonts w:ascii="Times New Roman" w:hAnsi="Times New Roman"/>
                <w:sz w:val="20"/>
              </w:rPr>
              <w:t>November 8</w:t>
            </w:r>
            <w:r>
              <w:rPr>
                <w:rFonts w:ascii="Times New Roman" w:hAnsi="Times New Roman"/>
                <w:color w:val="000000"/>
                <w:sz w:val="20"/>
              </w:rPr>
              <w:t>, 2023</w:t>
            </w:r>
          </w:p>
        </w:tc>
        <w:tc>
          <w:tcPr>
            <w:tcW w:w="410"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 xml:space="preserve">By:  </w:t>
            </w:r>
          </w:p>
        </w:tc>
        <w:tc>
          <w:tcPr>
            <w:tcW w:w="2862" w:type="dxa"/>
            <w:tcBorders/>
            <w:vAlign w:val="center"/>
          </w:tcPr>
          <w:p>
            <w:pPr>
              <w:pStyle w:val="TableContents"/>
              <w:bidi w:val="0"/>
              <w:spacing w:before="0" w:after="0"/>
              <w:jc w:val="left"/>
              <w:rPr>
                <w:rFonts w:ascii="Times New Roman" w:hAnsi="Times New Roman"/>
                <w:color w:val="000000"/>
                <w:sz w:val="20"/>
                <w:u w:val="single"/>
              </w:rPr>
            </w:pPr>
            <w:r>
              <w:rPr>
                <w:rFonts w:ascii="Times New Roman" w:hAnsi="Times New Roman"/>
                <w:color w:val="000000"/>
                <w:sz w:val="20"/>
                <w:u w:val="single"/>
              </w:rPr>
              <w:t>/s/ Stephen Walker</w:t>
            </w:r>
          </w:p>
        </w:tc>
      </w:tr>
      <w:tr>
        <w:trPr/>
        <w:tc>
          <w:tcPr>
            <w:tcW w:w="2000"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left"/>
              <w:rPr/>
            </w:pPr>
            <w:r>
              <w:rPr/>
              <w:t> </w:t>
            </w:r>
          </w:p>
        </w:tc>
        <w:tc>
          <w:tcPr>
            <w:tcW w:w="2862"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Stephen Walker</w:t>
            </w:r>
          </w:p>
        </w:tc>
      </w:tr>
      <w:tr>
        <w:trPr/>
        <w:tc>
          <w:tcPr>
            <w:tcW w:w="2000"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left"/>
              <w:rPr/>
            </w:pPr>
            <w:r>
              <w:rPr/>
              <w:t> </w:t>
            </w:r>
          </w:p>
        </w:tc>
        <w:tc>
          <w:tcPr>
            <w:tcW w:w="2862" w:type="dxa"/>
            <w:tcBorders/>
            <w:vAlign w:val="center"/>
          </w:tcPr>
          <w:p>
            <w:pPr>
              <w:pStyle w:val="TableContents"/>
              <w:bidi w:val="0"/>
              <w:spacing w:before="0" w:after="0"/>
              <w:ind w:left="0" w:right="472" w:hanging="0"/>
              <w:jc w:val="left"/>
              <w:rPr>
                <w:rFonts w:ascii="Times New Roman" w:hAnsi="Times New Roman"/>
                <w:sz w:val="20"/>
              </w:rPr>
            </w:pPr>
            <w:r>
              <w:rPr>
                <w:rFonts w:ascii="Times New Roman" w:hAnsi="Times New Roman"/>
                <w:sz w:val="20"/>
              </w:rPr>
              <w:t>Chief Financial Officer</w:t>
            </w:r>
          </w:p>
        </w:tc>
      </w:tr>
      <w:tr>
        <w:trPr/>
        <w:tc>
          <w:tcPr>
            <w:tcW w:w="2000"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left"/>
              <w:rPr/>
            </w:pPr>
            <w:r>
              <w:rPr/>
              <w:t> </w:t>
            </w:r>
          </w:p>
        </w:tc>
        <w:tc>
          <w:tcPr>
            <w:tcW w:w="2862" w:type="dxa"/>
            <w:tcBorders/>
            <w:vAlign w:val="center"/>
          </w:tcPr>
          <w:p>
            <w:pPr>
              <w:pStyle w:val="TableContents"/>
              <w:bidi w:val="0"/>
              <w:spacing w:before="0" w:after="0"/>
              <w:ind w:left="0" w:right="472" w:hanging="0"/>
              <w:jc w:val="left"/>
              <w:rPr>
                <w:rFonts w:ascii="Times New Roman" w:hAnsi="Times New Roman"/>
                <w:sz w:val="20"/>
              </w:rPr>
            </w:pPr>
            <w:r>
              <w:rPr>
                <w:rFonts w:ascii="Times New Roman" w:hAnsi="Times New Roman"/>
                <w:sz w:val="20"/>
              </w:rPr>
              <w:t>(</w:t>
            </w:r>
            <w:r>
              <w:rPr>
                <w:rFonts w:ascii="Times New Roman" w:hAnsi="Times New Roman"/>
                <w:i/>
                <w:sz w:val="20"/>
              </w:rPr>
              <w:t>Principal Financial Officer</w:t>
            </w:r>
            <w:r>
              <w:rPr>
                <w:rFonts w:ascii="Times New Roman" w:hAnsi="Times New Roman"/>
                <w:sz w:val="20"/>
              </w:rPr>
              <w:t>)</w:t>
            </w:r>
          </w:p>
        </w:tc>
      </w:tr>
    </w:tbl>
    <w:p>
      <w:pPr>
        <w:pStyle w:val="TextBody"/>
        <w:bidi w:val="0"/>
        <w:spacing w:before="0" w:after="0"/>
        <w:jc w:val="left"/>
        <w:rPr/>
      </w:pPr>
      <w:r>
        <w:rPr/>
      </w:r>
    </w:p>
    <w:p>
      <w:pPr>
        <w:pStyle w:val="TextBody"/>
        <w:bidi w:val="0"/>
        <w:spacing w:before="0" w:after="0"/>
        <w:jc w:val="left"/>
        <w:rPr/>
      </w:pPr>
      <w:r>
        <w:rPr/>
      </w:r>
    </w:p>
    <w:p>
      <w:pPr>
        <w:pStyle w:val="HorizontalLine"/>
        <w:pBdr>
          <w:bottom w:val="single" w:sz="12" w:space="0" w:color="808080"/>
        </w:pBdr>
        <w:bidi w:val="0"/>
        <w:jc w:val="left"/>
        <w:rPr/>
      </w:pPr>
      <w:r>
        <w:rPr/>
      </w:r>
    </w:p>
    <w:p>
      <w:pPr>
        <w:pStyle w:val="HorizontalLine"/>
        <w:pBdr>
          <w:bottom w:val="single" w:sz="12" w:space="0" w:color="808080"/>
        </w:pBdr>
        <w:bidi w:val="0"/>
        <w:jc w:val="left"/>
        <w:rPr/>
      </w:pPr>
      <w:r>
        <w:rPr/>
      </w:r>
      <w:bookmarkStart w:id="45" w:name="ef20012468_ex32.htm"/>
      <w:bookmarkStart w:id="46" w:name="ksef20012468_ex32"/>
      <w:bookmarkStart w:id="47" w:name="ef20012468_ex32.htm"/>
      <w:bookmarkStart w:id="48" w:name="ksef20012468_ex32"/>
      <w:bookmarkEnd w:id="47"/>
      <w:bookmarkEnd w:id="48"/>
      <w:r>
        <w:br w:type="page"/>
      </w:r>
    </w:p>
    <w:p>
      <w:pPr>
        <w:pStyle w:val="TextBody"/>
        <w:bidi w:val="0"/>
        <w:spacing w:before="0" w:after="0"/>
        <w:jc w:val="right"/>
        <w:rPr>
          <w:rFonts w:ascii="Times New Roman" w:hAnsi="Times New Roman"/>
          <w:b/>
          <w:color w:val="000000"/>
          <w:sz w:val="20"/>
        </w:rPr>
      </w:pPr>
      <w:r>
        <w:rPr>
          <w:rFonts w:ascii="Times New Roman" w:hAnsi="Times New Roman"/>
          <w:b/>
          <w:color w:val="000000"/>
          <w:sz w:val="20"/>
        </w:rPr>
        <w:t>Exhibit 32</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 xml:space="preserve">Certification </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Pursuant to 18 U.S.C. §1350</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Solely for the purposes of complying with 18 U.S.C. § 1350, as adopted pursuant to § 906 of the Sarbanes- Oxley Act of 2002, we, the undersigned Chief Executive Officer and Chief Financial Officer of Taboola.com Ltd. (the “Company”), hereby certify, based on our knowledge, that the Quarterly Report on Form 10-Q of the Company for the quarter ended September 30, 2023 (the “Report”) fully complies with the requirements of Section 13(a) or Section 15(d) of the Securities Exchange Act of 1934, as amended, and that information contained in the Report fairly presents, in all material respects, the financial condition, and results of operations of the Company.</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Date: November 8, 2023</w:t>
      </w:r>
    </w:p>
    <w:p>
      <w:pPr>
        <w:pStyle w:val="Normal"/>
        <w:bidi w:val="0"/>
        <w:spacing w:before="0" w:after="0"/>
        <w:jc w:val="left"/>
        <w:rPr>
          <w:sz w:val="4"/>
          <w:szCs w:val="4"/>
        </w:rPr>
      </w:pPr>
      <w:r>
        <w:rPr>
          <w:sz w:val="4"/>
          <w:szCs w:val="4"/>
        </w:rPr>
      </w:r>
      <w:bookmarkStart w:id="49" w:name="z569a83b0cca64f0d8ba8a72ee7989d00"/>
      <w:bookmarkStart w:id="50" w:name="z569a83b0cca64f0d8ba8a72ee7989d00"/>
      <w:bookmarkEnd w:id="50"/>
    </w:p>
    <w:tbl>
      <w:tblPr>
        <w:tblW w:w="2860" w:type="dxa"/>
        <w:jc w:val="left"/>
        <w:tblInd w:w="0" w:type="dxa"/>
        <w:tblLayout w:type="fixed"/>
        <w:tblCellMar>
          <w:top w:w="0" w:type="dxa"/>
          <w:left w:w="0" w:type="dxa"/>
          <w:bottom w:w="0" w:type="dxa"/>
          <w:right w:w="0" w:type="dxa"/>
        </w:tblCellMar>
      </w:tblPr>
      <w:tblGrid>
        <w:gridCol w:w="60"/>
        <w:gridCol w:w="410"/>
        <w:gridCol w:w="2390"/>
      </w:tblGrid>
      <w:tr>
        <w:trPr/>
        <w:tc>
          <w:tcPr>
            <w:tcW w:w="60"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 xml:space="preserve">By:  </w:t>
            </w:r>
          </w:p>
        </w:tc>
        <w:tc>
          <w:tcPr>
            <w:tcW w:w="2390" w:type="dxa"/>
            <w:tcBorders/>
            <w:vAlign w:val="center"/>
          </w:tcPr>
          <w:p>
            <w:pPr>
              <w:pStyle w:val="TableContents"/>
              <w:bidi w:val="0"/>
              <w:spacing w:before="0" w:after="0"/>
              <w:jc w:val="left"/>
              <w:rPr>
                <w:rFonts w:ascii="Times New Roman" w:hAnsi="Times New Roman"/>
                <w:sz w:val="20"/>
                <w:u w:val="single"/>
              </w:rPr>
            </w:pPr>
            <w:r>
              <w:rPr>
                <w:rFonts w:ascii="Times New Roman" w:hAnsi="Times New Roman"/>
                <w:sz w:val="20"/>
                <w:u w:val="single"/>
              </w:rPr>
              <w:t>/s/ Adam Singolda</w:t>
            </w:r>
          </w:p>
        </w:tc>
      </w:tr>
      <w:tr>
        <w:trPr/>
        <w:tc>
          <w:tcPr>
            <w:tcW w:w="60"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left"/>
              <w:rPr/>
            </w:pPr>
            <w:r>
              <w:rPr/>
              <w:t> </w:t>
            </w:r>
          </w:p>
        </w:tc>
        <w:tc>
          <w:tcPr>
            <w:tcW w:w="2390"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Adam Singolda</w:t>
            </w:r>
          </w:p>
        </w:tc>
      </w:tr>
      <w:tr>
        <w:trPr/>
        <w:tc>
          <w:tcPr>
            <w:tcW w:w="60"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left"/>
              <w:rPr/>
            </w:pPr>
            <w:r>
              <w:rPr/>
              <w:t> </w:t>
            </w:r>
          </w:p>
        </w:tc>
        <w:tc>
          <w:tcPr>
            <w:tcW w:w="23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Chief Executive Officer</w:t>
            </w:r>
          </w:p>
        </w:tc>
      </w:tr>
      <w:tr>
        <w:trPr/>
        <w:tc>
          <w:tcPr>
            <w:tcW w:w="60"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left"/>
              <w:rPr/>
            </w:pPr>
            <w:r>
              <w:rPr/>
              <w:t> </w:t>
            </w:r>
          </w:p>
        </w:tc>
        <w:tc>
          <w:tcPr>
            <w:tcW w:w="23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t>
            </w:r>
            <w:r>
              <w:rPr>
                <w:rFonts w:ascii="Times New Roman" w:hAnsi="Times New Roman"/>
                <w:i/>
                <w:sz w:val="20"/>
              </w:rPr>
              <w:t>Principal Executive Officer</w:t>
            </w:r>
            <w:r>
              <w:rPr>
                <w:rFonts w:ascii="Times New Roman" w:hAnsi="Times New Roman"/>
                <w:sz w:val="20"/>
              </w:rPr>
              <w:t>)</w:t>
            </w:r>
          </w:p>
        </w:tc>
      </w:tr>
      <w:tr>
        <w:trPr/>
        <w:tc>
          <w:tcPr>
            <w:tcW w:w="60"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left"/>
              <w:rPr/>
            </w:pPr>
            <w:r>
              <w:rPr/>
              <w:t> </w:t>
            </w:r>
          </w:p>
        </w:tc>
        <w:tc>
          <w:tcPr>
            <w:tcW w:w="239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By:  </w:t>
            </w:r>
          </w:p>
        </w:tc>
        <w:tc>
          <w:tcPr>
            <w:tcW w:w="2390" w:type="dxa"/>
            <w:tcBorders/>
            <w:vAlign w:val="center"/>
          </w:tcPr>
          <w:p>
            <w:pPr>
              <w:pStyle w:val="TableContents"/>
              <w:bidi w:val="0"/>
              <w:spacing w:before="0" w:after="0"/>
              <w:jc w:val="left"/>
              <w:rPr>
                <w:rFonts w:ascii="Times New Roman" w:hAnsi="Times New Roman"/>
                <w:sz w:val="20"/>
                <w:u w:val="single"/>
              </w:rPr>
            </w:pPr>
            <w:r>
              <w:rPr>
                <w:rFonts w:ascii="Times New Roman" w:hAnsi="Times New Roman"/>
                <w:sz w:val="20"/>
                <w:u w:val="single"/>
              </w:rPr>
              <w:t>/s/ Stephen Walker</w:t>
            </w:r>
          </w:p>
        </w:tc>
      </w:tr>
      <w:tr>
        <w:trPr/>
        <w:tc>
          <w:tcPr>
            <w:tcW w:w="60"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left"/>
              <w:rPr/>
            </w:pPr>
            <w:r>
              <w:rPr/>
              <w:t> </w:t>
            </w:r>
          </w:p>
        </w:tc>
        <w:tc>
          <w:tcPr>
            <w:tcW w:w="2390"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Stephen Walker</w:t>
            </w:r>
          </w:p>
        </w:tc>
      </w:tr>
      <w:tr>
        <w:trPr/>
        <w:tc>
          <w:tcPr>
            <w:tcW w:w="60"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left"/>
              <w:rPr/>
            </w:pPr>
            <w:r>
              <w:rPr/>
              <w:t> </w:t>
            </w:r>
          </w:p>
        </w:tc>
        <w:tc>
          <w:tcPr>
            <w:tcW w:w="23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Chief Financial Officer</w:t>
            </w:r>
          </w:p>
        </w:tc>
      </w:tr>
      <w:tr>
        <w:trPr/>
        <w:tc>
          <w:tcPr>
            <w:tcW w:w="60"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left"/>
              <w:rPr/>
            </w:pPr>
            <w:r>
              <w:rPr/>
              <w:t> </w:t>
            </w:r>
          </w:p>
        </w:tc>
        <w:tc>
          <w:tcPr>
            <w:tcW w:w="23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t>
            </w:r>
            <w:r>
              <w:rPr>
                <w:rFonts w:ascii="Times New Roman" w:hAnsi="Times New Roman"/>
                <w:i/>
                <w:sz w:val="20"/>
              </w:rPr>
              <w:t>Principal Financial Officer)</w:t>
            </w:r>
          </w:p>
        </w:tc>
      </w:tr>
    </w:tbl>
    <w:p>
      <w:pPr>
        <w:pStyle w:val="TextBody"/>
        <w:bidi w:val="0"/>
        <w:spacing w:before="0" w:after="0"/>
        <w:jc w:val="left"/>
        <w:rPr/>
      </w:pPr>
      <w:r>
        <w:rPr/>
      </w:r>
    </w:p>
    <w:p>
      <w:pPr>
        <w:pStyle w:val="TextBody"/>
        <w:bidi w:val="0"/>
        <w:spacing w:before="0" w:after="0"/>
        <w:jc w:val="left"/>
        <w:rPr/>
      </w:pPr>
      <w:r>
        <w:rPr/>
      </w:r>
    </w:p>
    <w:p>
      <w:pPr>
        <w:pStyle w:val="HorizontalLine"/>
        <w:pBdr>
          <w:bottom w:val="single" w:sz="12" w:space="0" w:color="808080"/>
        </w:pBdr>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21627</Words>
  <Characters>120383</Characters>
  <CharactersWithSpaces>143417</CharactersWithSpaces>
  <Paragraphs>7463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