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Singolda Adam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 MADISON SQ W 7TH 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Taboola.com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TBLA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Founder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gridSpan w:val="9"/>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400" w:type="dxa"/>
            <w:vAlign w:val="bottom"/>
            <w:vMerge w:val="restart"/>
          </w:tcPr>
          <w:p>
            <w:pPr>
              <w:spacing w:after="0"/>
              <w:rPr>
                <w:sz w:val="2"/>
                <w:szCs w:val="2"/>
                <w:color w:val="auto"/>
              </w:rPr>
            </w:pPr>
          </w:p>
        </w:tc>
        <w:tc>
          <w:tcPr>
            <w:tcW w:w="3360" w:type="dxa"/>
            <w:vAlign w:val="bottom"/>
            <w:gridSpan w:val="8"/>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00" w:type="dxa"/>
            <w:vAlign w:val="bottom"/>
            <w:gridSpan w:val="9"/>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33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20" w:type="dxa"/>
            <w:vAlign w:val="bottom"/>
            <w:gridSpan w:val="6"/>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6"/>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8"/>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4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5. Amount of Securities</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Beneficially Owned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Following Reported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 (Instr. 3</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6"/>
                <w:szCs w:val="6"/>
                <w:color w:val="auto"/>
              </w:rPr>
            </w:pPr>
          </w:p>
        </w:tc>
        <w:tc>
          <w:tcPr>
            <w:tcW w:w="9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7"/>
                <w:szCs w:val="17"/>
                <w:color w:val="0000FF"/>
              </w:rPr>
              <w:t>05/16/2026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4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251,130</w:t>
            </w:r>
            <w:r>
              <w:rPr>
                <w:rFonts w:ascii="Times New Roman" w:cs="Times New Roman" w:eastAsia="Times New Roman" w:hAnsi="Times New Roman"/>
                <w:sz w:val="22"/>
                <w:szCs w:val="22"/>
                <w:color w:val="008000"/>
                <w:vertAlign w:val="superscript"/>
              </w:rPr>
              <w:t>(1)</w:t>
            </w:r>
          </w:p>
        </w:tc>
        <w:tc>
          <w:tcPr>
            <w:tcW w:w="3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81"/>
              </w:rPr>
              <w:t>D</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w:t>
            </w:r>
          </w:p>
        </w:tc>
        <w:tc>
          <w:tcPr>
            <w:tcW w:w="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20"/>
              <w:spacing w:after="0" w:line="320" w:lineRule="exact"/>
              <w:rPr>
                <w:sz w:val="20"/>
                <w:szCs w:val="20"/>
                <w:color w:val="auto"/>
              </w:rPr>
            </w:pPr>
            <w:r>
              <w:rPr>
                <w:rFonts w:ascii="Times New Roman" w:cs="Times New Roman" w:eastAsia="Times New Roman" w:hAnsi="Times New Roman"/>
                <w:sz w:val="34"/>
                <w:szCs w:val="34"/>
                <w:color w:val="0000FF"/>
                <w:w w:val="91"/>
                <w:vertAlign w:val="subscript"/>
              </w:rPr>
              <w:t>17,709,241</w:t>
            </w:r>
            <w:r>
              <w:rPr>
                <w:rFonts w:ascii="Times New Roman" w:cs="Times New Roman" w:eastAsia="Times New Roman" w:hAnsi="Times New Roman"/>
                <w:sz w:val="11"/>
                <w:szCs w:val="11"/>
                <w:color w:val="008000"/>
                <w:w w:val="91"/>
              </w:rPr>
              <w:t>(2)(3)(4)(5)(6)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160" w:type="dxa"/>
            <w:vAlign w:val="bottom"/>
            <w:gridSpan w:val="16"/>
          </w:tcPr>
          <w:p>
            <w:pPr>
              <w:jc w:val="center"/>
              <w:ind w:left="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ind w:left="2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0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4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to satisfy tax withholding obligations in connection with the vesting of previously awarded Restricted Share Units ("RSUs"). No shares were sold.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13,310,688 ordinary shares.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287,927 RSUs which shall vest in equal quarterly installments through 2027, subject to the Reporting Person's provision of service to the Issuer on each vesting date. Each RSU represents the right to receive one ordinary share upon vesting and settlement.</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608,549 RSUs which shall vest in equal quarterly installments through 2028, subject to the Reporting Person's provision of service to the Issuer on each vesting date. Each RSU represents the right to receive one ordinary share upon vesting and settlement</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1,322,478 RSUs which shall vest in equal quarterly installments through 2029, subject to the Reporting Person's provision of service to the Issuer on each vesting date. Each RSU represents the right to receive one ordinary share upon vesting and settlement.</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2,179,599 RSUs which shall vest in equal quarterly installments through 2030, subject to the Reporting Person's provision of service to the Issuer on each vesting date. Each RSU represents the right to receive one ordinary share upon vesting and settlement.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John Ferrantino,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1045" TargetMode="External"/><Relationship Id="rId14" Type="http://schemas.openxmlformats.org/officeDocument/2006/relationships/hyperlink" Target="http://www.sec.gov/cgi-bin/browse-edgar?action=getcompany&amp;CIK=00018405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2026-05-19T15:12:30Z</dcterms:created>
  <dcterms:modified xsi:type="dcterms:W3CDTF">2026-05-19T15:12:30Z</dcterms:modified>
</cp:coreProperties>
</file>