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bookmarkStart w:id="0" w:name="bookmarkid.gjdgxs"/>
      <w:bookmarkEnd w:id="0"/>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bookmarkStart w:id="1" w:name="bookmarkid.30j0zll"/>
      <w:bookmarkEnd w:id="1"/>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bookmarkStart w:id="2" w:name="bookmarkid.1fob9te"/>
      <w:bookmarkEnd w:id="2"/>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bookmarkStart w:id="3" w:name="bookmarkid.3znysh7"/>
      <w:bookmarkEnd w:id="3"/>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bookmarkStart w:id="4" w:name="bookmarkid.2et92p0"/>
      <w:bookmarkEnd w:id="4"/>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bookmarkStart w:id="5" w:name="bookmarkid.tyjcwt"/>
      <w:bookmarkEnd w:id="5"/>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bookmarkStart w:id="6" w:name="bookmarkid.3dy6vkm"/>
      <w:bookmarkEnd w:id="6"/>
      <w:r>
        <w:rPr>
          <w:rFonts w:ascii="Times New Roman" w:hAnsi="Times New Roman"/>
          <w:b/>
          <w:color w:val="000000"/>
          <w:sz w:val="20"/>
          <w:shd w:fill="FFFFFF" w:val="clear"/>
        </w:rPr>
        <w:t>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August 5,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bookmarkStart w:id="7" w:name="bookmarkid.1t3h5sf"/>
      <w:bookmarkEnd w:id="7"/>
      <w:r>
        <w:rPr>
          <w:rFonts w:ascii="Times New Roman" w:hAnsi="Times New Roman"/>
          <w:b/>
          <w:color w:val="000000"/>
          <w:sz w:val="48"/>
          <w:shd w:fill="FFFFFF" w:val="clear"/>
        </w:rPr>
        <w:t>TABOOLA.COM LTD.</w:t>
      </w:r>
    </w:p>
    <w:p>
      <w:pPr>
        <w:pStyle w:val="TextBody"/>
        <w:bidi w:val="0"/>
        <w:spacing w:before="0" w:after="0"/>
        <w:jc w:val="center"/>
        <w:rPr>
          <w:rFonts w:ascii="Times New Roman" w:hAnsi="Times New Roman"/>
          <w:color w:val="000000"/>
          <w:sz w:val="20"/>
          <w:shd w:fill="FFFFFF" w:val="clear"/>
        </w:rPr>
      </w:pPr>
      <w:bookmarkStart w:id="8" w:name="bookmarkid.4d34og8"/>
      <w:bookmarkEnd w:id="8"/>
      <w:r>
        <w:rPr>
          <w:rFonts w:ascii="Times New Roman" w:hAnsi="Times New Roman"/>
          <w:color w:val="000000"/>
          <w:sz w:val="20"/>
          <w:shd w:fill="FFFFFF" w:val="clear"/>
        </w:rPr>
        <w:t>(Exact name of registrant as specified in its charter)</w:t>
      </w:r>
    </w:p>
    <w:p>
      <w:pPr>
        <w:pStyle w:val="TextBody"/>
        <w:bidi w:val="0"/>
        <w:spacing w:before="0" w:after="0"/>
        <w:jc w:val="left"/>
        <w:rPr>
          <w:color w:val="000000"/>
          <w:shd w:fill="FFFFFF" w:val="clear"/>
        </w:rPr>
      </w:pPr>
      <w:r>
        <w:rPr>
          <w:color w:val="000000"/>
          <w:shd w:fill="FFFFFF" w:val="clear"/>
        </w:rPr>
        <w:t> </w:t>
      </w:r>
    </w:p>
    <w:tbl>
      <w:tblPr>
        <w:tblW w:w="8955" w:type="dxa"/>
        <w:jc w:val="left"/>
        <w:tblInd w:w="-15" w:type="dxa"/>
        <w:tblLayout w:type="fixed"/>
        <w:tblCellMar>
          <w:top w:w="28" w:type="dxa"/>
          <w:left w:w="28" w:type="dxa"/>
          <w:bottom w:w="0" w:type="dxa"/>
          <w:right w:w="28" w:type="dxa"/>
        </w:tblCellMar>
      </w:tblPr>
      <w:tblGrid>
        <w:gridCol w:w="3620"/>
        <w:gridCol w:w="2210"/>
        <w:gridCol w:w="3125"/>
      </w:tblGrid>
      <w:tr>
        <w:trPr/>
        <w:tc>
          <w:tcPr>
            <w:tcW w:w="3620" w:type="dxa"/>
            <w:tcBorders>
              <w:top w:val="single" w:sz="12" w:space="0" w:color="000000"/>
              <w:left w:val="single" w:sz="12" w:space="0" w:color="000000"/>
              <w:right w:val="single" w:sz="12" w:space="0" w:color="000000"/>
            </w:tcBorders>
            <w:vAlign w:val="center"/>
          </w:tcPr>
          <w:p>
            <w:pPr>
              <w:pStyle w:val="TableContents"/>
              <w:bidi w:val="0"/>
              <w:spacing w:before="0" w:after="283"/>
              <w:jc w:val="center"/>
              <w:rPr>
                <w:b/>
              </w:rPr>
            </w:pPr>
            <w:r>
              <w:rPr>
                <w:b/>
              </w:rPr>
              <w:t>Israel</w:t>
            </w:r>
          </w:p>
        </w:tc>
        <w:tc>
          <w:tcPr>
            <w:tcW w:w="2210" w:type="dxa"/>
            <w:tcBorders>
              <w:top w:val="single" w:sz="12" w:space="0" w:color="000000"/>
              <w:left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001-40566</w:t>
            </w:r>
          </w:p>
        </w:tc>
        <w:tc>
          <w:tcPr>
            <w:tcW w:w="3125" w:type="dxa"/>
            <w:tcBorders>
              <w:top w:val="single" w:sz="12" w:space="0" w:color="000000"/>
              <w:left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Not applicable</w:t>
            </w:r>
          </w:p>
        </w:tc>
      </w:tr>
      <w:tr>
        <w:trPr/>
        <w:tc>
          <w:tcPr>
            <w:tcW w:w="3620"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3125" w:type="dxa"/>
            <w:tcBorders>
              <w:left w:val="single" w:sz="12" w:space="0" w:color="000000"/>
              <w:bottom w:val="single" w:sz="12" w:space="0" w:color="000000"/>
              <w:right w:val="single" w:sz="12" w:space="0" w:color="000000"/>
            </w:tcBorders>
            <w:tcMar>
              <w:top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Number)</w:t>
            </w:r>
          </w:p>
        </w:tc>
      </w:tr>
    </w:tbl>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16 Madison Square West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7th Floor</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New York, NY 10010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including zip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bookmarkStart w:id="9" w:name="bookmarkid.2s8eyo1"/>
      <w:bookmarkEnd w:id="9"/>
      <w:r>
        <w:rPr>
          <w:rFonts w:ascii="Times New Roman" w:hAnsi="Times New Roman"/>
          <w:b/>
          <w:color w:val="000000"/>
          <w:sz w:val="20"/>
          <w:shd w:fill="FFFFFF" w:val="clear"/>
        </w:rPr>
        <w:t>212-206-7633</w:t>
      </w:r>
    </w:p>
    <w:p>
      <w:pPr>
        <w:pStyle w:val="TextBody"/>
        <w:bidi w:val="0"/>
        <w:spacing w:before="0" w:after="0"/>
        <w:jc w:val="center"/>
        <w:rPr>
          <w:rFonts w:ascii="Times New Roman" w:hAnsi="Times New Roman"/>
          <w:color w:val="000000"/>
          <w:sz w:val="20"/>
          <w:shd w:fill="FFFFFF" w:val="clear"/>
        </w:rPr>
      </w:pPr>
      <w:bookmarkStart w:id="10" w:name="bookmarkid.17dp8vu"/>
      <w:bookmarkEnd w:id="10"/>
      <w:r>
        <w:rPr>
          <w:rFonts w:ascii="Times New Roman" w:hAnsi="Times New Roman"/>
          <w:color w:val="000000"/>
          <w:sz w:val="20"/>
          <w:shd w:fill="FFFFFF" w:val="clear"/>
        </w:rPr>
        <w:t>(Registrant’s telephone number, including area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bookmarkStart w:id="11" w:name="bookmarkid.3rdcrjn"/>
      <w:bookmarkEnd w:id="11"/>
      <w:r>
        <w:rPr>
          <w:rFonts w:ascii="Times New Roman" w:hAnsi="Times New Roman"/>
          <w:b/>
          <w:color w:val="000000"/>
          <w:sz w:val="20"/>
          <w:shd w:fill="FFFFFF" w:val="clear"/>
        </w:rPr>
        <w:t>N/A</w:t>
      </w:r>
    </w:p>
    <w:p>
      <w:pPr>
        <w:pStyle w:val="TextBody"/>
        <w:bidi w:val="0"/>
        <w:spacing w:before="0" w:after="0"/>
        <w:jc w:val="center"/>
        <w:rPr>
          <w:rFonts w:ascii="Times New Roman" w:hAnsi="Times New Roman"/>
          <w:color w:val="000000"/>
          <w:sz w:val="20"/>
          <w:shd w:fill="FFFFFF" w:val="clear"/>
        </w:rPr>
      </w:pPr>
      <w:bookmarkStart w:id="12" w:name="bookmarkid.26in1rg"/>
      <w:bookmarkEnd w:id="12"/>
      <w:r>
        <w:rPr>
          <w:rFonts w:ascii="Times New Roman" w:hAnsi="Times New Roman"/>
          <w:color w:val="000000"/>
          <w:sz w:val="20"/>
          <w:shd w:fill="FFFFFF" w:val="clear"/>
        </w:rPr>
        <w:t>(Former name or former address, if changed since last report)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color w:val="000000"/>
          <w:shd w:fill="FFFFFF" w:val="clear"/>
        </w:rPr>
      </w:pPr>
      <w:r>
        <w:rPr>
          <w:color w:val="000000"/>
          <w:shd w:fill="FFFFFF" w:val="clea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0"/>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color w:val="000000"/>
          <w:shd w:fill="FFFFFF" w:val="clear"/>
        </w:rPr>
      </w:pPr>
      <w:r>
        <w:rPr>
          <w:color w:val="000000"/>
          <w:shd w:fill="FFFFFF" w:val="clea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color w:val="000000"/>
          <w:shd w:fill="FFFFFF" w:val="clear"/>
        </w:rPr>
      </w:pPr>
      <w:r>
        <w:rPr>
          <w:color w:val="000000"/>
          <w:shd w:fill="FFFFFF" w:val="clea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color w:val="000000"/>
          <w:shd w:fill="FFFFFF" w:val="clear"/>
        </w:rPr>
      </w:pPr>
      <w:r>
        <w:rPr>
          <w:color w:val="000000"/>
          <w:shd w:fill="FFFFFF" w:val="clea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0"/>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color w:val="000000"/>
          <w:shd w:fill="FFFFFF" w:val="clear"/>
        </w:rPr>
      </w:pPr>
      <w:r>
        <w:rPr>
          <w:color w:val="000000"/>
          <w:shd w:fill="FFFFFF" w:val="clear"/>
        </w:rPr>
        <w:t> </w:t>
      </w:r>
    </w:p>
    <w:tbl>
      <w:tblPr>
        <w:tblW w:w="6780" w:type="dxa"/>
        <w:jc w:val="left"/>
        <w:tblInd w:w="-15" w:type="dxa"/>
        <w:tblLayout w:type="fixed"/>
        <w:tblCellMar>
          <w:top w:w="28" w:type="dxa"/>
          <w:left w:w="28" w:type="dxa"/>
          <w:bottom w:w="28" w:type="dxa"/>
          <w:right w:w="28" w:type="dxa"/>
        </w:tblCellMar>
      </w:tblPr>
      <w:tblGrid>
        <w:gridCol w:w="2375"/>
        <w:gridCol w:w="1610"/>
        <w:gridCol w:w="2795"/>
      </w:tblGrid>
      <w:tr>
        <w:trPr/>
        <w:tc>
          <w:tcPr>
            <w:tcW w:w="23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Title of each class</w:t>
            </w:r>
          </w:p>
        </w:tc>
        <w:tc>
          <w:tcPr>
            <w:tcW w:w="161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Trading Symbol(s)</w:t>
            </w:r>
          </w:p>
        </w:tc>
        <w:tc>
          <w:tcPr>
            <w:tcW w:w="27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Name of each exchange on which</w:t>
            </w:r>
          </w:p>
          <w:p>
            <w:pPr>
              <w:pStyle w:val="TableContents"/>
              <w:bidi w:val="0"/>
              <w:spacing w:before="0" w:after="0"/>
              <w:jc w:val="center"/>
              <w:rPr>
                <w:rFonts w:ascii="Times New Roman" w:hAnsi="Times New Roman"/>
                <w:b/>
                <w:sz w:val="20"/>
              </w:rPr>
            </w:pPr>
            <w:r>
              <w:rPr>
                <w:rFonts w:ascii="Times New Roman" w:hAnsi="Times New Roman"/>
                <w:b/>
                <w:sz w:val="20"/>
              </w:rPr>
              <w:t>registered</w:t>
            </w:r>
          </w:p>
        </w:tc>
      </w:tr>
      <w:tr>
        <w:trPr/>
        <w:tc>
          <w:tcPr>
            <w:tcW w:w="23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Ordinary shares, no par value</w:t>
            </w:r>
          </w:p>
        </w:tc>
        <w:tc>
          <w:tcPr>
            <w:tcW w:w="161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TBLA</w:t>
            </w:r>
          </w:p>
        </w:tc>
        <w:tc>
          <w:tcPr>
            <w:tcW w:w="27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Global Select Market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w:t>
      </w:r>
    </w:p>
    <w:p>
      <w:pPr>
        <w:pStyle w:val="HorizontalLine"/>
        <w:bidi w:val="0"/>
        <w:jc w:val="left"/>
        <w:rPr/>
      </w:pPr>
      <w:r>
        <w:rPr/>
      </w:r>
    </w:p>
    <w:p>
      <w:pPr>
        <w:pStyle w:val="HorizontalLine"/>
        <w:bidi w:val="0"/>
        <w:spacing w:before="200" w:after="200"/>
        <w:jc w:val="left"/>
        <w:rPr/>
      </w:pPr>
      <w:r>
        <w:rPr/>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August 5, 2026, Taboola.com Ltd. (the “</w:t>
      </w:r>
      <w:r>
        <w:rPr>
          <w:rFonts w:ascii="Times New Roman" w:hAnsi="Times New Roman"/>
          <w:b/>
          <w:i/>
          <w:color w:val="000000"/>
          <w:sz w:val="20"/>
          <w:shd w:fill="FFFFFF" w:val="clear"/>
        </w:rPr>
        <w:t>Company</w:t>
      </w:r>
      <w:r>
        <w:rPr>
          <w:rFonts w:ascii="Times New Roman" w:hAnsi="Times New Roman"/>
          <w:color w:val="000000"/>
          <w:sz w:val="20"/>
          <w:shd w:fill="FFFFFF" w:val="clear"/>
        </w:rPr>
        <w:t>” or “</w:t>
      </w:r>
      <w:r>
        <w:rPr>
          <w:rFonts w:ascii="Times New Roman" w:hAnsi="Times New Roman"/>
          <w:b/>
          <w:i/>
          <w:color w:val="000000"/>
          <w:sz w:val="20"/>
          <w:shd w:fill="FFFFFF" w:val="clear"/>
        </w:rPr>
        <w:t>Taboola</w:t>
      </w:r>
      <w:r>
        <w:rPr>
          <w:rFonts w:ascii="Times New Roman" w:hAnsi="Times New Roman"/>
          <w:color w:val="000000"/>
          <w:sz w:val="20"/>
          <w:shd w:fill="FFFFFF" w:val="clear"/>
        </w:rPr>
        <w:t>”) issued a press release announcing its financial results for the second quarter of 2026. That press release is furnished herewith as Exhibit 99.1 and is incorporated herein by reference.</w:t>
      </w:r>
    </w:p>
    <w:p>
      <w:pPr>
        <w:pStyle w:val="TextBody"/>
        <w:bidi w:val="0"/>
        <w:spacing w:before="0" w:after="0"/>
        <w:jc w:val="left"/>
        <w:rPr>
          <w:sz w:val="20"/>
        </w:rPr>
      </w:pPr>
      <w:r>
        <w:rPr>
          <w:sz w:val="20"/>
        </w:rPr>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August 5, 2026, the Company made available an investor presentation and prepared remarks which provide highlights of the Company’s second quarter of 2026 financial results and related information, which is being made available in connection with the August 5, 2026 earnings conference call.</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The investor presentation and prepared remarks can be found on Taboola’s website at </w:t>
      </w:r>
      <w:r>
        <w:rPr>
          <w:rFonts w:ascii="Times New Roman" w:hAnsi="Times New Roman"/>
          <w:color w:val="000000"/>
          <w:sz w:val="20"/>
          <w:u w:val="single"/>
          <w:shd w:fill="FFFFFF" w:val="clear"/>
        </w:rPr>
        <w:t>https://investors.taboola.com</w:t>
      </w:r>
      <w:r>
        <w:rPr>
          <w:rFonts w:ascii="Times New Roman" w:hAnsi="Times New Roman"/>
          <w:color w:val="000000"/>
          <w:sz w:val="20"/>
          <w:shd w:fill="FFFFFF" w:val="clear"/>
        </w:rPr>
        <w:t>. We have included our web address in this Current Report on Form 8-K solely for informational purposes and the information on our website is not incorporated by reference into this Current Report on Form 8-K.</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information furnished with this Form 8-K,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0" w:after="0"/>
        <w:jc w:val="left"/>
        <w:rPr>
          <w:sz w:val="20"/>
        </w:rPr>
      </w:pPr>
      <w:r>
        <w:rPr>
          <w:sz w:val="20"/>
        </w:rPr>
      </w:r>
    </w:p>
    <w:tbl>
      <w:tblPr>
        <w:tblW w:w="3760" w:type="dxa"/>
        <w:jc w:val="left"/>
        <w:tblInd w:w="0" w:type="dxa"/>
        <w:tblLayout w:type="fixed"/>
        <w:tblCellMar>
          <w:top w:w="0" w:type="dxa"/>
          <w:left w:w="0" w:type="dxa"/>
          <w:bottom w:w="0" w:type="dxa"/>
          <w:right w:w="0" w:type="dxa"/>
        </w:tblCellMar>
      </w:tblPr>
      <w:tblGrid>
        <w:gridCol w:w="875"/>
        <w:gridCol w:w="2885"/>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 and Exhibits.</w:t>
            </w:r>
          </w:p>
        </w:tc>
      </w:tr>
    </w:tbl>
    <w:p>
      <w:pPr>
        <w:pStyle w:val="TextBody"/>
        <w:bidi w:val="0"/>
        <w:spacing w:before="0" w:after="0"/>
        <w:jc w:val="left"/>
        <w:rPr>
          <w:sz w:val="20"/>
        </w:rPr>
      </w:pPr>
      <w:r>
        <w:rPr>
          <w:sz w:val="20"/>
        </w:rPr>
      </w:r>
    </w:p>
    <w:tbl>
      <w:tblPr>
        <w:tblW w:w="985" w:type="dxa"/>
        <w:jc w:val="left"/>
        <w:tblInd w:w="0" w:type="dxa"/>
        <w:tblLayout w:type="fixed"/>
        <w:tblCellMar>
          <w:top w:w="0" w:type="dxa"/>
          <w:left w:w="0" w:type="dxa"/>
          <w:bottom w:w="0" w:type="dxa"/>
          <w:right w:w="0" w:type="dxa"/>
        </w:tblCellMar>
      </w:tblPr>
      <w:tblGrid>
        <w:gridCol w:w="260"/>
        <w:gridCol w:w="725"/>
      </w:tblGrid>
      <w:tr>
        <w:trPr/>
        <w:tc>
          <w:tcPr>
            <w:tcW w:w="2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Exhibits</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TABLE OF CONTENTS</w:t>
      </w:r>
    </w:p>
    <w:p>
      <w:pPr>
        <w:pStyle w:val="TextBody"/>
        <w:bidi w:val="0"/>
        <w:spacing w:before="0" w:after="0"/>
        <w:jc w:val="left"/>
        <w:rPr>
          <w:sz w:val="20"/>
        </w:rPr>
      </w:pPr>
      <w:r>
        <w:rPr>
          <w:sz w:val="20"/>
        </w:rPr>
      </w:r>
    </w:p>
    <w:tbl>
      <w:tblPr>
        <w:tblW w:w="7496" w:type="dxa"/>
        <w:jc w:val="left"/>
        <w:tblInd w:w="-15" w:type="dxa"/>
        <w:tblLayout w:type="fixed"/>
        <w:tblCellMar>
          <w:top w:w="28" w:type="dxa"/>
          <w:left w:w="28" w:type="dxa"/>
          <w:bottom w:w="28" w:type="dxa"/>
          <w:right w:w="0" w:type="dxa"/>
        </w:tblCellMar>
      </w:tblPr>
      <w:tblGrid>
        <w:gridCol w:w="23"/>
        <w:gridCol w:w="980"/>
        <w:gridCol w:w="23"/>
        <w:gridCol w:w="6470"/>
      </w:tblGrid>
      <w:tr>
        <w:trPr/>
        <w:tc>
          <w:tcPr>
            <w:tcW w:w="23"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r>
          </w:p>
        </w:tc>
        <w:tc>
          <w:tcPr>
            <w:tcW w:w="98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 No.</w:t>
            </w:r>
          </w:p>
        </w:tc>
        <w:tc>
          <w:tcPr>
            <w:tcW w:w="23"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r>
          </w:p>
        </w:tc>
        <w:tc>
          <w:tcPr>
            <w:tcW w:w="6470" w:type="dxa"/>
            <w:tcBorders>
              <w:top w:val="single" w:sz="12" w:space="0" w:color="000000"/>
              <w:bottom w:val="single" w:sz="12" w:space="0" w:color="000000"/>
            </w:tcBorders>
            <w:tcMar>
              <w:left w:w="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Description</w:t>
            </w:r>
          </w:p>
        </w:tc>
      </w:tr>
      <w:tr>
        <w:trPr/>
        <w:tc>
          <w:tcPr>
            <w:tcW w:w="23"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r>
          </w:p>
        </w:tc>
        <w:tc>
          <w:tcPr>
            <w:tcW w:w="98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pPr>
            <w:hyperlink w:anchor="ef20078191_ex99-1.htm">
              <w:r>
                <w:rPr>
                  <w:rStyle w:val="InternetLink"/>
                  <w:rFonts w:ascii="Times New Roman" w:hAnsi="Times New Roman"/>
                  <w:sz w:val="20"/>
                </w:rPr>
                <w:t>99.1</w:t>
              </w:r>
            </w:hyperlink>
          </w:p>
        </w:tc>
        <w:tc>
          <w:tcPr>
            <w:tcW w:w="23"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r>
          </w:p>
        </w:tc>
        <w:tc>
          <w:tcPr>
            <w:tcW w:w="6470" w:type="dxa"/>
            <w:tcBorders>
              <w:bottom w:val="single" w:sz="12" w:space="0" w:color="000000"/>
            </w:tcBorders>
            <w:tcMar>
              <w:top w:w="0" w:type="dxa"/>
              <w:left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August 5, 2026</w:t>
            </w:r>
          </w:p>
        </w:tc>
      </w:tr>
      <w:tr>
        <w:trPr/>
        <w:tc>
          <w:tcPr>
            <w:tcW w:w="23"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r>
          </w:p>
        </w:tc>
        <w:tc>
          <w:tcPr>
            <w:tcW w:w="980" w:type="dxa"/>
            <w:tcBorders>
              <w:bottom w:val="single" w:sz="12" w:space="0" w:color="000000"/>
              <w:right w:val="single" w:sz="12" w:space="0" w:color="000000"/>
            </w:tcBorders>
            <w:tcMar>
              <w:top w:w="0" w:type="dxa"/>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23" w:type="dxa"/>
            <w:tcBorders>
              <w:left w:val="single" w:sz="12" w:space="0" w:color="000000"/>
              <w:bottom w:val="single" w:sz="12" w:space="0" w:color="000000"/>
            </w:tcBorders>
            <w:tcMar>
              <w:top w:w="0" w:type="dxa"/>
            </w:tcMar>
            <w:vAlign w:val="center"/>
          </w:tcPr>
          <w:p>
            <w:pPr>
              <w:pStyle w:val="TableContents"/>
              <w:bidi w:val="0"/>
              <w:spacing w:before="0" w:after="283"/>
              <w:jc w:val="left"/>
              <w:rPr/>
            </w:pPr>
            <w:r>
              <w:rPr/>
            </w:r>
          </w:p>
        </w:tc>
        <w:tc>
          <w:tcPr>
            <w:tcW w:w="6470" w:type="dxa"/>
            <w:tcBorders>
              <w:bottom w:val="single" w:sz="12" w:space="0" w:color="000000"/>
            </w:tcBorders>
            <w:tcMar>
              <w:top w:w="0" w:type="dxa"/>
              <w:left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sz w:val="20"/>
        </w:rPr>
      </w:pPr>
      <w:r>
        <w:rPr>
          <w:sz w:val="20"/>
        </w:rPr>
      </w:r>
    </w:p>
    <w:p>
      <w:pPr>
        <w:pStyle w:val="TextBody"/>
        <w:bidi w:val="0"/>
        <w:spacing w:before="0" w:after="0"/>
        <w:ind w:left="0" w:right="0" w:firstLine="36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sz w:val="20"/>
        </w:rPr>
      </w:pPr>
      <w:r>
        <w:rPr>
          <w:sz w:val="20"/>
        </w:rPr>
      </w:r>
    </w:p>
    <w:tbl>
      <w:tblPr>
        <w:tblW w:w="2022" w:type="dxa"/>
        <w:jc w:val="left"/>
        <w:tblInd w:w="0" w:type="dxa"/>
        <w:tblLayout w:type="fixed"/>
        <w:tblCellMar>
          <w:top w:w="0" w:type="dxa"/>
          <w:left w:w="0" w:type="dxa"/>
          <w:bottom w:w="0" w:type="dxa"/>
          <w:right w:w="0" w:type="dxa"/>
        </w:tblCellMar>
      </w:tblPr>
      <w:tblGrid>
        <w:gridCol w:w="23"/>
        <w:gridCol w:w="321"/>
        <w:gridCol w:w="1618"/>
        <w:gridCol w:w="60"/>
      </w:tblGrid>
      <w:tr>
        <w:trPr/>
        <w:tc>
          <w:tcPr>
            <w:tcW w:w="23" w:type="dxa"/>
            <w:tcBorders/>
            <w:vAlign w:val="center"/>
          </w:tcPr>
          <w:p>
            <w:pPr>
              <w:pStyle w:val="TableContents"/>
              <w:bidi w:val="0"/>
              <w:spacing w:before="0" w:after="283"/>
              <w:jc w:val="left"/>
              <w:rPr/>
            </w:pPr>
            <w:r>
              <w:rPr/>
            </w:r>
          </w:p>
        </w:tc>
        <w:tc>
          <w:tcPr>
            <w:tcW w:w="1999"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TABOOLA.COM LTD.</w:t>
            </w:r>
          </w:p>
        </w:tc>
      </w:tr>
      <w:tr>
        <w:trPr/>
        <w:tc>
          <w:tcPr>
            <w:tcW w:w="23" w:type="dxa"/>
            <w:tcBorders/>
            <w:vAlign w:val="center"/>
          </w:tcPr>
          <w:p>
            <w:pPr>
              <w:pStyle w:val="TableContents"/>
              <w:bidi w:val="0"/>
              <w:spacing w:before="0" w:after="283"/>
              <w:jc w:val="left"/>
              <w:rPr/>
            </w:pPr>
            <w:r>
              <w:rPr/>
            </w:r>
          </w:p>
        </w:tc>
        <w:tc>
          <w:tcPr>
            <w:tcW w:w="1999" w:type="dxa"/>
            <w:gridSpan w:val="3"/>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1618"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/s/ Stephen Walker</w:t>
            </w:r>
          </w:p>
        </w:tc>
        <w:tc>
          <w:tcPr>
            <w:tcW w:w="60" w:type="dxa"/>
            <w:tcBorders/>
            <w:vAlign w:val="center"/>
          </w:tcPr>
          <w:p>
            <w:pPr>
              <w:pStyle w:val="TableContents"/>
              <w:bidi w:val="0"/>
              <w:spacing w:before="0" w:after="283"/>
              <w:jc w:val="left"/>
              <w:rPr/>
            </w:pPr>
            <w:r>
              <w:rPr/>
              <w:t> </w:t>
            </w:r>
          </w:p>
        </w:tc>
      </w:tr>
    </w:tbl>
    <w:tbl>
      <w:tblPr>
        <w:tblW w:w="4238" w:type="dxa"/>
        <w:jc w:val="left"/>
        <w:tblInd w:w="0" w:type="dxa"/>
        <w:tblLayout w:type="fixed"/>
        <w:tblCellMar>
          <w:top w:w="0" w:type="dxa"/>
          <w:left w:w="0" w:type="dxa"/>
          <w:bottom w:w="0" w:type="dxa"/>
          <w:right w:w="0" w:type="dxa"/>
        </w:tblCellMar>
      </w:tblPr>
      <w:tblGrid>
        <w:gridCol w:w="1790"/>
        <w:gridCol w:w="23"/>
        <w:gridCol w:w="545"/>
        <w:gridCol w:w="1880"/>
      </w:tblGrid>
      <w:tr>
        <w:trPr/>
        <w:tc>
          <w:tcPr>
            <w:tcW w:w="179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1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Stephen Walker</w:t>
            </w:r>
          </w:p>
        </w:tc>
      </w:tr>
      <w:tr>
        <w:trPr/>
        <w:tc>
          <w:tcPr>
            <w:tcW w:w="179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1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w:t>
            </w:r>
          </w:p>
        </w:tc>
      </w:tr>
      <w:tr>
        <w:trPr/>
        <w:tc>
          <w:tcPr>
            <w:tcW w:w="179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pPr>
            <w:r>
              <w:rPr/>
            </w:r>
          </w:p>
        </w:tc>
        <w:tc>
          <w:tcPr>
            <w:tcW w:w="1880" w:type="dxa"/>
            <w:tcBorders/>
            <w:vAlign w:val="center"/>
          </w:tcPr>
          <w:p>
            <w:pPr>
              <w:pStyle w:val="TableContents"/>
              <w:bidi w:val="0"/>
              <w:spacing w:before="0" w:after="283"/>
              <w:jc w:val="left"/>
              <w:rPr/>
            </w:pPr>
            <w:r>
              <w:rPr/>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color w:val="000000"/>
                <w:sz w:val="20"/>
              </w:rPr>
              <w:t xml:space="preserve">Date:  </w:t>
            </w:r>
            <w:r>
              <w:rPr>
                <w:rFonts w:ascii="Times New Roman" w:hAnsi="Times New Roman"/>
                <w:sz w:val="20"/>
              </w:rPr>
              <w:t>August 5, 2026</w:t>
            </w:r>
          </w:p>
        </w:tc>
        <w:tc>
          <w:tcPr>
            <w:tcW w:w="23" w:type="dxa"/>
            <w:tcBorders/>
            <w:vAlign w:val="center"/>
          </w:tcPr>
          <w:p>
            <w:pPr>
              <w:pStyle w:val="TableContents"/>
              <w:bidi w:val="0"/>
              <w:spacing w:before="0" w:after="283"/>
              <w:jc w:val="left"/>
              <w:rPr/>
            </w:pPr>
            <w:r>
              <w:rPr/>
            </w:r>
          </w:p>
        </w:tc>
        <w:tc>
          <w:tcPr>
            <w:tcW w:w="545" w:type="dxa"/>
            <w:tcBorders/>
            <w:vAlign w:val="center"/>
          </w:tcPr>
          <w:p>
            <w:pPr>
              <w:pStyle w:val="TableContents"/>
              <w:bidi w:val="0"/>
              <w:spacing w:before="0" w:after="283"/>
              <w:jc w:val="left"/>
              <w:rPr/>
            </w:pPr>
            <w:r>
              <w:rPr/>
            </w:r>
          </w:p>
        </w:tc>
        <w:tc>
          <w:tcPr>
            <w:tcW w:w="1880" w:type="dxa"/>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jc w:val="left"/>
        <w:rPr/>
      </w:pPr>
      <w:r>
        <w:rPr/>
      </w:r>
      <w:bookmarkStart w:id="13" w:name="ef20078191_ex99-1.htm"/>
      <w:bookmarkStart w:id="14" w:name="ksef20078191_ex991"/>
      <w:bookmarkStart w:id="15" w:name="ef20078191_ex99-1.htm"/>
      <w:bookmarkStart w:id="16" w:name="ksef20078191_ex991"/>
      <w:bookmarkEnd w:id="15"/>
      <w:bookmarkEnd w:id="16"/>
      <w:r>
        <w:br w:type="page"/>
      </w:r>
    </w:p>
    <w:p>
      <w:pPr>
        <w:pStyle w:val="TextBody"/>
        <w:bidi w:val="0"/>
        <w:spacing w:before="0" w:after="0"/>
        <w:jc w:val="right"/>
        <w:rPr>
          <w:rFonts w:ascii="Times New Roman" w:hAnsi="Times New Roman"/>
          <w:b/>
          <w:color w:val="000000"/>
          <w:sz w:val="20"/>
        </w:rPr>
      </w:pPr>
      <w:bookmarkStart w:id="17" w:name="Section1"/>
      <w:bookmarkEnd w:id="17"/>
      <w:r>
        <w:rPr>
          <w:rFonts w:ascii="Times New Roman" w:hAnsi="Times New Roman"/>
          <w:b/>
          <w:color w:val="000000"/>
          <w:sz w:val="20"/>
        </w:rPr>
        <w:t>Exhibit 99.1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Taboola Reports Strong Q2 2026 Financial Results,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&amp; Raises Full-Year ex-TAC Gross Profit and Adjusted EBITDA Guidance</w:t>
      </w:r>
    </w:p>
    <w:p>
      <w:pPr>
        <w:pStyle w:val="TextBody"/>
        <w:bidi w:val="0"/>
        <w:spacing w:before="0" w:after="0"/>
        <w:jc w:val="left"/>
        <w:rPr>
          <w:sz w:val="20"/>
        </w:rPr>
      </w:pPr>
      <w:r>
        <w:rPr>
          <w:sz w:val="20"/>
        </w:rPr>
      </w:r>
      <w:bookmarkStart w:id="18" w:name="Section2"/>
      <w:bookmarkStart w:id="19" w:name="Section2"/>
      <w:bookmarkEnd w:id="19"/>
    </w:p>
    <w:p>
      <w:pPr>
        <w:pStyle w:val="TextBody"/>
        <w:bidi w:val="0"/>
        <w:spacing w:before="0" w:after="0"/>
        <w:jc w:val="both"/>
        <w:rPr>
          <w:rFonts w:ascii="Times New Roman" w:hAnsi="Times New Roman"/>
          <w:color w:val="000000"/>
          <w:sz w:val="20"/>
        </w:rPr>
      </w:pPr>
      <w:bookmarkStart w:id="20" w:name="Section3"/>
      <w:bookmarkEnd w:id="20"/>
      <w:r>
        <w:rPr>
          <w:rFonts w:ascii="Times New Roman" w:hAnsi="Times New Roman"/>
          <w:color w:val="000000"/>
          <w:sz w:val="20"/>
        </w:rPr>
        <w:t>NEW YORK, Aug. 5, 2026 (GLOBE NEWSWIRE) -- Taboola (Nasdaq: TBLA), a global leader in delivering performance at scale for advertisers, today announced its results for the second quarter ended June 30, 2026.</w:t>
      </w:r>
    </w:p>
    <w:p>
      <w:pPr>
        <w:pStyle w:val="TextBody"/>
        <w:bidi w:val="0"/>
        <w:spacing w:before="0" w:after="0"/>
        <w:jc w:val="left"/>
        <w:rPr>
          <w:sz w:val="20"/>
        </w:rPr>
      </w:pPr>
      <w:r>
        <w:rPr>
          <w:sz w:val="20"/>
        </w:rPr>
      </w:r>
    </w:p>
    <w:p>
      <w:pPr>
        <w:pStyle w:val="TextBody"/>
        <w:bidi w:val="0"/>
        <w:spacing w:before="0" w:after="0"/>
        <w:jc w:val="both"/>
        <w:rPr>
          <w:color w:val="000000"/>
        </w:rPr>
      </w:pPr>
      <w:r>
        <w:rPr>
          <w:color w:val="000000"/>
        </w:rPr>
        <w:t>“</w:t>
      </w:r>
      <w:r>
        <w:rPr>
          <w:rFonts w:ascii="Times New Roman" w:hAnsi="Times New Roman"/>
          <w:color w:val="000000"/>
          <w:sz w:val="20"/>
        </w:rPr>
        <w:t>We delivered another quarter beating our ex-TAC Gross Profit and Adjusted EBITDA guidance and are raising our full-year guidance for both metrics,” said Adam Singolda, CEO of Taboola. “With the momentum we’re seeing with Realize, the addition of Fox News and other strategic wins, we are further strengthening our position as a leader in performance advertising and executing on our vision to build the leading platform for the Open Web.”</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B5394"/>
          <w:sz w:val="20"/>
        </w:rPr>
      </w:pPr>
      <w:bookmarkStart w:id="21" w:name="Section4"/>
      <w:bookmarkEnd w:id="21"/>
      <w:r>
        <w:rPr>
          <w:rFonts w:ascii="Times New Roman" w:hAnsi="Times New Roman"/>
          <w:b/>
          <w:color w:val="0B5394"/>
          <w:sz w:val="20"/>
        </w:rPr>
        <w:t>Second Quarter 2026 Financial Results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comparisons are to the second quarter of 2025 unless otherwise noted.)</w:t>
      </w:r>
    </w:p>
    <w:p>
      <w:pPr>
        <w:pStyle w:val="Normal"/>
        <w:bidi w:val="0"/>
        <w:spacing w:before="0" w:after="0"/>
        <w:jc w:val="left"/>
        <w:rPr>
          <w:sz w:val="4"/>
          <w:szCs w:val="4"/>
        </w:rPr>
      </w:pPr>
      <w:r>
        <w:rPr>
          <w:sz w:val="4"/>
          <w:szCs w:val="4"/>
        </w:rPr>
      </w:r>
      <w:bookmarkStart w:id="22" w:name="zb43a6acf57544be390d5bca56ad59f1d"/>
      <w:bookmarkStart w:id="23" w:name="zb43a6acf57544be390d5bca56ad59f1d"/>
      <w:bookmarkEnd w:id="23"/>
    </w:p>
    <w:tbl>
      <w:tblPr>
        <w:tblW w:w="4158" w:type="dxa"/>
        <w:jc w:val="left"/>
        <w:tblInd w:w="0" w:type="dxa"/>
        <w:tblLayout w:type="fixed"/>
        <w:tblCellMar>
          <w:top w:w="0" w:type="dxa"/>
          <w:left w:w="0" w:type="dxa"/>
          <w:bottom w:w="0" w:type="dxa"/>
          <w:right w:w="0" w:type="dxa"/>
        </w:tblCellMar>
      </w:tblPr>
      <w:tblGrid>
        <w:gridCol w:w="38"/>
        <w:gridCol w:w="110"/>
        <w:gridCol w:w="40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40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Revenues</w:t>
            </w:r>
            <w:r>
              <w:rPr>
                <w:rFonts w:ascii="Times New Roman" w:hAnsi="Times New Roman"/>
                <w:color w:val="000000"/>
                <w:sz w:val="20"/>
              </w:rPr>
              <w:t xml:space="preserve"> of $476.8 million, an increase of 2.4%.</w:t>
            </w:r>
          </w:p>
        </w:tc>
      </w:tr>
    </w:tbl>
    <w:p>
      <w:pPr>
        <w:pStyle w:val="Normal"/>
        <w:bidi w:val="0"/>
        <w:spacing w:before="0" w:after="0"/>
        <w:jc w:val="left"/>
        <w:rPr>
          <w:sz w:val="4"/>
          <w:szCs w:val="4"/>
        </w:rPr>
      </w:pPr>
      <w:r>
        <w:rPr>
          <w:sz w:val="4"/>
          <w:szCs w:val="4"/>
        </w:rPr>
      </w:r>
      <w:bookmarkStart w:id="24" w:name="z95cee8988b764b10a54b0ef9b6adfdcc"/>
      <w:bookmarkStart w:id="25" w:name="z95cee8988b764b10a54b0ef9b6adfdcc"/>
      <w:bookmarkEnd w:id="25"/>
    </w:p>
    <w:tbl>
      <w:tblPr>
        <w:tblW w:w="9648" w:type="dxa"/>
        <w:jc w:val="left"/>
        <w:tblInd w:w="0" w:type="dxa"/>
        <w:tblLayout w:type="fixed"/>
        <w:tblCellMar>
          <w:top w:w="0" w:type="dxa"/>
          <w:left w:w="0" w:type="dxa"/>
          <w:bottom w:w="0" w:type="dxa"/>
          <w:right w:w="0" w:type="dxa"/>
        </w:tblCellMar>
      </w:tblPr>
      <w:tblGrid>
        <w:gridCol w:w="38"/>
        <w:gridCol w:w="110"/>
        <w:gridCol w:w="950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95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 xml:space="preserve">Gross Profit </w:t>
            </w:r>
            <w:r>
              <w:rPr>
                <w:rFonts w:ascii="Times New Roman" w:hAnsi="Times New Roman"/>
                <w:color w:val="000000"/>
                <w:sz w:val="20"/>
              </w:rPr>
              <w:t xml:space="preserve">of $139.5 million, an increase of 2.9%. </w:t>
            </w:r>
            <w:r>
              <w:rPr>
                <w:rFonts w:ascii="Times New Roman" w:hAnsi="Times New Roman"/>
                <w:b/>
                <w:color w:val="000000"/>
                <w:sz w:val="20"/>
              </w:rPr>
              <w:t>Ex-TAC Gross Profit</w:t>
            </w:r>
            <w:r>
              <w:rPr>
                <w:rFonts w:ascii="Times New Roman" w:hAnsi="Times New Roman"/>
                <w:color w:val="000000"/>
                <w:sz w:val="20"/>
              </w:rPr>
              <w:t xml:space="preserve"> was $192.4 million, an increase of 11.8%.</w:t>
            </w:r>
          </w:p>
        </w:tc>
      </w:tr>
    </w:tbl>
    <w:p>
      <w:pPr>
        <w:pStyle w:val="Normal"/>
        <w:bidi w:val="0"/>
        <w:spacing w:before="0" w:after="0"/>
        <w:jc w:val="left"/>
        <w:rPr>
          <w:sz w:val="4"/>
          <w:szCs w:val="4"/>
        </w:rPr>
      </w:pPr>
      <w:r>
        <w:rPr>
          <w:sz w:val="4"/>
          <w:szCs w:val="4"/>
        </w:rPr>
      </w:r>
      <w:bookmarkStart w:id="26" w:name="z1fbae449331f4199af01f6417e77607b"/>
      <w:bookmarkStart w:id="27" w:name="z1fbae449331f4199af01f6417e77607b"/>
      <w:bookmarkEnd w:id="2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 xml:space="preserve">Net Income </w:t>
            </w:r>
            <w:r>
              <w:rPr>
                <w:rFonts w:ascii="Times New Roman" w:hAnsi="Times New Roman"/>
                <w:color w:val="000000"/>
                <w:sz w:val="20"/>
              </w:rPr>
              <w:t xml:space="preserve">was $4.3 million improved from a Net Loss of $(4.3) million. </w:t>
            </w:r>
            <w:r>
              <w:rPr>
                <w:rFonts w:ascii="Times New Roman" w:hAnsi="Times New Roman"/>
                <w:b/>
                <w:color w:val="000000"/>
                <w:sz w:val="20"/>
              </w:rPr>
              <w:t>Adjusted EBITDA</w:t>
            </w:r>
            <w:r>
              <w:rPr>
                <w:rFonts w:ascii="Times New Roman" w:hAnsi="Times New Roman"/>
                <w:color w:val="000000"/>
                <w:sz w:val="20"/>
              </w:rPr>
              <w:t xml:space="preserve"> was $55.5 million, up 22.8%. Adjusted EBITDA margins expanded to 28.8% from 26.2%.</w:t>
            </w:r>
          </w:p>
        </w:tc>
      </w:tr>
    </w:tbl>
    <w:p>
      <w:pPr>
        <w:pStyle w:val="Normal"/>
        <w:bidi w:val="0"/>
        <w:spacing w:before="0" w:after="0"/>
        <w:jc w:val="left"/>
        <w:rPr>
          <w:sz w:val="4"/>
          <w:szCs w:val="4"/>
        </w:rPr>
      </w:pPr>
      <w:r>
        <w:rPr>
          <w:sz w:val="4"/>
          <w:szCs w:val="4"/>
        </w:rPr>
      </w:r>
      <w:bookmarkStart w:id="28" w:name="z7842571b3e58488cb03856614a590de9"/>
      <w:bookmarkStart w:id="29" w:name="z7842571b3e58488cb03856614a590de9"/>
      <w:bookmarkEnd w:id="2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Cash Flow</w:t>
            </w:r>
            <w:r>
              <w:rPr>
                <w:rFonts w:ascii="Times New Roman" w:hAnsi="Times New Roman"/>
                <w:color w:val="000000"/>
                <w:sz w:val="20"/>
              </w:rPr>
              <w:t xml:space="preserve"> provided by operating activities of $31.3 million, compared to $47.4 million. </w:t>
            </w:r>
            <w:r>
              <w:rPr>
                <w:rFonts w:ascii="Times New Roman" w:hAnsi="Times New Roman"/>
                <w:b/>
                <w:color w:val="000000"/>
                <w:sz w:val="20"/>
              </w:rPr>
              <w:t>Free Cash Flow</w:t>
            </w:r>
            <w:r>
              <w:rPr>
                <w:rFonts w:ascii="Times New Roman" w:hAnsi="Times New Roman"/>
                <w:color w:val="000000"/>
                <w:sz w:val="20"/>
              </w:rPr>
              <w:t xml:space="preserve"> was $17.3 million, compared to $34.2 million.</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B5394"/>
          <w:sz w:val="20"/>
        </w:rPr>
      </w:pPr>
      <w:bookmarkStart w:id="30" w:name="Section5"/>
      <w:bookmarkEnd w:id="30"/>
      <w:r>
        <w:rPr>
          <w:rFonts w:ascii="Times New Roman" w:hAnsi="Times New Roman"/>
          <w:b/>
          <w:color w:val="0B5394"/>
          <w:sz w:val="20"/>
        </w:rPr>
        <w:t>Third Quarter and Full Year 2026 Guidance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 the Third Quarter and Full Year 2026, the Company currently expects (dollars in millions):</w:t>
      </w:r>
    </w:p>
    <w:p>
      <w:pPr>
        <w:pStyle w:val="Normal"/>
        <w:bidi w:val="0"/>
        <w:spacing w:before="0" w:after="0"/>
        <w:jc w:val="left"/>
        <w:rPr>
          <w:sz w:val="4"/>
          <w:szCs w:val="4"/>
        </w:rPr>
      </w:pPr>
      <w:r>
        <w:rPr>
          <w:sz w:val="4"/>
          <w:szCs w:val="4"/>
        </w:rPr>
      </w:r>
      <w:bookmarkStart w:id="31" w:name="zbb53525fe0444ea3b143fa8c4933d5dd"/>
      <w:bookmarkStart w:id="32" w:name="zbb53525fe0444ea3b143fa8c4933d5dd"/>
      <w:bookmarkEnd w:id="32"/>
    </w:p>
    <w:tbl>
      <w:tblPr>
        <w:tblW w:w="5245" w:type="dxa"/>
        <w:jc w:val="left"/>
        <w:tblInd w:w="0" w:type="dxa"/>
        <w:tblLayout w:type="fixed"/>
        <w:tblCellMar>
          <w:top w:w="0" w:type="dxa"/>
          <w:left w:w="0" w:type="dxa"/>
          <w:bottom w:w="0" w:type="dxa"/>
          <w:right w:w="0" w:type="dxa"/>
        </w:tblCellMar>
      </w:tblPr>
      <w:tblGrid>
        <w:gridCol w:w="2555"/>
        <w:gridCol w:w="60"/>
        <w:gridCol w:w="125"/>
        <w:gridCol w:w="995"/>
        <w:gridCol w:w="60"/>
        <w:gridCol w:w="60"/>
        <w:gridCol w:w="125"/>
        <w:gridCol w:w="1205"/>
        <w:gridCol w:w="60"/>
      </w:tblGrid>
      <w:tr>
        <w:trPr/>
        <w:tc>
          <w:tcPr>
            <w:tcW w:w="25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Q3 2026</w:t>
            </w:r>
          </w:p>
          <w:p>
            <w:pPr>
              <w:pStyle w:val="TableContents"/>
              <w:bidi w:val="0"/>
              <w:spacing w:before="0" w:after="0"/>
              <w:jc w:val="center"/>
              <w:rPr>
                <w:rFonts w:ascii="Times New Roman" w:hAnsi="Times New Roman"/>
                <w:b/>
                <w:sz w:val="20"/>
              </w:rPr>
            </w:pPr>
            <w:r>
              <w:rPr>
                <w:rFonts w:ascii="Times New Roman" w:hAnsi="Times New Roman"/>
                <w:b/>
                <w:sz w:val="20"/>
              </w:rPr>
              <w:t>Guidance</w:t>
            </w:r>
          </w:p>
        </w:tc>
        <w:tc>
          <w:tcPr>
            <w:tcW w:w="6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3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FY 2026</w:t>
            </w:r>
          </w:p>
          <w:p>
            <w:pPr>
              <w:pStyle w:val="TableContents"/>
              <w:bidi w:val="0"/>
              <w:spacing w:before="0" w:after="0"/>
              <w:jc w:val="center"/>
              <w:rPr>
                <w:rFonts w:ascii="Times New Roman" w:hAnsi="Times New Roman"/>
                <w:b/>
                <w:sz w:val="20"/>
              </w:rPr>
            </w:pPr>
            <w:r>
              <w:rPr>
                <w:rFonts w:ascii="Times New Roman" w:hAnsi="Times New Roman"/>
                <w:b/>
                <w:sz w:val="20"/>
              </w:rPr>
              <w:t>Guidance</w:t>
            </w:r>
          </w:p>
        </w:tc>
        <w:tc>
          <w:tcPr>
            <w:tcW w:w="60"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60" w:type="dxa"/>
            <w:tcBorders/>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0"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(dollars in millions)</w:t>
            </w:r>
          </w:p>
        </w:tc>
        <w:tc>
          <w:tcPr>
            <w:tcW w:w="6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460 - $473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1,930 - $1,956</w:t>
            </w:r>
          </w:p>
        </w:tc>
        <w:tc>
          <w:tcPr>
            <w:tcW w:w="60"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148 - $152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605 - $615</w:t>
            </w:r>
          </w:p>
        </w:tc>
        <w:tc>
          <w:tcPr>
            <w:tcW w:w="6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ex-TAC Gross Profit*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184 - $190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772 - $783</w:t>
            </w:r>
          </w:p>
        </w:tc>
        <w:tc>
          <w:tcPr>
            <w:tcW w:w="60" w:type="dxa"/>
            <w:tcBorders/>
            <w:shd w:fill="CCEEFF" w:val="clear"/>
            <w:vAlign w:val="bottom"/>
          </w:tcPr>
          <w:p>
            <w:pPr>
              <w:pStyle w:val="TableContents"/>
              <w:bidi w:val="0"/>
              <w:spacing w:before="0" w:after="283"/>
              <w:jc w:val="left"/>
              <w:rPr/>
            </w:pPr>
            <w:r>
              <w:rPr/>
              <w:t> </w:t>
            </w:r>
          </w:p>
        </w:tc>
      </w:tr>
      <w:tr>
        <w:trPr/>
        <w:tc>
          <w:tcPr>
            <w:tcW w:w="25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51.5 - $56.5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228 - $240</w:t>
            </w:r>
          </w:p>
        </w:tc>
        <w:tc>
          <w:tcPr>
            <w:tcW w:w="60" w:type="dxa"/>
            <w:tcBorders/>
            <w:vAlign w:val="bottom"/>
          </w:tcPr>
          <w:p>
            <w:pPr>
              <w:pStyle w:val="TableContents"/>
              <w:bidi w:val="0"/>
              <w:spacing w:before="0" w:after="283"/>
              <w:jc w:val="left"/>
              <w:rPr/>
            </w:pPr>
            <w:r>
              <w:rPr/>
              <w:t> </w:t>
            </w:r>
          </w:p>
        </w:tc>
      </w:tr>
      <w:tr>
        <w:trPr/>
        <w:tc>
          <w:tcPr>
            <w:tcW w:w="25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Non-GAAP Net Income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38 - $42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0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168 - $176</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Although we provide guidance for Adjusted EBITDA and Non-GAAP Net Income (Loss), we are not able to provide guidance for projected net income (loss), the most directly comparable GAAP measure. Certain elements of net income (loss), including share-based compensation expenses are not predictable due to the high variability and difficulty of making accurate forecasts. As a result, it is impractical for us to provide guidance on net income (loss) or to reconcile our Adjusted EBITDA and Non-GAAP Net Income (Loss) guidance without unreasonable efforts. Consequently, no disclosure of projected net income (loss) is included. For the same reasons, we are unable to address the probable significance of the unavailable information.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Webcast &amp; Conference Call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Taboola’s senior management team will discuss the Company’s earnings on a call that can be accessed via webcast at https://investors.taboola.com.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To access the call by phone, please go to this link: </w:t>
      </w:r>
      <w:r>
        <w:rPr>
          <w:rFonts w:ascii="Times New Roman" w:hAnsi="Times New Roman"/>
          <w:color w:val="000000"/>
          <w:sz w:val="20"/>
          <w:u w:val="single"/>
        </w:rPr>
        <w:t>https://register-conf.media-server.com/register/BI9e7de4b306b347a4848f5087865fc7c2</w:t>
      </w:r>
      <w:r>
        <w:rPr>
          <w:rFonts w:ascii="Times New Roman" w:hAnsi="Times New Roman"/>
          <w:color w:val="000000"/>
          <w:sz w:val="20"/>
        </w:rPr>
        <w:t xml:space="preserve"> to register at and you will be provided with dial in details. The webcast will be available for replay for one year, through the close of business on August 5, 2027.</w:t>
      </w:r>
    </w:p>
    <w:p>
      <w:pPr>
        <w:pStyle w:val="TextBody"/>
        <w:bidi w:val="0"/>
        <w:spacing w:before="0" w:after="0"/>
        <w:jc w:val="left"/>
        <w:rPr>
          <w:sz w:val="20"/>
        </w:rPr>
      </w:pPr>
      <w:r>
        <w:rPr>
          <w:sz w:val="20"/>
        </w:rPr>
      </w:r>
      <w:bookmarkStart w:id="33" w:name="Section6"/>
      <w:bookmarkStart w:id="34" w:name="Section6"/>
      <w:bookmarkEnd w:id="34"/>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Non-GAAP Financial Information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includes ex-TAC Gross Profit, Adjusted EBITDA, Ratio of Adjusted EBITDA to ex-TAC Gross Profit, Free Cash Flow, Non-GAAP Net Income (Loss), which are non-GAAP financial measures. These non-GAAP financial measures are not measures of financial performance in accordance with GAAP and may exclude items that are significant in understanding and assessing the Company’s financial results. Therefore, these measures should not be considered in isolation or as an alternative to revenues, gross profit, net income (loss), cash flows from operations or other measures of profitability, liquidity or performance under GAAP. You should be aware that the Company’s presentation of these measures may not be comparable to similarly-titled measures used by other companies. The Company believes non-GAAP financial measures provide useful supplemental information to management and investors regarding future financial and business trends relating to the Company. The Company believes that the use of these measures provides an additional tool for investors to use in evaluating operating results and trends and in comparing the Company’s financial measures with other similar companies, many of which present similar non-GAAP financial measures to investors. Non-GAAP financial measures are subject to inherent limitations because they reflect the exercise of judgments by management about which items are excluded or included in calculating them, which may vary from period to period. Please refer to the appendix at the end of this press release for reconciliations to the most directly comparable measures in accordance with GAAP.</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Definitions</w:t>
      </w:r>
    </w:p>
    <w:p>
      <w:pPr>
        <w:pStyle w:val="Normal"/>
        <w:bidi w:val="0"/>
        <w:spacing w:before="0" w:after="0"/>
        <w:jc w:val="left"/>
        <w:rPr>
          <w:sz w:val="4"/>
          <w:szCs w:val="4"/>
        </w:rPr>
      </w:pPr>
      <w:r>
        <w:rPr>
          <w:sz w:val="4"/>
          <w:szCs w:val="4"/>
        </w:rPr>
      </w:r>
      <w:bookmarkStart w:id="35" w:name="z07a57f226a024af68799c20014c2b9de"/>
      <w:bookmarkStart w:id="36" w:name="z07a57f226a024af68799c20014c2b9de"/>
      <w:bookmarkEnd w:id="36"/>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E</w:t>
            </w:r>
            <w:r>
              <w:rPr>
                <w:rFonts w:ascii="Times New Roman" w:hAnsi="Times New Roman"/>
                <w:b/>
                <w:color w:val="000000"/>
                <w:sz w:val="20"/>
              </w:rPr>
              <w:t xml:space="preserve">x-TAC Gross Profit: </w:t>
            </w:r>
            <w:r>
              <w:rPr>
                <w:rFonts w:ascii="Times New Roman" w:hAnsi="Times New Roman"/>
                <w:color w:val="000000"/>
                <w:sz w:val="20"/>
              </w:rPr>
              <w:t>Gross profit adjusted to add back other cost of revenues and non-cash amortization of the Commercial agreement asset. We add back (i) the non-cash amortization of the Commercial agreement asset because it is unique primarily due to the issuance of equity rather than cash and (ii) Publisher’s prepayments write-off that are one time non cash, such that ex-TAC Gross Profit includes solely direct cash contribution components.</w:t>
            </w:r>
          </w:p>
        </w:tc>
      </w:tr>
    </w:tbl>
    <w:p>
      <w:pPr>
        <w:pStyle w:val="Normal"/>
        <w:bidi w:val="0"/>
        <w:spacing w:before="0" w:after="0"/>
        <w:jc w:val="left"/>
        <w:rPr>
          <w:sz w:val="4"/>
          <w:szCs w:val="4"/>
        </w:rPr>
      </w:pPr>
      <w:r>
        <w:rPr>
          <w:sz w:val="4"/>
          <w:szCs w:val="4"/>
        </w:rPr>
      </w:r>
      <w:bookmarkStart w:id="37" w:name="zbe57493e2999421aa5d5649e1087b3fe"/>
      <w:bookmarkStart w:id="38" w:name="zbe57493e2999421aa5d5649e1087b3fe"/>
      <w:bookmarkEnd w:id="3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Adjusted EBITDA:</w:t>
            </w:r>
            <w:r>
              <w:rPr>
                <w:rFonts w:ascii="Times New Roman" w:hAnsi="Times New Roman"/>
                <w:sz w:val="20"/>
              </w:rPr>
              <w:t xml:space="preserve"> Net income (loss) before finance income (expenses), net, income tax expenses, depreciation and amortization and non-cash amortization of the Commercial agreement asset, further adjusted to exclude share-based compensation including Connexity holdback compensation expenses and other noteworthy income and expense items such as M&amp;A costs and restructuring costs which may vary from period-to-period.</w:t>
            </w:r>
          </w:p>
        </w:tc>
      </w:tr>
    </w:tbl>
    <w:p>
      <w:pPr>
        <w:pStyle w:val="Normal"/>
        <w:bidi w:val="0"/>
        <w:spacing w:before="0" w:after="0"/>
        <w:jc w:val="left"/>
        <w:rPr>
          <w:sz w:val="4"/>
          <w:szCs w:val="4"/>
        </w:rPr>
      </w:pPr>
      <w:r>
        <w:rPr>
          <w:sz w:val="4"/>
          <w:szCs w:val="4"/>
        </w:rPr>
      </w:r>
      <w:bookmarkStart w:id="39" w:name="z1aeba2fa60ea4ce88c5df229985beff8"/>
      <w:bookmarkStart w:id="40" w:name="z1aeba2fa60ea4ce88c5df229985beff8"/>
      <w:bookmarkEnd w:id="4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b/>
                <w:sz w:val="20"/>
              </w:rPr>
              <w:t xml:space="preserve">Adjusted EBITDA margins: </w:t>
            </w:r>
            <w:r>
              <w:rPr>
                <w:rFonts w:ascii="Times New Roman" w:hAnsi="Times New Roman"/>
                <w:sz w:val="20"/>
              </w:rPr>
              <w:t>The ratio of Adjusted EBITDA to ex-TAC Gross Profit as Adjusted EBITDA divided by ex-TAC Gross Profit.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statements in this press release are forward-looking statements. Forward-looking statements generally relate to future events including future financial or operating performance of Taboola.com Ltd. (the “Company”). In some cases, you can identify forward-looking statements by terminology such as “may”, “should”, “expect”, “guidance”, “intend”, “will”, “estimate”, “anticipate”, “believe”, “predict”, “target”,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These forward-looking statements are based upon estimates and assumptions that, while considered reasonable by the Company and its management, are inherently uncertain. Uncertainties and risk factors that could affect the Company’s future performance and cause results to differ from the forward-looking statements in this press release include, but are not limited to: the Company’s ability to grow and manage growth profitably, maintain relationships with customers and retain its management and key employees; changes in applicable laws or regulations; the degree to which, or whether, Realize can achieve its intended performance objectives and attract, retain and grow advertisers and advertising spending; the Company’s estimates of expenses and profitability and underlying assumptions with respect to accounting presentations and purchase price and other adjustments; the extent to which we will buyback any of our shares pursuant to authority granted by the Company’s Board of Directors, which may depend upon market and economic conditions, other business opportunities and priorities, satisfying required conditions under the Israeli Companies Law and the Companies Regulations or other factors; the ability to attract new digital properties and advertisers; ability to meet minimum guarantee requirements in contracts with digital properties; intense competition in the digital advertising space, including with competitors who have significantly more resources; ability to grow and scale the Company’s ad and content platform through new relationships with advertisers and digital properties; ability to secure high quality content from digital properties; ability to maintain relationships with current advertiser and digital property partners; ability to prioritize investments to improve profitability and free cash flow; ability to make continued investments in the Company’s AI powered technology platform; the need to attract, train and retain highly-skilled technical workforce; changes in the regulation of, or market practice with respect to, “third party cookies” and its impact on digital advertising; continued engagement by users who interact with the Company’s platform on various digital properties; reliance on a limited number of partners for a significant portion of the Company’s revenue; changes in laws and regulations related to privacy, data protection, advertising regulation, competition and other areas related to digital advertising; ability to enforce, protect and maintain intellectual property rights; the potential or expected impact of tariffs on advertising spend, consumer and business sentiment, and the general economic environment; risks related to the fact that we are incorporated in Israel and governed by Israeli law; the potential impacts of the war in Israel to the Company’s operations; and other risks and uncertainties set forth in the Company’s Annual Report on Form 10-K for the year ended December 31, 2025 under Part 1, Item 1A “Risk Factors” and in the Company’s subsequent filings with the Securities and Exchange Commission.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these forward-looking statements, which speak only as of the date they were made. The Company undertakes no duty to update these forward-looking statements except as may be required by law.</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these forward-looking statements, which speak only as of the date they were made. The Company undertakes no duty to update these forward-looking statements except as may be required by law.</w:t>
      </w:r>
    </w:p>
    <w:p>
      <w:pPr>
        <w:pStyle w:val="TextBody"/>
        <w:bidi w:val="0"/>
        <w:spacing w:before="0" w:after="0"/>
        <w:jc w:val="left"/>
        <w:rPr>
          <w:sz w:val="20"/>
        </w:rPr>
      </w:pPr>
      <w:r>
        <w:rPr>
          <w:sz w:val="20"/>
        </w:rPr>
      </w:r>
      <w:bookmarkStart w:id="41" w:name="Section8"/>
      <w:bookmarkStart w:id="42" w:name="Section8"/>
      <w:bookmarkEnd w:id="42"/>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Taboola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Taboola empowers businesses to grow through performance advertising technology that goes beyond search and social and delivers measurable outcomes at scale.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Taboola works with thousands of businesses who advertise directly on Realize, Taboola’s powerful ad platform, reaching over 600 million daily active users across some of the best publishers in the world. Publishers like NBC News, Yahoo, and OEMs such as Samsung, Xiaomi and others use Taboola’s technology to grow audience and revenue, enabling Realize to offer unique data, specialized algorithms, and unmatched scale.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Aadam Anwar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investors@taboola.com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Press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Dave Struzzi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press@taboola.com</w:t>
      </w:r>
    </w:p>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3" w:name="z0e4587952ce8467d84502884d614c804"/>
      <w:bookmarkStart w:id="44" w:name="z0e4587952ce8467d84502884d614c804"/>
      <w:bookmarkEnd w:id="44"/>
    </w:p>
    <w:tbl>
      <w:tblPr>
        <w:tblW w:w="3465" w:type="dxa"/>
        <w:jc w:val="left"/>
        <w:tblInd w:w="0" w:type="dxa"/>
        <w:tblLayout w:type="fixed"/>
        <w:tblCellMar>
          <w:top w:w="0" w:type="dxa"/>
          <w:left w:w="0" w:type="dxa"/>
          <w:bottom w:w="28" w:type="dxa"/>
          <w:right w:w="0" w:type="dxa"/>
        </w:tblCellMar>
      </w:tblPr>
      <w:tblGrid>
        <w:gridCol w:w="3465"/>
      </w:tblGrid>
      <w:tr>
        <w:trPr/>
        <w:tc>
          <w:tcPr>
            <w:tcW w:w="3465" w:type="dxa"/>
            <w:tcBorders>
              <w:bottom w:val="single" w:sz="12" w:space="0" w:color="000000"/>
            </w:tcBorders>
            <w:vAlign w:val="center"/>
          </w:tcPr>
          <w:p>
            <w:pPr>
              <w:pStyle w:val="TableContents"/>
              <w:bidi w:val="0"/>
              <w:spacing w:before="0" w:after="0"/>
              <w:ind w:left="55" w:right="55" w:hanging="0"/>
              <w:jc w:val="both"/>
              <w:rPr>
                <w:rFonts w:ascii="Times New Roman" w:hAnsi="Times New Roman"/>
                <w:b/>
                <w:sz w:val="20"/>
              </w:rPr>
            </w:pPr>
            <w:r>
              <w:rPr>
                <w:rFonts w:ascii="Times New Roman" w:hAnsi="Times New Roman"/>
                <w:b/>
                <w:sz w:val="20"/>
              </w:rPr>
              <w:t>CONSOLIDATED BALANCE SHEETS</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U.S. dollars in thousands, except share and per share data</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5" w:name="z9bc2d45f75874e0d979a305d90b940ce"/>
      <w:bookmarkStart w:id="46" w:name="z9bc2d45f75874e0d979a305d90b940ce"/>
      <w:bookmarkEnd w:id="46"/>
    </w:p>
    <w:tbl>
      <w:tblPr>
        <w:tblW w:w="10205" w:type="dxa"/>
        <w:jc w:val="left"/>
        <w:tblInd w:w="0" w:type="dxa"/>
        <w:tblLayout w:type="fixed"/>
        <w:tblCellMar>
          <w:top w:w="0" w:type="dxa"/>
          <w:left w:w="0" w:type="dxa"/>
          <w:bottom w:w="0" w:type="dxa"/>
          <w:right w:w="0" w:type="dxa"/>
        </w:tblCellMar>
      </w:tblPr>
      <w:tblGrid>
        <w:gridCol w:w="7889"/>
        <w:gridCol w:w="60"/>
        <w:gridCol w:w="125"/>
        <w:gridCol w:w="845"/>
        <w:gridCol w:w="60"/>
        <w:gridCol w:w="60"/>
        <w:gridCol w:w="142"/>
        <w:gridCol w:w="963"/>
        <w:gridCol w:w="61"/>
      </w:tblGrid>
      <w:tr>
        <w:trPr/>
        <w:tc>
          <w:tcPr>
            <w:tcW w:w="78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gridSpan w:val="2"/>
            <w:tcBorders/>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tc>
        <w:tc>
          <w:tcPr>
            <w:tcW w:w="61" w:type="dxa"/>
            <w:tcBorders/>
            <w:vAlign w:val="bottom"/>
          </w:tcPr>
          <w:p>
            <w:pPr>
              <w:pStyle w:val="TableContents"/>
              <w:bidi w:val="0"/>
              <w:spacing w:before="0" w:after="283"/>
              <w:jc w:val="left"/>
              <w:rPr/>
            </w:pPr>
            <w:r>
              <w:rPr/>
              <w:t> </w:t>
            </w:r>
          </w:p>
        </w:tc>
      </w:tr>
      <w:tr>
        <w:trPr/>
        <w:tc>
          <w:tcPr>
            <w:tcW w:w="78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1" w:type="dxa"/>
            <w:tcBorders/>
            <w:vAlign w:val="bottom"/>
          </w:tcPr>
          <w:p>
            <w:pPr>
              <w:pStyle w:val="TableContents"/>
              <w:bidi w:val="0"/>
              <w:spacing w:before="0" w:after="283"/>
              <w:jc w:val="left"/>
              <w:rPr/>
            </w:pPr>
            <w:r>
              <w:rPr/>
              <w:t> </w:t>
            </w:r>
          </w:p>
        </w:tc>
      </w:tr>
      <w:tr>
        <w:trPr/>
        <w:tc>
          <w:tcPr>
            <w:tcW w:w="78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61" w:type="dxa"/>
            <w:tcBorders/>
            <w:vAlign w:val="bottom"/>
          </w:tcPr>
          <w:p>
            <w:pPr>
              <w:pStyle w:val="TableContents"/>
              <w:bidi w:val="0"/>
              <w:spacing w:before="0" w:after="283"/>
              <w:jc w:val="left"/>
              <w:rPr/>
            </w:pPr>
            <w:r>
              <w:rPr/>
              <w:t> </w:t>
            </w:r>
          </w:p>
        </w:tc>
      </w:tr>
      <w:tr>
        <w:trPr/>
        <w:tc>
          <w:tcPr>
            <w:tcW w:w="7889"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r>
      <w:tr>
        <w:trPr/>
        <w:tc>
          <w:tcPr>
            <w:tcW w:w="7889"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CURRENT 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5"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r>
      <w:tr>
        <w:trPr/>
        <w:tc>
          <w:tcPr>
            <w:tcW w:w="78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133,052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120,865</w:t>
            </w:r>
          </w:p>
        </w:tc>
        <w:tc>
          <w:tcPr>
            <w:tcW w:w="61" w:type="dxa"/>
            <w:tcBorders/>
            <w:shd w:fill="CCEEFF" w:val="clear"/>
            <w:vAlign w:val="bottom"/>
          </w:tcPr>
          <w:p>
            <w:pPr>
              <w:pStyle w:val="TableContents"/>
              <w:bidi w:val="0"/>
              <w:spacing w:before="0" w:after="283"/>
              <w:jc w:val="left"/>
              <w:rPr/>
            </w:pPr>
            <w:r>
              <w:rPr/>
              <w:t> </w:t>
            </w:r>
          </w:p>
        </w:tc>
      </w:tr>
      <w:tr>
        <w:trPr/>
        <w:tc>
          <w:tcPr>
            <w:tcW w:w="788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Trade receivables (net of allowance for credit losses of $15,227 and $13,889 as of June 30, 2026 and December 31, 2025, respectively) (1)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316,740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360,166</w:t>
            </w:r>
          </w:p>
        </w:tc>
        <w:tc>
          <w:tcPr>
            <w:tcW w:w="61" w:type="dxa"/>
            <w:tcBorders/>
            <w:vAlign w:val="bottom"/>
          </w:tcPr>
          <w:p>
            <w:pPr>
              <w:pStyle w:val="TableContents"/>
              <w:bidi w:val="0"/>
              <w:spacing w:before="0" w:after="283"/>
              <w:jc w:val="left"/>
              <w:rPr/>
            </w:pPr>
            <w:r>
              <w:rPr/>
              <w:t> </w:t>
            </w:r>
          </w:p>
        </w:tc>
      </w:tr>
      <w:tr>
        <w:trPr/>
        <w:tc>
          <w:tcPr>
            <w:tcW w:w="78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Prepaid expenses and other 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69,151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77,000</w:t>
            </w:r>
          </w:p>
        </w:tc>
        <w:tc>
          <w:tcPr>
            <w:tcW w:w="61" w:type="dxa"/>
            <w:tcBorders/>
            <w:shd w:fill="CCEEFF" w:val="clear"/>
            <w:vAlign w:val="bottom"/>
          </w:tcPr>
          <w:p>
            <w:pPr>
              <w:pStyle w:val="TableContents"/>
              <w:bidi w:val="0"/>
              <w:spacing w:before="0" w:after="283"/>
              <w:jc w:val="left"/>
              <w:rPr/>
            </w:pPr>
            <w:r>
              <w:rPr/>
              <w:t> </w:t>
            </w:r>
          </w:p>
        </w:tc>
      </w:tr>
      <w:tr>
        <w:trPr/>
        <w:tc>
          <w:tcPr>
            <w:tcW w:w="7889"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current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518,943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558,031</w:t>
            </w:r>
          </w:p>
        </w:tc>
        <w:tc>
          <w:tcPr>
            <w:tcW w:w="61" w:type="dxa"/>
            <w:tcBorders/>
            <w:vAlign w:val="bottom"/>
          </w:tcPr>
          <w:p>
            <w:pPr>
              <w:pStyle w:val="TableContents"/>
              <w:bidi w:val="0"/>
              <w:spacing w:before="0" w:after="283"/>
              <w:jc w:val="left"/>
              <w:rPr/>
            </w:pPr>
            <w:r>
              <w:rPr/>
              <w:t> </w:t>
            </w:r>
          </w:p>
        </w:tc>
      </w:tr>
      <w:tr>
        <w:trPr/>
        <w:tc>
          <w:tcPr>
            <w:tcW w:w="7889"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NON-CURRENT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r>
      <w:tr>
        <w:trPr/>
        <w:tc>
          <w:tcPr>
            <w:tcW w:w="788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Long-term prepaid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15,116</w:t>
            </w:r>
          </w:p>
        </w:tc>
        <w:tc>
          <w:tcPr>
            <w:tcW w:w="61" w:type="dxa"/>
            <w:tcBorders/>
            <w:vAlign w:val="bottom"/>
          </w:tcPr>
          <w:p>
            <w:pPr>
              <w:pStyle w:val="TableContents"/>
              <w:bidi w:val="0"/>
              <w:spacing w:before="0" w:after="283"/>
              <w:jc w:val="left"/>
              <w:rPr/>
            </w:pPr>
            <w:r>
              <w:rPr/>
              <w:t> </w:t>
            </w:r>
          </w:p>
        </w:tc>
      </w:tr>
      <w:tr>
        <w:trPr/>
        <w:tc>
          <w:tcPr>
            <w:tcW w:w="78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agreement asset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262,129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270,248</w:t>
            </w:r>
          </w:p>
        </w:tc>
        <w:tc>
          <w:tcPr>
            <w:tcW w:w="61" w:type="dxa"/>
            <w:tcBorders/>
            <w:shd w:fill="CCEEFF" w:val="clear"/>
            <w:vAlign w:val="bottom"/>
          </w:tcPr>
          <w:p>
            <w:pPr>
              <w:pStyle w:val="TableContents"/>
              <w:bidi w:val="0"/>
              <w:spacing w:before="0" w:after="283"/>
              <w:jc w:val="left"/>
              <w:rPr/>
            </w:pPr>
            <w:r>
              <w:rPr/>
              <w:t> </w:t>
            </w:r>
          </w:p>
        </w:tc>
      </w:tr>
      <w:tr>
        <w:trPr/>
        <w:tc>
          <w:tcPr>
            <w:tcW w:w="788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Restricted deposits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1,462</w:t>
            </w:r>
          </w:p>
        </w:tc>
        <w:tc>
          <w:tcPr>
            <w:tcW w:w="61" w:type="dxa"/>
            <w:tcBorders/>
            <w:vAlign w:val="bottom"/>
          </w:tcPr>
          <w:p>
            <w:pPr>
              <w:pStyle w:val="TableContents"/>
              <w:bidi w:val="0"/>
              <w:spacing w:before="0" w:after="283"/>
              <w:jc w:val="left"/>
              <w:rPr/>
            </w:pPr>
            <w:r>
              <w:rPr/>
              <w:t> </w:t>
            </w:r>
          </w:p>
        </w:tc>
      </w:tr>
      <w:tr>
        <w:trPr/>
        <w:tc>
          <w:tcPr>
            <w:tcW w:w="78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tax assets,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20,624</w:t>
            </w:r>
          </w:p>
        </w:tc>
        <w:tc>
          <w:tcPr>
            <w:tcW w:w="61" w:type="dxa"/>
            <w:tcBorders/>
            <w:shd w:fill="CCEEFF" w:val="clear"/>
            <w:vAlign w:val="bottom"/>
          </w:tcPr>
          <w:p>
            <w:pPr>
              <w:pStyle w:val="TableContents"/>
              <w:bidi w:val="0"/>
              <w:spacing w:before="0" w:after="283"/>
              <w:jc w:val="left"/>
              <w:rPr/>
            </w:pPr>
            <w:r>
              <w:rPr/>
              <w:t> </w:t>
            </w:r>
          </w:p>
        </w:tc>
      </w:tr>
      <w:tr>
        <w:trPr/>
        <w:tc>
          <w:tcPr>
            <w:tcW w:w="788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lease right of use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71,920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79,167</w:t>
            </w:r>
          </w:p>
        </w:tc>
        <w:tc>
          <w:tcPr>
            <w:tcW w:w="61" w:type="dxa"/>
            <w:tcBorders/>
            <w:vAlign w:val="bottom"/>
          </w:tcPr>
          <w:p>
            <w:pPr>
              <w:pStyle w:val="TableContents"/>
              <w:bidi w:val="0"/>
              <w:spacing w:before="0" w:after="283"/>
              <w:jc w:val="left"/>
              <w:rPr/>
            </w:pPr>
            <w:r>
              <w:rPr/>
              <w:t> </w:t>
            </w:r>
          </w:p>
        </w:tc>
      </w:tr>
      <w:tr>
        <w:trPr/>
        <w:tc>
          <w:tcPr>
            <w:tcW w:w="78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Property and equipment,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104,758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6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95,335</w:t>
            </w:r>
          </w:p>
        </w:tc>
        <w:tc>
          <w:tcPr>
            <w:tcW w:w="61" w:type="dxa"/>
            <w:tcBorders/>
            <w:shd w:fill="CCEEFF" w:val="clear"/>
            <w:vAlign w:val="bottom"/>
          </w:tcPr>
          <w:p>
            <w:pPr>
              <w:pStyle w:val="TableContents"/>
              <w:bidi w:val="0"/>
              <w:spacing w:before="0" w:after="283"/>
              <w:jc w:val="left"/>
              <w:rPr/>
            </w:pPr>
            <w:r>
              <w:rPr/>
              <w:t> </w:t>
            </w:r>
          </w:p>
        </w:tc>
      </w:tr>
      <w:tr>
        <w:trPr/>
        <w:tc>
          <w:tcPr>
            <w:tcW w:w="788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Intangible assets,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963"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13,925</w:t>
            </w:r>
          </w:p>
        </w:tc>
        <w:tc>
          <w:tcPr>
            <w:tcW w:w="61" w:type="dxa"/>
            <w:tcBorders/>
            <w:vAlign w:val="bottom"/>
          </w:tcPr>
          <w:p>
            <w:pPr>
              <w:pStyle w:val="TableContents"/>
              <w:bidi w:val="0"/>
              <w:spacing w:before="0" w:after="283"/>
              <w:jc w:val="left"/>
              <w:rPr/>
            </w:pPr>
            <w:r>
              <w:rPr/>
              <w:t> </w:t>
            </w:r>
          </w:p>
        </w:tc>
      </w:tr>
      <w:tr>
        <w:trPr/>
        <w:tc>
          <w:tcPr>
            <w:tcW w:w="788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Goodwill</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555,931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555,931</w:t>
            </w:r>
          </w:p>
        </w:tc>
        <w:tc>
          <w:tcPr>
            <w:tcW w:w="61" w:type="dxa"/>
            <w:tcBorders/>
            <w:shd w:fill="CCEEFF" w:val="clear"/>
            <w:vAlign w:val="bottom"/>
          </w:tcPr>
          <w:p>
            <w:pPr>
              <w:pStyle w:val="TableContents"/>
              <w:bidi w:val="0"/>
              <w:spacing w:before="0" w:after="283"/>
              <w:jc w:val="left"/>
              <w:rPr/>
            </w:pPr>
            <w:r>
              <w:rPr/>
              <w:t> </w:t>
            </w:r>
          </w:p>
        </w:tc>
      </w:tr>
      <w:tr>
        <w:trPr/>
        <w:tc>
          <w:tcPr>
            <w:tcW w:w="7889"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non-current assets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1,029,406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1,051,808</w:t>
            </w:r>
          </w:p>
        </w:tc>
        <w:tc>
          <w:tcPr>
            <w:tcW w:w="61" w:type="dxa"/>
            <w:tcBorders/>
            <w:vAlign w:val="bottom"/>
          </w:tcPr>
          <w:p>
            <w:pPr>
              <w:pStyle w:val="TableContents"/>
              <w:bidi w:val="0"/>
              <w:spacing w:before="0" w:after="283"/>
              <w:jc w:val="left"/>
              <w:rPr/>
            </w:pPr>
            <w:r>
              <w:rPr/>
              <w:t> </w:t>
            </w:r>
          </w:p>
        </w:tc>
      </w:tr>
      <w:tr>
        <w:trPr/>
        <w:tc>
          <w:tcPr>
            <w:tcW w:w="7889"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1,548,349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1,609,839</w:t>
            </w:r>
          </w:p>
        </w:tc>
        <w:tc>
          <w:tcPr>
            <w:tcW w:w="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Includes related party trade receivables of $49,760 and $39,210, as of June 30, 2026 and December 31, 2025, respectively.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7" w:name="z111e56d526d3426897e21eb9faac290a"/>
      <w:bookmarkStart w:id="48" w:name="z111e56d526d3426897e21eb9faac290a"/>
      <w:bookmarkEnd w:id="48"/>
    </w:p>
    <w:tbl>
      <w:tblPr>
        <w:tblW w:w="3465" w:type="dxa"/>
        <w:jc w:val="left"/>
        <w:tblInd w:w="0" w:type="dxa"/>
        <w:tblLayout w:type="fixed"/>
        <w:tblCellMar>
          <w:top w:w="0" w:type="dxa"/>
          <w:left w:w="0" w:type="dxa"/>
          <w:bottom w:w="28" w:type="dxa"/>
          <w:right w:w="0" w:type="dxa"/>
        </w:tblCellMar>
      </w:tblPr>
      <w:tblGrid>
        <w:gridCol w:w="3465"/>
      </w:tblGrid>
      <w:tr>
        <w:trPr/>
        <w:tc>
          <w:tcPr>
            <w:tcW w:w="3465" w:type="dxa"/>
            <w:tcBorders>
              <w:bottom w:val="single" w:sz="12" w:space="0" w:color="000000"/>
            </w:tcBorders>
            <w:vAlign w:val="center"/>
          </w:tcPr>
          <w:p>
            <w:pPr>
              <w:pStyle w:val="TableContents"/>
              <w:bidi w:val="0"/>
              <w:spacing w:before="0" w:after="0"/>
              <w:ind w:left="55" w:right="55" w:hanging="0"/>
              <w:jc w:val="both"/>
              <w:rPr>
                <w:rFonts w:ascii="Times New Roman" w:hAnsi="Times New Roman"/>
                <w:b/>
                <w:sz w:val="20"/>
              </w:rPr>
            </w:pPr>
            <w:r>
              <w:rPr>
                <w:rFonts w:ascii="Times New Roman" w:hAnsi="Times New Roman"/>
                <w:b/>
                <w:sz w:val="20"/>
              </w:rPr>
              <w:t>CONSOLIDATED BALANCE SHEETS</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U.S. dollars in thousands, except share and per share data</w:t>
      </w:r>
    </w:p>
    <w:p>
      <w:pPr>
        <w:pStyle w:val="Normal"/>
        <w:bidi w:val="0"/>
        <w:spacing w:before="0" w:after="0"/>
        <w:jc w:val="left"/>
        <w:rPr>
          <w:sz w:val="4"/>
          <w:szCs w:val="4"/>
        </w:rPr>
      </w:pPr>
      <w:r>
        <w:rPr>
          <w:sz w:val="4"/>
          <w:szCs w:val="4"/>
        </w:rPr>
      </w:r>
      <w:bookmarkStart w:id="49" w:name="z4d64f090022c4748b5b1a878713e5ab5"/>
      <w:bookmarkStart w:id="50" w:name="z4d64f090022c4748b5b1a878713e5ab5"/>
      <w:bookmarkEnd w:id="50"/>
    </w:p>
    <w:tbl>
      <w:tblPr>
        <w:tblW w:w="10205" w:type="dxa"/>
        <w:jc w:val="left"/>
        <w:tblInd w:w="0" w:type="dxa"/>
        <w:tblLayout w:type="fixed"/>
        <w:tblCellMar>
          <w:top w:w="0" w:type="dxa"/>
          <w:left w:w="0" w:type="dxa"/>
          <w:bottom w:w="0" w:type="dxa"/>
          <w:right w:w="0" w:type="dxa"/>
        </w:tblCellMar>
      </w:tblPr>
      <w:tblGrid>
        <w:gridCol w:w="7922"/>
        <w:gridCol w:w="60"/>
        <w:gridCol w:w="125"/>
        <w:gridCol w:w="845"/>
        <w:gridCol w:w="80"/>
        <w:gridCol w:w="60"/>
        <w:gridCol w:w="132"/>
        <w:gridCol w:w="899"/>
        <w:gridCol w:w="82"/>
      </w:tblGrid>
      <w:tr>
        <w:trPr/>
        <w:tc>
          <w:tcPr>
            <w:tcW w:w="7922"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w:t>
            </w:r>
          </w:p>
        </w:tc>
        <w:tc>
          <w:tcPr>
            <w:tcW w:w="82" w:type="dxa"/>
            <w:tcBorders/>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2" w:type="dxa"/>
            <w:tcBorders/>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214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82" w:type="dxa"/>
            <w:tcBorders/>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LIABILITIES AND SHAREHOLDERS’ EQUITY</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1" w:type="dxa"/>
            <w:gridSpan w:val="2"/>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CURRENT LIABILITIES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1" w:type="dxa"/>
            <w:gridSpan w:val="2"/>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r>
      <w:tr>
        <w:trPr/>
        <w:tc>
          <w:tcPr>
            <w:tcW w:w="792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Trade payables (2)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275,949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330,684</w:t>
            </w:r>
          </w:p>
        </w:tc>
        <w:tc>
          <w:tcPr>
            <w:tcW w:w="82" w:type="dxa"/>
            <w:tcBorders/>
            <w:shd w:fill="CCEEFF" w:val="clear"/>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Short-term operating lease liabilities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30,408</w:t>
            </w:r>
          </w:p>
        </w:tc>
        <w:tc>
          <w:tcPr>
            <w:tcW w:w="82" w:type="dxa"/>
            <w:tcBorders/>
            <w:vAlign w:val="bottom"/>
          </w:tcPr>
          <w:p>
            <w:pPr>
              <w:pStyle w:val="TableContents"/>
              <w:bidi w:val="0"/>
              <w:spacing w:before="0" w:after="283"/>
              <w:jc w:val="left"/>
              <w:rPr/>
            </w:pPr>
            <w:r>
              <w:rPr/>
              <w:t> </w:t>
            </w:r>
          </w:p>
        </w:tc>
      </w:tr>
      <w:tr>
        <w:trPr/>
        <w:tc>
          <w:tcPr>
            <w:tcW w:w="792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159,204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159,874</w:t>
            </w:r>
          </w:p>
        </w:tc>
        <w:tc>
          <w:tcPr>
            <w:tcW w:w="82" w:type="dxa"/>
            <w:tcBorders/>
            <w:shd w:fill="CCEEFF" w:val="clear"/>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current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468,940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520,966</w:t>
            </w:r>
          </w:p>
        </w:tc>
        <w:tc>
          <w:tcPr>
            <w:tcW w:w="82" w:type="dxa"/>
            <w:tcBorders/>
            <w:vAlign w:val="bottom"/>
          </w:tcPr>
          <w:p>
            <w:pPr>
              <w:pStyle w:val="TableContents"/>
              <w:bidi w:val="0"/>
              <w:spacing w:before="0" w:after="283"/>
              <w:jc w:val="left"/>
              <w:rPr/>
            </w:pPr>
            <w:r>
              <w:rPr/>
              <w:t> </w:t>
            </w:r>
          </w:p>
        </w:tc>
      </w:tr>
      <w:tr>
        <w:trPr/>
        <w:tc>
          <w:tcPr>
            <w:tcW w:w="7922"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LONG-TERM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Revolving credit facility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102,300</w:t>
            </w:r>
          </w:p>
        </w:tc>
        <w:tc>
          <w:tcPr>
            <w:tcW w:w="82" w:type="dxa"/>
            <w:tcBorders/>
            <w:vAlign w:val="bottom"/>
          </w:tcPr>
          <w:p>
            <w:pPr>
              <w:pStyle w:val="TableContents"/>
              <w:bidi w:val="0"/>
              <w:spacing w:before="0" w:after="283"/>
              <w:jc w:val="left"/>
              <w:rPr/>
            </w:pPr>
            <w:r>
              <w:rPr/>
              <w:t> </w:t>
            </w:r>
          </w:p>
        </w:tc>
      </w:tr>
      <w:tr>
        <w:trPr/>
        <w:tc>
          <w:tcPr>
            <w:tcW w:w="792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Long-term operating lease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51,615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61,382</w:t>
            </w:r>
          </w:p>
        </w:tc>
        <w:tc>
          <w:tcPr>
            <w:tcW w:w="82" w:type="dxa"/>
            <w:tcBorders/>
            <w:shd w:fill="CCEEFF" w:val="clear"/>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Warrants liability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501</w:t>
            </w:r>
          </w:p>
        </w:tc>
        <w:tc>
          <w:tcPr>
            <w:tcW w:w="82" w:type="dxa"/>
            <w:tcBorders/>
            <w:vAlign w:val="bottom"/>
          </w:tcPr>
          <w:p>
            <w:pPr>
              <w:pStyle w:val="TableContents"/>
              <w:bidi w:val="0"/>
              <w:spacing w:before="0" w:after="283"/>
              <w:jc w:val="left"/>
              <w:rPr/>
            </w:pPr>
            <w:r>
              <w:rPr/>
              <w:t> </w:t>
            </w:r>
          </w:p>
        </w:tc>
      </w:tr>
      <w:tr>
        <w:trPr/>
        <w:tc>
          <w:tcPr>
            <w:tcW w:w="792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Deferred tax liabilities, net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628</w:t>
            </w:r>
          </w:p>
        </w:tc>
        <w:tc>
          <w:tcPr>
            <w:tcW w:w="82" w:type="dxa"/>
            <w:tcBorders/>
            <w:shd w:fill="CCEEFF" w:val="clear"/>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long-term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16,867</w:t>
            </w:r>
          </w:p>
        </w:tc>
        <w:tc>
          <w:tcPr>
            <w:tcW w:w="82" w:type="dxa"/>
            <w:tcBorders/>
            <w:vAlign w:val="bottom"/>
          </w:tcPr>
          <w:p>
            <w:pPr>
              <w:pStyle w:val="TableContents"/>
              <w:bidi w:val="0"/>
              <w:spacing w:before="0" w:after="283"/>
              <w:jc w:val="left"/>
              <w:rPr/>
            </w:pPr>
            <w:r>
              <w:rPr/>
              <w:t> </w:t>
            </w:r>
          </w:p>
        </w:tc>
      </w:tr>
      <w:tr>
        <w:trPr/>
        <w:tc>
          <w:tcPr>
            <w:tcW w:w="7922"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long-term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141,416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181,678</w:t>
            </w:r>
          </w:p>
        </w:tc>
        <w:tc>
          <w:tcPr>
            <w:tcW w:w="82" w:type="dxa"/>
            <w:tcBorders/>
            <w:shd w:fill="CCEEFF" w:val="clear"/>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COMMITMENTS AND CONTINGENCIES (Note 10)</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 </w:t>
            </w:r>
          </w:p>
        </w:tc>
        <w:tc>
          <w:tcPr>
            <w:tcW w:w="82" w:type="dxa"/>
            <w:tcBorders/>
            <w:vAlign w:val="bottom"/>
          </w:tcPr>
          <w:p>
            <w:pPr>
              <w:pStyle w:val="TableContents"/>
              <w:bidi w:val="0"/>
              <w:spacing w:before="0" w:after="283"/>
              <w:jc w:val="left"/>
              <w:rPr/>
            </w:pPr>
            <w:r>
              <w:rPr/>
              <w:t> </w:t>
            </w:r>
          </w:p>
        </w:tc>
      </w:tr>
      <w:tr>
        <w:trPr/>
        <w:tc>
          <w:tcPr>
            <w:tcW w:w="7922"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SHAREHOLDERS’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Ordinary shares with no par value- Authorized: 700,000,000 as of  </w:t>
            </w:r>
            <w:r>
              <w:rPr>
                <w:rFonts w:ascii="Times New Roman" w:hAnsi="Times New Roman"/>
                <w:color w:val="000000"/>
                <w:sz w:val="20"/>
              </w:rPr>
              <w:t>June 30, 2026</w:t>
            </w:r>
            <w:r>
              <w:rPr>
                <w:rFonts w:ascii="Times New Roman" w:hAnsi="Times New Roman"/>
                <w:sz w:val="20"/>
              </w:rPr>
              <w:t xml:space="preserve"> and </w:t>
            </w:r>
            <w:r>
              <w:rPr>
                <w:rFonts w:ascii="Times New Roman" w:hAnsi="Times New Roman"/>
                <w:color w:val="000000"/>
                <w:sz w:val="20"/>
              </w:rPr>
              <w:t>December 31, 2025</w:t>
            </w:r>
            <w:r>
              <w:rPr>
                <w:rFonts w:ascii="Times New Roman" w:hAnsi="Times New Roman"/>
                <w:sz w:val="20"/>
              </w:rPr>
              <w:t xml:space="preserve">;  363,374,228 and 341,610,237 shares issued, and 251,850,218 and 246,330,707 shares outstanding as of </w:t>
            </w:r>
            <w:r>
              <w:rPr>
                <w:rFonts w:ascii="Times New Roman" w:hAnsi="Times New Roman"/>
                <w:color w:val="000000"/>
                <w:sz w:val="20"/>
              </w:rPr>
              <w:t>June 30, 2026</w:t>
            </w:r>
            <w:r>
              <w:rPr>
                <w:rFonts w:ascii="Times New Roman" w:hAnsi="Times New Roman"/>
                <w:sz w:val="20"/>
              </w:rPr>
              <w:t xml:space="preserve"> and </w:t>
            </w:r>
            <w:r>
              <w:rPr>
                <w:rFonts w:ascii="Times New Roman" w:hAnsi="Times New Roman"/>
                <w:color w:val="000000"/>
                <w:sz w:val="20"/>
              </w:rPr>
              <w:t>December 31, 2025</w:t>
            </w:r>
            <w:r>
              <w:rPr>
                <w:rFonts w:ascii="Times New Roman" w:hAnsi="Times New Roman"/>
                <w:sz w:val="20"/>
              </w:rPr>
              <w:t>, respectively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color w:val="000000"/>
              </w:rPr>
            </w:pPr>
            <w:r>
              <w:rPr>
                <w:color w:val="000000"/>
              </w:rPr>
              <w:t>—</w:t>
            </w:r>
          </w:p>
        </w:tc>
        <w:tc>
          <w:tcPr>
            <w:tcW w:w="82" w:type="dxa"/>
            <w:tcBorders/>
            <w:vAlign w:val="bottom"/>
          </w:tcPr>
          <w:p>
            <w:pPr>
              <w:pStyle w:val="TableContents"/>
              <w:bidi w:val="0"/>
              <w:spacing w:before="0" w:after="283"/>
              <w:jc w:val="left"/>
              <w:rPr/>
            </w:pPr>
            <w:r>
              <w:rPr/>
              <w:t> </w:t>
            </w:r>
          </w:p>
        </w:tc>
      </w:tr>
      <w:tr>
        <w:trPr/>
        <w:tc>
          <w:tcPr>
            <w:tcW w:w="792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Non-voting Ordinary shares with no par value - Authorized: 46,000,000 as of June 30, 2026 and December 31, 2025; 33,198,702 and 45,198,702 shares issued, and 18,039,644 and 30,039,644 shares outstanding as of June 30, 2026 and December 31, 2025, respectively</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color w:val="000000"/>
              </w:rPr>
            </w:pPr>
            <w:r>
              <w:rPr>
                <w:color w:val="000000"/>
              </w:rPr>
              <w:t>—</w:t>
            </w:r>
          </w:p>
        </w:tc>
        <w:tc>
          <w:tcPr>
            <w:tcW w:w="82" w:type="dxa"/>
            <w:tcBorders/>
            <w:shd w:fill="CCEEFF" w:val="clear"/>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Treasury Ordinary shares, at cost - 126,683,068 (111,524,010 Ordinary shares and 15,159,058 Non-voting Ordinary shares) and 110,438,588 (95,279,530 Ordinary shares and 15,159,058 Non-voting Ordinary shares) as of </w:t>
            </w:r>
            <w:r>
              <w:rPr>
                <w:rFonts w:ascii="Times New Roman" w:hAnsi="Times New Roman"/>
                <w:color w:val="000000"/>
                <w:sz w:val="20"/>
              </w:rPr>
              <w:t>June 30, 2026</w:t>
            </w:r>
            <w:r>
              <w:rPr>
                <w:rFonts w:ascii="Times New Roman" w:hAnsi="Times New Roman"/>
                <w:sz w:val="20"/>
              </w:rPr>
              <w:t xml:space="preserve"> and </w:t>
            </w:r>
            <w:r>
              <w:rPr>
                <w:rFonts w:ascii="Times New Roman" w:hAnsi="Times New Roman"/>
                <w:color w:val="000000"/>
                <w:sz w:val="20"/>
              </w:rPr>
              <w:t>December 31, 2025</w:t>
            </w:r>
            <w:r>
              <w:rPr>
                <w:rFonts w:ascii="Times New Roman" w:hAnsi="Times New Roman"/>
                <w:sz w:val="20"/>
              </w:rPr>
              <w:t>, respectively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(450,826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(385,651</w:t>
            </w:r>
          </w:p>
        </w:tc>
        <w:tc>
          <w:tcPr>
            <w:tcW w:w="8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92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Additional paid-in capital</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1,435,861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1,404,248</w:t>
            </w:r>
          </w:p>
        </w:tc>
        <w:tc>
          <w:tcPr>
            <w:tcW w:w="82" w:type="dxa"/>
            <w:tcBorders/>
            <w:shd w:fill="CCEEFF" w:val="clear"/>
            <w:vAlign w:val="bottom"/>
          </w:tcPr>
          <w:p>
            <w:pPr>
              <w:pStyle w:val="TableContents"/>
              <w:bidi w:val="0"/>
              <w:spacing w:before="0" w:after="283"/>
              <w:jc w:val="left"/>
              <w:rPr/>
            </w:pPr>
            <w:r>
              <w:rPr/>
              <w:t> </w:t>
            </w:r>
          </w:p>
        </w:tc>
      </w:tr>
      <w:tr>
        <w:trPr/>
        <w:tc>
          <w:tcPr>
            <w:tcW w:w="7922"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Accumulated other comprehensive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534</w:t>
            </w:r>
          </w:p>
        </w:tc>
        <w:tc>
          <w:tcPr>
            <w:tcW w:w="82" w:type="dxa"/>
            <w:tcBorders/>
            <w:vAlign w:val="bottom"/>
          </w:tcPr>
          <w:p>
            <w:pPr>
              <w:pStyle w:val="TableContents"/>
              <w:bidi w:val="0"/>
              <w:spacing w:before="0" w:after="283"/>
              <w:jc w:val="left"/>
              <w:rPr/>
            </w:pPr>
            <w:r>
              <w:rPr/>
              <w:t> </w:t>
            </w:r>
          </w:p>
        </w:tc>
      </w:tr>
      <w:tr>
        <w:trPr/>
        <w:tc>
          <w:tcPr>
            <w:tcW w:w="792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Accumulated deficit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(48,553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(111,936</w:t>
            </w:r>
          </w:p>
        </w:tc>
        <w:tc>
          <w:tcPr>
            <w:tcW w:w="8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7922"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shareholders’ equity</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937,993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907,195</w:t>
            </w:r>
          </w:p>
        </w:tc>
        <w:tc>
          <w:tcPr>
            <w:tcW w:w="82" w:type="dxa"/>
            <w:tcBorders/>
            <w:vAlign w:val="bottom"/>
          </w:tcPr>
          <w:p>
            <w:pPr>
              <w:pStyle w:val="TableContents"/>
              <w:bidi w:val="0"/>
              <w:spacing w:before="0" w:after="283"/>
              <w:jc w:val="left"/>
              <w:rPr/>
            </w:pPr>
            <w:r>
              <w:rPr/>
              <w:t> </w:t>
            </w:r>
          </w:p>
        </w:tc>
      </w:tr>
      <w:tr>
        <w:trPr/>
        <w:tc>
          <w:tcPr>
            <w:tcW w:w="7922"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1,548,349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1,609,839</w:t>
            </w:r>
          </w:p>
        </w:tc>
        <w:tc>
          <w:tcPr>
            <w:tcW w:w="8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 Includes related party trade payables of $72,723 and $70,950, as of June 30, 2026 and December 31, 2025, respectively.</w:t>
      </w:r>
    </w:p>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1" w:name="zd7bb656478f64eb098cff6ff43a57df0"/>
      <w:bookmarkStart w:id="52" w:name="zd7bb656478f64eb098cff6ff43a57df0"/>
      <w:bookmarkEnd w:id="52"/>
    </w:p>
    <w:tbl>
      <w:tblPr>
        <w:tblW w:w="4875" w:type="dxa"/>
        <w:jc w:val="left"/>
        <w:tblInd w:w="0" w:type="dxa"/>
        <w:tblLayout w:type="fixed"/>
        <w:tblCellMar>
          <w:top w:w="0" w:type="dxa"/>
          <w:left w:w="0" w:type="dxa"/>
          <w:bottom w:w="28" w:type="dxa"/>
          <w:right w:w="0" w:type="dxa"/>
        </w:tblCellMar>
      </w:tblPr>
      <w:tblGrid>
        <w:gridCol w:w="4875"/>
      </w:tblGrid>
      <w:tr>
        <w:trPr/>
        <w:tc>
          <w:tcPr>
            <w:tcW w:w="4875" w:type="dxa"/>
            <w:tcBorders>
              <w:bottom w:val="single" w:sz="12" w:space="0" w:color="000000"/>
            </w:tcBorders>
            <w:vAlign w:val="center"/>
          </w:tcPr>
          <w:p>
            <w:pPr>
              <w:pStyle w:val="TableContents"/>
              <w:bidi w:val="0"/>
              <w:spacing w:before="0" w:after="0"/>
              <w:ind w:left="55" w:right="55" w:hanging="0"/>
              <w:jc w:val="both"/>
              <w:rPr>
                <w:rFonts w:ascii="Times New Roman" w:hAnsi="Times New Roman"/>
                <w:b/>
                <w:sz w:val="20"/>
              </w:rPr>
            </w:pPr>
            <w:r>
              <w:rPr>
                <w:rFonts w:ascii="Times New Roman" w:hAnsi="Times New Roman"/>
                <w:b/>
                <w:sz w:val="20"/>
              </w:rPr>
              <w:t>CONSOLIDATED STATEMENTS OF INCOME (LOSS)</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U.S. dollars in thousands, except share and per share data</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3" w:name="z1d3e57e752dc4f2da8909326ffdeb941"/>
      <w:bookmarkStart w:id="54" w:name="z1d3e57e752dc4f2da8909326ffdeb941"/>
      <w:bookmarkEnd w:id="54"/>
    </w:p>
    <w:tbl>
      <w:tblPr>
        <w:tblW w:w="10205" w:type="dxa"/>
        <w:jc w:val="left"/>
        <w:tblInd w:w="0" w:type="dxa"/>
        <w:tblLayout w:type="fixed"/>
        <w:tblCellMar>
          <w:top w:w="0" w:type="dxa"/>
          <w:left w:w="0" w:type="dxa"/>
          <w:bottom w:w="0" w:type="dxa"/>
          <w:right w:w="0" w:type="dxa"/>
        </w:tblCellMar>
      </w:tblPr>
      <w:tblGrid>
        <w:gridCol w:w="4925"/>
        <w:gridCol w:w="60"/>
        <w:gridCol w:w="125"/>
        <w:gridCol w:w="1055"/>
        <w:gridCol w:w="80"/>
        <w:gridCol w:w="60"/>
        <w:gridCol w:w="125"/>
        <w:gridCol w:w="1055"/>
        <w:gridCol w:w="80"/>
        <w:gridCol w:w="60"/>
        <w:gridCol w:w="125"/>
        <w:gridCol w:w="1055"/>
        <w:gridCol w:w="80"/>
        <w:gridCol w:w="60"/>
        <w:gridCol w:w="125"/>
        <w:gridCol w:w="1055"/>
        <w:gridCol w:w="80"/>
      </w:tblGrid>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40"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Revenues (1)</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476,826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465,474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943,221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892,967</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revenues: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Traffic acquisition cost (2)</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300,705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297,423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603,084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577,220</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cost of revenues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32,440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71,081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60,829</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cost of revenues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337,347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329,863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674,165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638,049</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Gross profit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139,479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135,611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269,056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254,918</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Research and development,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38,435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37,482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78,015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73,438</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Sales and marketing</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67,156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71,248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139,721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137,138</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26,629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51,677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50,560</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income, net (3)</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(77,000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operating expenses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132,220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135,567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192,413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261,136</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Operating profit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76,643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(6,218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Finance income (expenses), net (4)</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(6,991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(loss) before income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(2,447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76,431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(13,209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benefit (expenses)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(13,048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Net income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4,317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(4,345</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63,383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(13,095</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 per share attributable to Ordinary and Non-voting Ordinary shareholders, basic</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 per share attributable to Ordinary and Non-voting Ordinary shareholders, diluted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9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shares used in computing net income (loss) per share attributable to Ordinary and Non-voting Ordinary shareholders, basic</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278,160,082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313,572,282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280,185,111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327,578,134</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Weighted-average shares used in computing net income (loss) per share attributable to Ordinary and Non-voting Ordinary shareholders, diluted</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291,392,907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313,572,282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290,505,359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327,578,134</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Includes revenues from related party of $79,267 and $46,455, for the three months ended June 30, 2026 and 2025, respectively, and $148,947 and $94,780 for the six months ended June 30, 2026 and 2025, respectively.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Includes traffic acquisition cost to related party of $104,270 and $84,154 for the three months ended June 30, 2026 and 2025, respectively, and $201,060 and $159,556 for the six months ended June 30, 2026 and 2025, respectively.</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See Note 10 Commitments and Contingencies.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Includes loss on extinguishment of debt of $6,597 for the six months ended June 30, 2025.</w:t>
      </w:r>
    </w:p>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5" w:name="z7b8d0f535700478882abcd06c0c5ab16"/>
      <w:bookmarkStart w:id="56" w:name="z7b8d0f535700478882abcd06c0c5ab16"/>
      <w:bookmarkEnd w:id="56"/>
    </w:p>
    <w:tbl>
      <w:tblPr>
        <w:tblW w:w="6645" w:type="dxa"/>
        <w:jc w:val="left"/>
        <w:tblInd w:w="0" w:type="dxa"/>
        <w:tblLayout w:type="fixed"/>
        <w:tblCellMar>
          <w:top w:w="0" w:type="dxa"/>
          <w:left w:w="0" w:type="dxa"/>
          <w:bottom w:w="28" w:type="dxa"/>
          <w:right w:w="0" w:type="dxa"/>
        </w:tblCellMar>
      </w:tblPr>
      <w:tblGrid>
        <w:gridCol w:w="6645"/>
      </w:tblGrid>
      <w:tr>
        <w:trPr/>
        <w:tc>
          <w:tcPr>
            <w:tcW w:w="6645" w:type="dxa"/>
            <w:tcBorders>
              <w:bottom w:val="single" w:sz="12" w:space="0" w:color="000000"/>
            </w:tcBorders>
            <w:vAlign w:val="center"/>
          </w:tcPr>
          <w:p>
            <w:pPr>
              <w:pStyle w:val="TableContents"/>
              <w:bidi w:val="0"/>
              <w:spacing w:before="0" w:after="0"/>
              <w:ind w:left="55" w:right="55" w:hanging="0"/>
              <w:jc w:val="both"/>
              <w:rPr>
                <w:rFonts w:ascii="Times New Roman" w:hAnsi="Times New Roman"/>
                <w:b/>
                <w:sz w:val="20"/>
              </w:rPr>
            </w:pPr>
            <w:r>
              <w:rPr>
                <w:rFonts w:ascii="Times New Roman" w:hAnsi="Times New Roman"/>
                <w:b/>
                <w:sz w:val="20"/>
              </w:rPr>
              <w:t>CONSOLIDATED STATEMENTS OF COMPREHENSIVE INCOME (LOSS)</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U.S. dollars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7" w:name="z3d4353b59be649c3ad22889ad3a3064e"/>
      <w:bookmarkStart w:id="58" w:name="z3d4353b59be649c3ad22889ad3a3064e"/>
      <w:bookmarkEnd w:id="58"/>
    </w:p>
    <w:tbl>
      <w:tblPr>
        <w:tblW w:w="7463" w:type="dxa"/>
        <w:jc w:val="left"/>
        <w:tblInd w:w="0" w:type="dxa"/>
        <w:tblLayout w:type="fixed"/>
        <w:tblCellMar>
          <w:top w:w="0" w:type="dxa"/>
          <w:left w:w="0" w:type="dxa"/>
          <w:bottom w:w="0" w:type="dxa"/>
          <w:right w:w="0" w:type="dxa"/>
        </w:tblCellMar>
      </w:tblPr>
      <w:tblGrid>
        <w:gridCol w:w="3845"/>
        <w:gridCol w:w="60"/>
        <w:gridCol w:w="154"/>
        <w:gridCol w:w="599"/>
        <w:gridCol w:w="74"/>
        <w:gridCol w:w="74"/>
        <w:gridCol w:w="154"/>
        <w:gridCol w:w="673"/>
        <w:gridCol w:w="80"/>
        <w:gridCol w:w="60"/>
        <w:gridCol w:w="125"/>
        <w:gridCol w:w="590"/>
        <w:gridCol w:w="60"/>
        <w:gridCol w:w="60"/>
        <w:gridCol w:w="125"/>
        <w:gridCol w:w="650"/>
        <w:gridCol w:w="80"/>
      </w:tblGrid>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2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78"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80"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4,317</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73"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63,383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(13,095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comprehensive income:</w:t>
            </w:r>
          </w:p>
        </w:tc>
        <w:tc>
          <w:tcPr>
            <w:tcW w:w="6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Unrealized gains on derivative instruments, net</w:t>
            </w:r>
          </w:p>
        </w:tc>
        <w:tc>
          <w:tcPr>
            <w:tcW w:w="60" w:type="dxa"/>
            <w:tcBorders/>
            <w:shd w:fill="CCEEFF" w:val="cle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1,845</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2,350</w:t>
            </w:r>
          </w:p>
        </w:tc>
        <w:tc>
          <w:tcPr>
            <w:tcW w:w="80"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comprehensive income</w:t>
            </w:r>
          </w:p>
        </w:tc>
        <w:tc>
          <w:tcPr>
            <w:tcW w:w="60" w:type="dxa"/>
            <w:tcBorders/>
            <w:vAlign w:val="bottom"/>
          </w:tcPr>
          <w:p>
            <w:pPr>
              <w:pStyle w:val="TableContents"/>
              <w:bidi w:val="0"/>
              <w:spacing w:before="0" w:after="283"/>
              <w:jc w:val="lef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1,845</w:t>
            </w:r>
          </w:p>
        </w:tc>
        <w:tc>
          <w:tcPr>
            <w:tcW w:w="74"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4" w:type="dxa"/>
            <w:tcBorders>
              <w:bottom w:val="single" w:sz="12" w:space="0" w:color="000000"/>
            </w:tcBorders>
            <w:tcMar>
              <w:bottom w:w="28" w:type="dxa"/>
            </w:tcMar>
            <w:vAlign w:val="bottom"/>
          </w:tcPr>
          <w:p>
            <w:pPr>
              <w:pStyle w:val="TableContents"/>
              <w:bidi w:val="0"/>
              <w:spacing w:before="0" w:after="283"/>
              <w:jc w:val="left"/>
              <w:rPr/>
            </w:pPr>
            <w:r>
              <w:rPr/>
              <w:t> </w:t>
            </w:r>
          </w:p>
        </w:tc>
        <w:tc>
          <w:tcPr>
            <w:tcW w:w="67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2,350</w:t>
            </w:r>
          </w:p>
        </w:tc>
        <w:tc>
          <w:tcPr>
            <w:tcW w:w="80"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Comprehensive income (loss)</w:t>
            </w:r>
          </w:p>
        </w:tc>
        <w:tc>
          <w:tcPr>
            <w:tcW w:w="60" w:type="dxa"/>
            <w:tcBorders/>
            <w:shd w:fill="CCEEFF" w:val="cle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6,162</w:t>
            </w:r>
          </w:p>
        </w:tc>
        <w:tc>
          <w:tcPr>
            <w:tcW w:w="74"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7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(804</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64,360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(10,745</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9" w:name="z454e7ee6bba14d5c9a820f2c178a5cab"/>
      <w:bookmarkStart w:id="60" w:name="z454e7ee6bba14d5c9a820f2c178a5cab"/>
      <w:bookmarkEnd w:id="60"/>
    </w:p>
    <w:tbl>
      <w:tblPr>
        <w:tblW w:w="6300" w:type="dxa"/>
        <w:jc w:val="left"/>
        <w:tblInd w:w="0" w:type="dxa"/>
        <w:tblLayout w:type="fixed"/>
        <w:tblCellMar>
          <w:top w:w="0" w:type="dxa"/>
          <w:left w:w="0" w:type="dxa"/>
          <w:bottom w:w="28" w:type="dxa"/>
          <w:right w:w="0" w:type="dxa"/>
        </w:tblCellMar>
      </w:tblPr>
      <w:tblGrid>
        <w:gridCol w:w="6300"/>
      </w:tblGrid>
      <w:tr>
        <w:trPr/>
        <w:tc>
          <w:tcPr>
            <w:tcW w:w="6300" w:type="dxa"/>
            <w:tcBorders>
              <w:bottom w:val="single" w:sz="12" w:space="0" w:color="000000"/>
            </w:tcBorders>
            <w:vAlign w:val="center"/>
          </w:tcPr>
          <w:p>
            <w:pPr>
              <w:pStyle w:val="TableContents"/>
              <w:bidi w:val="0"/>
              <w:spacing w:before="0" w:after="0"/>
              <w:ind w:left="55" w:right="55" w:hanging="0"/>
              <w:jc w:val="both"/>
              <w:rPr>
                <w:rFonts w:ascii="Times New Roman" w:hAnsi="Times New Roman"/>
                <w:b/>
                <w:sz w:val="20"/>
              </w:rPr>
            </w:pPr>
            <w:r>
              <w:rPr>
                <w:rFonts w:ascii="Times New Roman" w:hAnsi="Times New Roman"/>
                <w:b/>
                <w:sz w:val="20"/>
              </w:rPr>
              <w:t>SHARE-BASED COMPENSATION BREAK-DOWN BY EXPENSE LINE</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U.S. dollars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1" w:name="z109e5c5f937a4149a1776cbf679158bf"/>
      <w:bookmarkStart w:id="62" w:name="z109e5c5f937a4149a1776cbf679158bf"/>
      <w:bookmarkEnd w:id="62"/>
    </w:p>
    <w:tbl>
      <w:tblPr>
        <w:tblW w:w="7046" w:type="dxa"/>
        <w:jc w:val="left"/>
        <w:tblInd w:w="0" w:type="dxa"/>
        <w:tblLayout w:type="fixed"/>
        <w:tblCellMar>
          <w:top w:w="0" w:type="dxa"/>
          <w:left w:w="0" w:type="dxa"/>
          <w:bottom w:w="0" w:type="dxa"/>
          <w:right w:w="0" w:type="dxa"/>
        </w:tblCellMar>
      </w:tblPr>
      <w:tblGrid>
        <w:gridCol w:w="3530"/>
        <w:gridCol w:w="60"/>
        <w:gridCol w:w="139"/>
        <w:gridCol w:w="658"/>
        <w:gridCol w:w="66"/>
        <w:gridCol w:w="66"/>
        <w:gridCol w:w="139"/>
        <w:gridCol w:w="658"/>
        <w:gridCol w:w="60"/>
        <w:gridCol w:w="60"/>
        <w:gridCol w:w="125"/>
        <w:gridCol w:w="590"/>
        <w:gridCol w:w="60"/>
        <w:gridCol w:w="60"/>
        <w:gridCol w:w="125"/>
        <w:gridCol w:w="590"/>
        <w:gridCol w:w="60"/>
      </w:tblGrid>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6"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6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revenues</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710</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1,823</w:t>
            </w:r>
          </w:p>
        </w:tc>
        <w:tc>
          <w:tcPr>
            <w:tcW w:w="60"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4,524</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13,128</w:t>
            </w:r>
          </w:p>
        </w:tc>
        <w:tc>
          <w:tcPr>
            <w:tcW w:w="6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Sales and marketing</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4,481</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8,823</w:t>
            </w:r>
          </w:p>
        </w:tc>
        <w:tc>
          <w:tcPr>
            <w:tcW w:w="60" w:type="dxa"/>
            <w:tcBorders/>
            <w:shd w:fill="CCEEFF" w:val="clear"/>
            <w:vAlign w:val="bottom"/>
          </w:tcPr>
          <w:p>
            <w:pPr>
              <w:pStyle w:val="TableContents"/>
              <w:bidi w:val="0"/>
              <w:spacing w:before="0" w:after="283"/>
              <w:jc w:val="left"/>
              <w:rPr/>
            </w:pPr>
            <w:r>
              <w:rPr/>
              <w:t> </w:t>
            </w:r>
          </w:p>
        </w:tc>
      </w:tr>
      <w:tr>
        <w:trPr/>
        <w:tc>
          <w:tcPr>
            <w:tcW w:w="353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4,412</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8,315</w:t>
            </w:r>
          </w:p>
        </w:tc>
        <w:tc>
          <w:tcPr>
            <w:tcW w:w="60" w:type="dxa"/>
            <w:tcBorders/>
            <w:vAlign w:val="bottom"/>
          </w:tcPr>
          <w:p>
            <w:pPr>
              <w:pStyle w:val="TableContents"/>
              <w:bidi w:val="0"/>
              <w:spacing w:before="0" w:after="283"/>
              <w:jc w:val="left"/>
              <w:rPr/>
            </w:pPr>
            <w:r>
              <w:rPr/>
              <w:t> </w:t>
            </w:r>
          </w:p>
        </w:tc>
      </w:tr>
      <w:tr>
        <w:trPr/>
        <w:tc>
          <w:tcPr>
            <w:tcW w:w="353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share-based compensation expenses</w:t>
            </w:r>
          </w:p>
        </w:tc>
        <w:tc>
          <w:tcPr>
            <w:tcW w:w="60" w:type="dxa"/>
            <w:tcBorders/>
            <w:shd w:fill="CCEEFF" w:val="clear"/>
            <w:vAlign w:val="bottom"/>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14,127</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16,572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28,322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32,089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3" w:name="z7e03c2491ac24fd8a4e9c2733a58b02f"/>
      <w:bookmarkStart w:id="64" w:name="z7e03c2491ac24fd8a4e9c2733a58b02f"/>
      <w:bookmarkEnd w:id="64"/>
    </w:p>
    <w:tbl>
      <w:tblPr>
        <w:tblW w:w="6870" w:type="dxa"/>
        <w:jc w:val="left"/>
        <w:tblInd w:w="0" w:type="dxa"/>
        <w:tblLayout w:type="fixed"/>
        <w:tblCellMar>
          <w:top w:w="0" w:type="dxa"/>
          <w:left w:w="0" w:type="dxa"/>
          <w:bottom w:w="28" w:type="dxa"/>
          <w:right w:w="0" w:type="dxa"/>
        </w:tblCellMar>
      </w:tblPr>
      <w:tblGrid>
        <w:gridCol w:w="6870"/>
      </w:tblGrid>
      <w:tr>
        <w:trPr/>
        <w:tc>
          <w:tcPr>
            <w:tcW w:w="6870" w:type="dxa"/>
            <w:tcBorders>
              <w:bottom w:val="single" w:sz="12" w:space="0" w:color="000000"/>
            </w:tcBorders>
            <w:vAlign w:val="center"/>
          </w:tcPr>
          <w:p>
            <w:pPr>
              <w:pStyle w:val="TableContents"/>
              <w:bidi w:val="0"/>
              <w:spacing w:before="0" w:after="0"/>
              <w:ind w:left="55" w:right="55" w:hanging="0"/>
              <w:jc w:val="both"/>
              <w:rPr>
                <w:rFonts w:ascii="Times New Roman" w:hAnsi="Times New Roman"/>
                <w:b/>
                <w:sz w:val="20"/>
              </w:rPr>
            </w:pPr>
            <w:r>
              <w:rPr>
                <w:rFonts w:ascii="Times New Roman" w:hAnsi="Times New Roman"/>
                <w:b/>
                <w:sz w:val="20"/>
              </w:rPr>
              <w:t>DEPRECIATION AND AMORTIZATION BREAK-DOWN BY EXPENSE LINE</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U.S. dollars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5" w:name="z20e8c28277604cc98adda1c9b2e62c77"/>
      <w:bookmarkStart w:id="66" w:name="z20e8c28277604cc98adda1c9b2e62c77"/>
      <w:bookmarkEnd w:id="66"/>
    </w:p>
    <w:tbl>
      <w:tblPr>
        <w:tblW w:w="7331" w:type="dxa"/>
        <w:jc w:val="left"/>
        <w:tblInd w:w="0" w:type="dxa"/>
        <w:tblLayout w:type="fixed"/>
        <w:tblCellMar>
          <w:top w:w="0" w:type="dxa"/>
          <w:left w:w="0" w:type="dxa"/>
          <w:bottom w:w="0" w:type="dxa"/>
          <w:right w:w="0" w:type="dxa"/>
        </w:tblCellMar>
      </w:tblPr>
      <w:tblGrid>
        <w:gridCol w:w="3815"/>
        <w:gridCol w:w="60"/>
        <w:gridCol w:w="139"/>
        <w:gridCol w:w="658"/>
        <w:gridCol w:w="66"/>
        <w:gridCol w:w="66"/>
        <w:gridCol w:w="139"/>
        <w:gridCol w:w="658"/>
        <w:gridCol w:w="60"/>
        <w:gridCol w:w="60"/>
        <w:gridCol w:w="125"/>
        <w:gridCol w:w="590"/>
        <w:gridCol w:w="60"/>
        <w:gridCol w:w="60"/>
        <w:gridCol w:w="125"/>
        <w:gridCol w:w="590"/>
        <w:gridCol w:w="60"/>
      </w:tblGrid>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96"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60"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revenues</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9,469</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8,744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17,443</w:t>
            </w:r>
          </w:p>
        </w:tc>
        <w:tc>
          <w:tcPr>
            <w:tcW w:w="60"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733</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1,055</w:t>
            </w:r>
          </w:p>
        </w:tc>
        <w:tc>
          <w:tcPr>
            <w:tcW w:w="60"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Sales and marketing</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422</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22,453</w:t>
            </w:r>
          </w:p>
        </w:tc>
        <w:tc>
          <w:tcPr>
            <w:tcW w:w="60" w:type="dxa"/>
            <w:tcBorders/>
            <w:shd w:fill="CCEEFF" w:val="clear"/>
            <w:vAlign w:val="bottom"/>
          </w:tcPr>
          <w:p>
            <w:pPr>
              <w:pStyle w:val="TableContents"/>
              <w:bidi w:val="0"/>
              <w:spacing w:before="0" w:after="283"/>
              <w:jc w:val="left"/>
              <w:rPr/>
            </w:pPr>
            <w:r>
              <w:rPr/>
              <w:t> </w:t>
            </w:r>
          </w:p>
        </w:tc>
      </w:tr>
      <w:tr>
        <w:trPr/>
        <w:tc>
          <w:tcPr>
            <w:tcW w:w="38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144</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495</w:t>
            </w:r>
          </w:p>
        </w:tc>
        <w:tc>
          <w:tcPr>
            <w:tcW w:w="60"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depreciation and amortization expense</w:t>
            </w:r>
          </w:p>
        </w:tc>
        <w:tc>
          <w:tcPr>
            <w:tcW w:w="60" w:type="dxa"/>
            <w:tcBorders/>
            <w:shd w:fill="CCEEFF" w:val="clear"/>
            <w:vAlign w:val="bottom"/>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10,768</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20,776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26,840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41,446</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bookmarkStart w:id="67" w:name="Section14"/>
      <w:bookmarkStart w:id="68" w:name="Section14"/>
      <w:bookmarkEnd w:id="68"/>
    </w:p>
    <w:p>
      <w:pPr>
        <w:pStyle w:val="Normal"/>
        <w:bidi w:val="0"/>
        <w:spacing w:before="0" w:after="0"/>
        <w:jc w:val="left"/>
        <w:rPr>
          <w:sz w:val="4"/>
          <w:szCs w:val="4"/>
        </w:rPr>
      </w:pPr>
      <w:r>
        <w:rPr>
          <w:sz w:val="4"/>
          <w:szCs w:val="4"/>
        </w:rPr>
      </w:r>
      <w:bookmarkStart w:id="69" w:name="zb466ace82ac841199897ee5b5232af02"/>
      <w:bookmarkStart w:id="70" w:name="zb466ace82ac841199897ee5b5232af02"/>
      <w:bookmarkEnd w:id="70"/>
    </w:p>
    <w:tbl>
      <w:tblPr>
        <w:tblW w:w="4595" w:type="dxa"/>
        <w:jc w:val="left"/>
        <w:tblInd w:w="0" w:type="dxa"/>
        <w:tblLayout w:type="fixed"/>
        <w:tblCellMar>
          <w:top w:w="0" w:type="dxa"/>
          <w:left w:w="0" w:type="dxa"/>
          <w:bottom w:w="28" w:type="dxa"/>
          <w:right w:w="0" w:type="dxa"/>
        </w:tblCellMar>
      </w:tblPr>
      <w:tblGrid>
        <w:gridCol w:w="4595"/>
      </w:tblGrid>
      <w:tr>
        <w:trPr/>
        <w:tc>
          <w:tcPr>
            <w:tcW w:w="4595" w:type="dxa"/>
            <w:tcBorders>
              <w:bottom w:val="single" w:sz="12" w:space="0" w:color="000000"/>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CONSOLIDATED STATEMENTS OF CASH FLOWS</w:t>
            </w:r>
          </w:p>
        </w:tc>
      </w:tr>
      <w:tr>
        <w:trPr/>
        <w:tc>
          <w:tcPr>
            <w:tcW w:w="4595" w:type="dxa"/>
            <w:tcBorders/>
            <w:tcMar>
              <w:bottom w:w="0" w:type="dxa"/>
            </w:tcMar>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U.S. dollars in thousands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1" w:name="ze48f577102f14649b9eb77310d0a93bd"/>
      <w:bookmarkStart w:id="72" w:name="ze48f577102f14649b9eb77310d0a93bd"/>
      <w:bookmarkEnd w:id="72"/>
    </w:p>
    <w:tbl>
      <w:tblPr>
        <w:tblW w:w="10205" w:type="dxa"/>
        <w:jc w:val="left"/>
        <w:tblInd w:w="0" w:type="dxa"/>
        <w:tblLayout w:type="fixed"/>
        <w:tblCellMar>
          <w:top w:w="0" w:type="dxa"/>
          <w:left w:w="0" w:type="dxa"/>
          <w:bottom w:w="0" w:type="dxa"/>
          <w:right w:w="0" w:type="dxa"/>
        </w:tblCellMar>
      </w:tblPr>
      <w:tblGrid>
        <w:gridCol w:w="6125"/>
        <w:gridCol w:w="60"/>
        <w:gridCol w:w="125"/>
        <w:gridCol w:w="755"/>
        <w:gridCol w:w="80"/>
        <w:gridCol w:w="60"/>
        <w:gridCol w:w="125"/>
        <w:gridCol w:w="755"/>
        <w:gridCol w:w="80"/>
        <w:gridCol w:w="60"/>
        <w:gridCol w:w="125"/>
        <w:gridCol w:w="755"/>
        <w:gridCol w:w="80"/>
        <w:gridCol w:w="60"/>
        <w:gridCol w:w="125"/>
        <w:gridCol w:w="755"/>
        <w:gridCol w:w="80"/>
      </w:tblGrid>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40"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80" w:type="dxa"/>
            <w:tcBorders/>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flows from operating activities</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63,383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(13,095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Adjustments to reconcile net loss to net cash flows provided by operating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Depreciation, amortization and write-off</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23,705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26,840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44,387</w:t>
            </w:r>
          </w:p>
        </w:tc>
        <w:tc>
          <w:tcPr>
            <w:tcW w:w="80"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Share-based compensation expenses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14,127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32,089</w:t>
            </w:r>
          </w:p>
        </w:tc>
        <w:tc>
          <w:tcPr>
            <w:tcW w:w="80"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gain from financing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(4,675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Revaluation of the Warrants liability</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Amortization of loan and credit facility issuance costs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w:t>
            </w:r>
          </w:p>
        </w:tc>
        <w:tc>
          <w:tcPr>
            <w:tcW w:w="80"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on extinguishment of debt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6,597</w:t>
            </w:r>
          </w:p>
        </w:tc>
        <w:tc>
          <w:tcPr>
            <w:tcW w:w="80"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Commercial agreement asset amortization</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8,119</w:t>
            </w:r>
          </w:p>
        </w:tc>
        <w:tc>
          <w:tcPr>
            <w:tcW w:w="80"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from disposal of property and equipment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Change in operating assets and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Decrease in trade receivables, net (1)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(6,831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9,136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43,426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74,332</w:t>
            </w:r>
          </w:p>
        </w:tc>
        <w:tc>
          <w:tcPr>
            <w:tcW w:w="80"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Decrease in prepaid expenses and other current assets and long-term prepaid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(1,717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2,717</w:t>
            </w:r>
          </w:p>
        </w:tc>
        <w:tc>
          <w:tcPr>
            <w:tcW w:w="80"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Decrease in trade payables (2)</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(4,272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(46,501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(19,721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Increase in accrued expenses and other current liabilities and other long-term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(11,586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(33,782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Decrease (Increase) in deferred taxes, net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(1,689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(4,809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Change in operating lease right of use assets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12,654</w:t>
            </w:r>
          </w:p>
        </w:tc>
        <w:tc>
          <w:tcPr>
            <w:tcW w:w="80"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Change in operating lease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(6,936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(13,943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(9,079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31,253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47,397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139,908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95,508</w:t>
            </w:r>
          </w:p>
        </w:tc>
        <w:tc>
          <w:tcPr>
            <w:tcW w:w="80"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flows from investing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Purchase of property and equipment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(13,937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(13,236</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(32,311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(25,277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Proceeds from maturities of short-term investments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3,780</w:t>
            </w:r>
          </w:p>
        </w:tc>
        <w:tc>
          <w:tcPr>
            <w:tcW w:w="80"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(13,937</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(13,236</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(32,311</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(21,497</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flows from financing activities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Issuance costs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(938</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Exercise of options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3,206</w:t>
            </w:r>
          </w:p>
        </w:tc>
        <w:tc>
          <w:tcPr>
            <w:tcW w:w="80"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Payment of tax withholding for share-based compensation expenses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(1,135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(6,902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(1,977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Repurchase of Ordinary shares and non-voting Ordinary shares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(41,542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(100,666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(64,233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(150,008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Payments on account of repurchase of Ordinary shares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(3,059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(705</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(3,552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Repayment of long-term loan</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(122,736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Proceeds from revolving credit line, net of issuance costs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123,985</w:t>
            </w:r>
          </w:p>
        </w:tc>
        <w:tc>
          <w:tcPr>
            <w:tcW w:w="80"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Additional proceeds from revolving credit line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133,100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76,000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242,100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76,000</w:t>
            </w:r>
          </w:p>
        </w:tc>
        <w:tc>
          <w:tcPr>
            <w:tcW w:w="80" w:type="dxa"/>
            <w:tcBorders/>
            <w:vAlign w:val="bottom"/>
          </w:tcPr>
          <w:p>
            <w:pPr>
              <w:pStyle w:val="TableContents"/>
              <w:bidi w:val="0"/>
              <w:spacing w:before="0" w:after="283"/>
              <w:jc w:val="left"/>
              <w:rPr/>
            </w:pPr>
            <w:r>
              <w:rPr/>
              <w:t> </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Repayment of revolving credit line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(127,500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(114,500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(272,400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(114,500</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Net cash used in financing activities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(35,187</w:t>
            </w:r>
          </w:p>
        </w:tc>
        <w:tc>
          <w:tcPr>
            <w:tcW w:w="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(138,780</w:t>
            </w:r>
          </w:p>
        </w:tc>
        <w:tc>
          <w:tcPr>
            <w:tcW w:w="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(95,849</w:t>
            </w:r>
          </w:p>
        </w:tc>
        <w:tc>
          <w:tcPr>
            <w:tcW w:w="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(190,028</w:t>
            </w:r>
          </w:p>
        </w:tc>
        <w:tc>
          <w:tcPr>
            <w:tcW w:w="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r>
      <w:tr>
        <w:trPr/>
        <w:tc>
          <w:tcPr>
            <w:tcW w:w="6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Exchange rate differences on balances of cash and cash equivalents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3,637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4,675</w:t>
            </w:r>
          </w:p>
        </w:tc>
        <w:tc>
          <w:tcPr>
            <w:tcW w:w="80"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(17,223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(100,982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(111,342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and cash equivalents - at the beginning of the period</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150,275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216,223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120,865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226,583</w:t>
            </w:r>
          </w:p>
        </w:tc>
        <w:tc>
          <w:tcPr>
            <w:tcW w:w="80" w:type="dxa"/>
            <w:tcBorders/>
            <w:shd w:fill="CCEEFF" w:val="clear"/>
            <w:vAlign w:val="bottom"/>
          </w:tcPr>
          <w:p>
            <w:pPr>
              <w:pStyle w:val="TableContents"/>
              <w:bidi w:val="0"/>
              <w:spacing w:before="0" w:after="283"/>
              <w:jc w:val="left"/>
              <w:rPr/>
            </w:pPr>
            <w:r>
              <w:rPr/>
              <w:t> </w:t>
            </w:r>
          </w:p>
        </w:tc>
      </w:tr>
      <w:tr>
        <w:trPr/>
        <w:tc>
          <w:tcPr>
            <w:tcW w:w="612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Cash and cash equivalents - at end of the period</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133,052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115,241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133,052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115,241</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Includes a decrease (increase) in related party trade receivables of $14,032 and $1,553, for the three months ended June 30, 2026 and 2025, respectively, and a decrease (increase) of $(10,550) and $42,125 for the six months ended June 30, 2026 and 2025, respectively.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Includes an increase (decrease) in related party trade payables of $3,083 and $1,494, for the three months ended June 30, 2026 and 2025, respectively,and a (decrease) increase in related party trade payables of $1,773 and $(7,640), for the six months ended June 30, 2026 and 2025, respectively.</w:t>
      </w:r>
    </w:p>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3" w:name="z8a780df4d7694f12b25fcc326936642b"/>
      <w:bookmarkStart w:id="74" w:name="z8a780df4d7694f12b25fcc326936642b"/>
      <w:bookmarkEnd w:id="74"/>
    </w:p>
    <w:tbl>
      <w:tblPr>
        <w:tblW w:w="4680" w:type="dxa"/>
        <w:jc w:val="left"/>
        <w:tblInd w:w="0" w:type="dxa"/>
        <w:tblLayout w:type="fixed"/>
        <w:tblCellMar>
          <w:top w:w="0" w:type="dxa"/>
          <w:left w:w="0" w:type="dxa"/>
          <w:bottom w:w="28" w:type="dxa"/>
          <w:right w:w="0" w:type="dxa"/>
        </w:tblCellMar>
      </w:tblPr>
      <w:tblGrid>
        <w:gridCol w:w="4680"/>
      </w:tblGrid>
      <w:tr>
        <w:trPr/>
        <w:tc>
          <w:tcPr>
            <w:tcW w:w="4680" w:type="dxa"/>
            <w:tcBorders>
              <w:bottom w:val="single" w:sz="12" w:space="0" w:color="000000"/>
            </w:tcBorders>
            <w:vAlign w:val="center"/>
          </w:tcPr>
          <w:p>
            <w:pPr>
              <w:pStyle w:val="TableContents"/>
              <w:bidi w:val="0"/>
              <w:spacing w:before="0" w:after="0"/>
              <w:ind w:left="55" w:right="55" w:hanging="0"/>
              <w:jc w:val="both"/>
              <w:rPr>
                <w:rFonts w:ascii="Times New Roman" w:hAnsi="Times New Roman"/>
                <w:b/>
                <w:sz w:val="20"/>
              </w:rPr>
            </w:pPr>
            <w:r>
              <w:rPr>
                <w:rFonts w:ascii="Times New Roman" w:hAnsi="Times New Roman"/>
                <w:b/>
                <w:sz w:val="20"/>
              </w:rPr>
              <w:t>CONSOLIDATED STATEMENTS OF CASH FLOWS</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U.S. dollars in thousands</w:t>
      </w:r>
    </w:p>
    <w:p>
      <w:pPr>
        <w:pStyle w:val="Normal"/>
        <w:bidi w:val="0"/>
        <w:spacing w:before="0" w:after="0"/>
        <w:jc w:val="left"/>
        <w:rPr>
          <w:sz w:val="4"/>
          <w:szCs w:val="4"/>
        </w:rPr>
      </w:pPr>
      <w:r>
        <w:rPr>
          <w:sz w:val="4"/>
          <w:szCs w:val="4"/>
        </w:rPr>
      </w:r>
      <w:bookmarkStart w:id="75" w:name="z41dcd4df0618463a86311f6f62764cbc"/>
      <w:bookmarkStart w:id="76" w:name="z41dcd4df0618463a86311f6f62764cbc"/>
      <w:bookmarkEnd w:id="76"/>
    </w:p>
    <w:tbl>
      <w:tblPr>
        <w:tblW w:w="9277" w:type="dxa"/>
        <w:jc w:val="left"/>
        <w:tblInd w:w="0" w:type="dxa"/>
        <w:tblLayout w:type="fixed"/>
        <w:tblCellMar>
          <w:top w:w="0" w:type="dxa"/>
          <w:left w:w="0" w:type="dxa"/>
          <w:bottom w:w="0" w:type="dxa"/>
          <w:right w:w="0" w:type="dxa"/>
        </w:tblCellMar>
      </w:tblPr>
      <w:tblGrid>
        <w:gridCol w:w="5825"/>
        <w:gridCol w:w="60"/>
        <w:gridCol w:w="147"/>
        <w:gridCol w:w="572"/>
        <w:gridCol w:w="94"/>
        <w:gridCol w:w="70"/>
        <w:gridCol w:w="147"/>
        <w:gridCol w:w="696"/>
        <w:gridCol w:w="60"/>
        <w:gridCol w:w="60"/>
        <w:gridCol w:w="128"/>
        <w:gridCol w:w="500"/>
        <w:gridCol w:w="61"/>
        <w:gridCol w:w="61"/>
        <w:gridCol w:w="128"/>
        <w:gridCol w:w="608"/>
        <w:gridCol w:w="60"/>
      </w:tblGrid>
      <w:tr>
        <w:trPr/>
        <w:tc>
          <w:tcPr>
            <w:tcW w:w="5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3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32"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60" w:type="dxa"/>
            <w:tcBorders/>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60" w:type="dxa"/>
            <w:tcBorders/>
            <w:vAlign w:val="bottom"/>
          </w:tcPr>
          <w:p>
            <w:pPr>
              <w:pStyle w:val="TableContents"/>
              <w:bidi w:val="0"/>
              <w:spacing w:before="0" w:after="283"/>
              <w:jc w:val="left"/>
              <w:rPr/>
            </w:pPr>
            <w:r>
              <w:rPr/>
              <w:t> </w:t>
            </w:r>
          </w:p>
        </w:tc>
        <w:tc>
          <w:tcPr>
            <w:tcW w:w="719" w:type="dxa"/>
            <w:gridSpan w:val="2"/>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3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Cash paid during the year for:</w:t>
            </w:r>
          </w:p>
        </w:tc>
        <w:tc>
          <w:tcPr>
            <w:tcW w:w="60" w:type="dxa"/>
            <w:tcBorders/>
            <w:vAlign w:val="bottom"/>
          </w:tcPr>
          <w:p>
            <w:pPr>
              <w:pStyle w:val="TableContents"/>
              <w:bidi w:val="0"/>
              <w:spacing w:before="0" w:after="283"/>
              <w:jc w:val="left"/>
              <w:rPr/>
            </w:pPr>
            <w:r>
              <w:rPr/>
              <w:t> </w:t>
            </w:r>
          </w:p>
        </w:tc>
        <w:tc>
          <w:tcPr>
            <w:tcW w:w="719" w:type="dxa"/>
            <w:gridSpan w:val="2"/>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4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8" w:type="dxa"/>
            <w:gridSpan w:val="2"/>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3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58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taxes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6,997</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9,592</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14,207</w:t>
            </w:r>
          </w:p>
        </w:tc>
        <w:tc>
          <w:tcPr>
            <w:tcW w:w="60" w:type="dxa"/>
            <w:tcBorders/>
            <w:shd w:fill="CCEEFF" w:val="clear"/>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Interest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1,333</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2,824</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3,955</w:t>
            </w:r>
          </w:p>
        </w:tc>
        <w:tc>
          <w:tcPr>
            <w:tcW w:w="60" w:type="dxa"/>
            <w:tcBorders/>
            <w:vAlign w:val="bottom"/>
          </w:tcPr>
          <w:p>
            <w:pPr>
              <w:pStyle w:val="TableContents"/>
              <w:bidi w:val="0"/>
              <w:spacing w:before="0" w:after="283"/>
              <w:jc w:val="left"/>
              <w:rPr/>
            </w:pPr>
            <w:r>
              <w:rPr/>
              <w:t> </w:t>
            </w:r>
          </w:p>
        </w:tc>
      </w:tr>
      <w:tr>
        <w:trPr/>
        <w:tc>
          <w:tcPr>
            <w:tcW w:w="58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Non-cash investing and financing activities: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 </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Purchase of property and equipment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2,074</w:t>
            </w:r>
          </w:p>
        </w:tc>
        <w:tc>
          <w:tcPr>
            <w:tcW w:w="9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2,691</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1,898</w:t>
            </w:r>
          </w:p>
        </w:tc>
        <w:tc>
          <w:tcPr>
            <w:tcW w:w="60" w:type="dxa"/>
            <w:tcBorders/>
            <w:vAlign w:val="bottom"/>
          </w:tcPr>
          <w:p>
            <w:pPr>
              <w:pStyle w:val="TableContents"/>
              <w:bidi w:val="0"/>
              <w:spacing w:before="0" w:after="283"/>
              <w:jc w:val="left"/>
              <w:rPr/>
            </w:pPr>
            <w:r>
              <w:rPr/>
              <w:t> </w:t>
            </w:r>
          </w:p>
        </w:tc>
      </w:tr>
      <w:tr>
        <w:trPr/>
        <w:tc>
          <w:tcPr>
            <w:tcW w:w="58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Share-based compensation included in capitalized internal-use software</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552</w:t>
            </w:r>
          </w:p>
        </w:tc>
        <w:tc>
          <w:tcPr>
            <w:tcW w:w="94"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1,020</w:t>
            </w:r>
          </w:p>
        </w:tc>
        <w:tc>
          <w:tcPr>
            <w:tcW w:w="6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727</w:t>
            </w:r>
          </w:p>
        </w:tc>
        <w:tc>
          <w:tcPr>
            <w:tcW w:w="60" w:type="dxa"/>
            <w:tcBorders/>
            <w:shd w:fill="CCEEFF" w:val="clear"/>
            <w:vAlign w:val="bottom"/>
          </w:tcPr>
          <w:p>
            <w:pPr>
              <w:pStyle w:val="TableContents"/>
              <w:bidi w:val="0"/>
              <w:spacing w:before="0" w:after="283"/>
              <w:jc w:val="left"/>
              <w:rPr/>
            </w:pPr>
            <w:r>
              <w:rPr/>
              <w:t> </w:t>
            </w:r>
          </w:p>
        </w:tc>
      </w:tr>
      <w:tr>
        <w:trPr/>
        <w:tc>
          <w:tcPr>
            <w:tcW w:w="58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Exercise of options</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7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(450</w:t>
            </w:r>
          </w:p>
        </w:tc>
        <w:tc>
          <w:tcPr>
            <w:tcW w:w="9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w:t>
            </w:r>
          </w:p>
        </w:tc>
        <w:tc>
          <w:tcPr>
            <w:tcW w:w="6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8"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77" w:name="Section16"/>
      <w:bookmarkEnd w:id="77"/>
      <w:r>
        <w:rPr>
          <w:rFonts w:ascii="Times New Roman" w:hAnsi="Times New Roman"/>
          <w:b/>
          <w:color w:val="000000"/>
          <w:sz w:val="20"/>
        </w:rPr>
        <w:t>APPENDIX: Non-GAAP Reconciliation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78" w:name="Section17"/>
      <w:bookmarkEnd w:id="78"/>
      <w:r>
        <w:rPr>
          <w:rFonts w:ascii="Times New Roman" w:hAnsi="Times New Roman"/>
          <w:b/>
          <w:color w:val="000000"/>
          <w:sz w:val="20"/>
        </w:rPr>
        <w:t>RECONCILIATION OF GAAP TO NON-GAAP FINANCIAL MEASURES FOR THE THREE AND SIX MONTHS ENDED JUNE 30, 2026 AND 2025 (UNAUDITED)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provides a reconciliation of revenues to ex-TAC Gross Profit.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9" w:name="zb706c520661c4f88af56f4f50fbe642b"/>
      <w:bookmarkStart w:id="80" w:name="zb706c520661c4f88af56f4f50fbe642b"/>
      <w:bookmarkEnd w:id="80"/>
    </w:p>
    <w:tbl>
      <w:tblPr>
        <w:tblW w:w="6735" w:type="dxa"/>
        <w:jc w:val="left"/>
        <w:tblInd w:w="0" w:type="dxa"/>
        <w:tblLayout w:type="fixed"/>
        <w:tblCellMar>
          <w:top w:w="0" w:type="dxa"/>
          <w:left w:w="0" w:type="dxa"/>
          <w:bottom w:w="0" w:type="dxa"/>
          <w:right w:w="0" w:type="dxa"/>
        </w:tblCellMar>
      </w:tblPr>
      <w:tblGrid>
        <w:gridCol w:w="2975"/>
        <w:gridCol w:w="60"/>
        <w:gridCol w:w="125"/>
        <w:gridCol w:w="695"/>
        <w:gridCol w:w="60"/>
        <w:gridCol w:w="60"/>
        <w:gridCol w:w="125"/>
        <w:gridCol w:w="695"/>
        <w:gridCol w:w="60"/>
        <w:gridCol w:w="60"/>
        <w:gridCol w:w="125"/>
        <w:gridCol w:w="695"/>
        <w:gridCol w:w="60"/>
        <w:gridCol w:w="60"/>
        <w:gridCol w:w="125"/>
        <w:gridCol w:w="695"/>
        <w:gridCol w:w="60"/>
      </w:tblGrid>
      <w:tr>
        <w:trPr/>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60" w:type="dxa"/>
            <w:tcBorders/>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60" w:type="dxa"/>
            <w:tcBorders/>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40"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(dollars in thousands)</w:t>
            </w:r>
          </w:p>
        </w:tc>
        <w:tc>
          <w:tcPr>
            <w:tcW w:w="60"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Revenues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476,826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465,474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943,221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892,967</w:t>
            </w:r>
          </w:p>
        </w:tc>
        <w:tc>
          <w:tcPr>
            <w:tcW w:w="60" w:type="dxa"/>
            <w:tcBorders/>
            <w:shd w:fill="CCEEFF" w:val="clear"/>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Traffic acquisition cost (1)</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300,705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297,423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603,084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577,220</w:t>
            </w:r>
          </w:p>
        </w:tc>
        <w:tc>
          <w:tcPr>
            <w:tcW w:w="60"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cost of revenues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36,642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32,440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71,081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60,829</w:t>
            </w:r>
          </w:p>
        </w:tc>
        <w:tc>
          <w:tcPr>
            <w:tcW w:w="60" w:type="dxa"/>
            <w:tcBorders/>
            <w:shd w:fill="CCEEFF" w:val="clear"/>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Gross profit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139,479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135,611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269,056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254,918</w:t>
            </w:r>
          </w:p>
        </w:tc>
        <w:tc>
          <w:tcPr>
            <w:tcW w:w="60"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Add back: Other cost of revenues (1)</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52,893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36,522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91,369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68,948</w:t>
            </w:r>
          </w:p>
        </w:tc>
        <w:tc>
          <w:tcPr>
            <w:tcW w:w="60" w:type="dxa"/>
            <w:tcBorders/>
            <w:shd w:fill="CCEEFF" w:val="clear"/>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ex-TAC Gross Profit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192,372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172,133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360,425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323,866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The three and six months ended June 30, 2026, included $4,082 and $8,119 amortization expense of the non-cash based Commercial agreement asset respectively, and $12,169 write-off of Publisher’s prepayments. See Note 1(b) and 2  respectively of Notes to the Unaudited Interim Consolidated  Financial Statements.</w:t>
      </w:r>
    </w:p>
    <w:p>
      <w:pPr>
        <w:pStyle w:val="TextBody"/>
        <w:bidi w:val="0"/>
        <w:spacing w:before="0" w:after="0"/>
        <w:jc w:val="both"/>
        <w:rPr>
          <w:sz w:val="20"/>
        </w:rPr>
      </w:pPr>
      <w:r>
        <w:rPr>
          <w:sz w:val="20"/>
        </w:rPr>
      </w:r>
      <w:bookmarkStart w:id="81" w:name="Section19"/>
      <w:bookmarkStart w:id="82" w:name="Section19"/>
      <w:bookmarkEnd w:id="82"/>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provides a reconciliation of net income (loss) to Adjusted EBITDA.</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3" w:name="zf52b242868f44c1bba992fc07a10d3c9"/>
      <w:bookmarkStart w:id="84" w:name="zf52b242868f44c1bba992fc07a10d3c9"/>
      <w:bookmarkEnd w:id="84"/>
    </w:p>
    <w:tbl>
      <w:tblPr>
        <w:tblW w:w="6688" w:type="dxa"/>
        <w:jc w:val="left"/>
        <w:tblInd w:w="0" w:type="dxa"/>
        <w:tblLayout w:type="fixed"/>
        <w:tblCellMar>
          <w:top w:w="0" w:type="dxa"/>
          <w:left w:w="0" w:type="dxa"/>
          <w:bottom w:w="0" w:type="dxa"/>
          <w:right w:w="0" w:type="dxa"/>
        </w:tblCellMar>
      </w:tblPr>
      <w:tblGrid>
        <w:gridCol w:w="2990"/>
        <w:gridCol w:w="60"/>
        <w:gridCol w:w="137"/>
        <w:gridCol w:w="650"/>
        <w:gridCol w:w="88"/>
        <w:gridCol w:w="66"/>
        <w:gridCol w:w="137"/>
        <w:gridCol w:w="650"/>
        <w:gridCol w:w="80"/>
        <w:gridCol w:w="60"/>
        <w:gridCol w:w="125"/>
        <w:gridCol w:w="650"/>
        <w:gridCol w:w="80"/>
        <w:gridCol w:w="60"/>
        <w:gridCol w:w="125"/>
        <w:gridCol w:w="650"/>
        <w:gridCol w:w="80"/>
      </w:tblGrid>
      <w:tr>
        <w:trPr/>
        <w:tc>
          <w:tcPr>
            <w:tcW w:w="2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8" w:type="dxa"/>
            <w:gridSpan w:val="14"/>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(dollars in thousands)</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Net income (loss)</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4,317</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(4,345</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63,383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(13,095</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r>
      <w:tr>
        <w:trPr/>
        <w:tc>
          <w:tcPr>
            <w:tcW w:w="29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Adjusted to exclude the following:</w:t>
            </w:r>
          </w:p>
        </w:tc>
        <w:tc>
          <w:tcPr>
            <w:tcW w:w="60" w:type="dxa"/>
            <w:tcBorders/>
            <w:vAlign w:val="bottom"/>
          </w:tcPr>
          <w:p>
            <w:pPr>
              <w:pStyle w:val="TableContents"/>
              <w:bidi w:val="0"/>
              <w:spacing w:before="0" w:after="283"/>
              <w:jc w:val="left"/>
              <w:rPr/>
            </w:pPr>
            <w:r>
              <w:rPr/>
              <w:t> </w:t>
            </w:r>
          </w:p>
        </w:tc>
        <w:tc>
          <w:tcPr>
            <w:tcW w:w="787" w:type="dxa"/>
            <w:gridSpan w:val="2"/>
            <w:tcBorders/>
            <w:vAlign w:val="bottom"/>
          </w:tcPr>
          <w:p>
            <w:pPr>
              <w:pStyle w:val="TableContents"/>
              <w:bidi w:val="0"/>
              <w:spacing w:before="0" w:after="0"/>
              <w:jc w:val="right"/>
              <w:rPr>
                <w:color w:val="000000"/>
              </w:rPr>
            </w:pPr>
            <w:r>
              <w:rPr>
                <w:color w:val="000000"/>
              </w:rPr>
              <w:t>​</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7" w:type="dxa"/>
            <w:gridSpan w:val="2"/>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0"/>
              <w:jc w:val="right"/>
              <w:rPr>
                <w:color w:val="000000"/>
              </w:rPr>
            </w:pPr>
            <w:r>
              <w:rPr>
                <w:color w:val="000000"/>
              </w:rPr>
              <w:t>​</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Finance expenses (income), net</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w:t>
            </w:r>
          </w:p>
        </w:tc>
        <w:tc>
          <w:tcPr>
            <w:tcW w:w="8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6,991</w:t>
            </w:r>
          </w:p>
        </w:tc>
        <w:tc>
          <w:tcPr>
            <w:tcW w:w="80"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expenses (benefit)</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2,975</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13,048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29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Depreciation and amortization (1)</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27,019</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27,659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47,128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52,366</w:t>
            </w:r>
          </w:p>
        </w:tc>
        <w:tc>
          <w:tcPr>
            <w:tcW w:w="80"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Share-based compensation expenses</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14,127</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32,089</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Reduction in workforce expenses (2)</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5,970</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r>
      <w:tr>
        <w:trPr/>
        <w:tc>
          <w:tcPr>
            <w:tcW w:w="299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costs (3)</w:t>
            </w:r>
          </w:p>
        </w:tc>
        <w:tc>
          <w:tcPr>
            <w:tcW w:w="60"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1,116</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(75,884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2,876</w:t>
            </w:r>
          </w:p>
        </w:tc>
        <w:tc>
          <w:tcPr>
            <w:tcW w:w="80" w:type="dxa"/>
            <w:tcBorders/>
            <w:vAlign w:val="bottom"/>
          </w:tcPr>
          <w:p>
            <w:pPr>
              <w:pStyle w:val="TableContents"/>
              <w:bidi w:val="0"/>
              <w:spacing w:before="0" w:after="283"/>
              <w:jc w:val="left"/>
              <w:rPr/>
            </w:pPr>
            <w:r>
              <w:rPr/>
              <w:t> </w:t>
            </w:r>
          </w:p>
        </w:tc>
      </w:tr>
      <w:tr>
        <w:trPr/>
        <w:tc>
          <w:tcPr>
            <w:tcW w:w="299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Adjusted EBITDA</w:t>
            </w:r>
          </w:p>
        </w:tc>
        <w:tc>
          <w:tcPr>
            <w:tcW w:w="60"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55,491</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45,178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82,179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81,113</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85" w:name="z604e14d583b24560befd749357c13a91"/>
      <w:bookmarkStart w:id="86" w:name="z604e14d583b24560befd749357c13a91"/>
      <w:bookmarkEnd w:id="86"/>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61"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three and six months ended June 30, 2026, included $4,082 and $8,119 amortization expense of the non-cash based Commercial agreement asset respectively, and $12,169 write-off of Publisher’s prepayments. See Note 1(b) and 2  respectively of Notes to the Unaudited Interim Consolidated  Financial Statements.</w:t>
            </w:r>
          </w:p>
        </w:tc>
      </w:tr>
    </w:tbl>
    <w:p>
      <w:pPr>
        <w:pStyle w:val="Normal"/>
        <w:bidi w:val="0"/>
        <w:spacing w:before="0" w:after="0"/>
        <w:jc w:val="left"/>
        <w:rPr>
          <w:sz w:val="4"/>
          <w:szCs w:val="4"/>
        </w:rPr>
      </w:pPr>
      <w:r>
        <w:rPr>
          <w:sz w:val="4"/>
          <w:szCs w:val="4"/>
        </w:rPr>
      </w:r>
      <w:bookmarkStart w:id="87" w:name="z65063373378143bb897c45c3dbad1d44"/>
      <w:bookmarkStart w:id="88" w:name="z65063373378143bb897c45c3dbad1d44"/>
      <w:bookmarkEnd w:id="88"/>
    </w:p>
    <w:tbl>
      <w:tblPr>
        <w:tblW w:w="7758" w:type="dxa"/>
        <w:jc w:val="left"/>
        <w:tblInd w:w="0" w:type="dxa"/>
        <w:tblLayout w:type="fixed"/>
        <w:tblCellMar>
          <w:top w:w="0" w:type="dxa"/>
          <w:left w:w="0" w:type="dxa"/>
          <w:bottom w:w="0" w:type="dxa"/>
          <w:right w:w="0" w:type="dxa"/>
        </w:tblCellMar>
      </w:tblPr>
      <w:tblGrid>
        <w:gridCol w:w="38"/>
        <w:gridCol w:w="245"/>
        <w:gridCol w:w="747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747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Costs associated with the Company’s reduction of its workforce implemented in April 2026.</w:t>
            </w:r>
          </w:p>
        </w:tc>
      </w:tr>
    </w:tbl>
    <w:p>
      <w:pPr>
        <w:pStyle w:val="Normal"/>
        <w:bidi w:val="0"/>
        <w:spacing w:before="0" w:after="0"/>
        <w:jc w:val="left"/>
        <w:rPr>
          <w:sz w:val="4"/>
          <w:szCs w:val="4"/>
        </w:rPr>
      </w:pPr>
      <w:r>
        <w:rPr>
          <w:sz w:val="4"/>
          <w:szCs w:val="4"/>
        </w:rPr>
      </w:r>
      <w:bookmarkStart w:id="89" w:name="zf9fe9d6d5df54195b37270c639e89be0"/>
      <w:bookmarkStart w:id="90" w:name="zf9fe9d6d5df54195b37270c639e89be0"/>
      <w:bookmarkEnd w:id="90"/>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pPr>
            <w:r>
              <w:rPr/>
            </w:r>
          </w:p>
        </w:tc>
        <w:tc>
          <w:tcPr>
            <w:tcW w:w="19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73"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three and six months ended June 30, 2026, includes expenses related to a litigation matter in which the Company is the plaintiff and is not related to our ongoing business operations in the amount of $1,116 and the six months ended June 30, 2026 included a pre-tax income of approximately $77,000, net of legal fees and other related expenses related to a binding settlement agreement regarding a legal matter in which the Company acted as the plaintiff. The three and six months ended June 30, 2025, includes professional and legal expenses related to a litigation matter in which the Company is the plaintiff and is not related to our ongoing business operations it the amount of $904 and $2,876, respectively.</w:t>
            </w:r>
          </w:p>
        </w:tc>
      </w:tr>
    </w:tbl>
    <w:p>
      <w:pPr>
        <w:pStyle w:val="TextBody"/>
        <w:bidi w:val="0"/>
        <w:spacing w:before="0" w:after="0"/>
        <w:jc w:val="left"/>
        <w:rPr>
          <w:sz w:val="20"/>
        </w:rPr>
      </w:pPr>
      <w:r>
        <w:rPr>
          <w:sz w:val="20"/>
        </w:rPr>
      </w:r>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provides a reconciliation of net income (loss) to Non-GAAP Net Income (loss).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1" w:name="z0c8e628fb11e4ab8ad783d1b5106e839"/>
      <w:bookmarkStart w:id="92" w:name="z0c8e628fb11e4ab8ad783d1b5106e839"/>
      <w:bookmarkEnd w:id="92"/>
    </w:p>
    <w:tbl>
      <w:tblPr>
        <w:tblW w:w="7663" w:type="dxa"/>
        <w:jc w:val="left"/>
        <w:tblInd w:w="0" w:type="dxa"/>
        <w:tblLayout w:type="fixed"/>
        <w:tblCellMar>
          <w:top w:w="0" w:type="dxa"/>
          <w:left w:w="0" w:type="dxa"/>
          <w:bottom w:w="0" w:type="dxa"/>
          <w:right w:w="0" w:type="dxa"/>
        </w:tblCellMar>
      </w:tblPr>
      <w:tblGrid>
        <w:gridCol w:w="3965"/>
        <w:gridCol w:w="60"/>
        <w:gridCol w:w="137"/>
        <w:gridCol w:w="650"/>
        <w:gridCol w:w="88"/>
        <w:gridCol w:w="66"/>
        <w:gridCol w:w="137"/>
        <w:gridCol w:w="650"/>
        <w:gridCol w:w="80"/>
        <w:gridCol w:w="60"/>
        <w:gridCol w:w="125"/>
        <w:gridCol w:w="650"/>
        <w:gridCol w:w="80"/>
        <w:gridCol w:w="60"/>
        <w:gridCol w:w="125"/>
        <w:gridCol w:w="650"/>
        <w:gridCol w:w="80"/>
      </w:tblGrid>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58" w:type="dxa"/>
            <w:gridSpan w:val="14"/>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(dollars in thousands)</w:t>
            </w:r>
          </w:p>
        </w:tc>
        <w:tc>
          <w:tcPr>
            <w:tcW w:w="8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Net income (loss)</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4,317</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(4,345</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63,383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(13,095</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r>
      <w:tr>
        <w:trPr/>
        <w:tc>
          <w:tcPr>
            <w:tcW w:w="396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Amortization of intangible assets (1)</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19,210</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31,635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35,611</w:t>
            </w:r>
          </w:p>
        </w:tc>
        <w:tc>
          <w:tcPr>
            <w:tcW w:w="8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Share-based compensation expenses</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14,127</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16,572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28,322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32,089</w:t>
            </w:r>
          </w:p>
        </w:tc>
        <w:tc>
          <w:tcPr>
            <w:tcW w:w="8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Other costs (2)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1,116</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(75,884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2,876</w:t>
            </w:r>
          </w:p>
        </w:tc>
        <w:tc>
          <w:tcPr>
            <w:tcW w:w="80" w:type="dxa"/>
            <w:tcBorders/>
            <w:vAlign w:val="bottom"/>
          </w:tcPr>
          <w:p>
            <w:pPr>
              <w:pStyle w:val="TableContents"/>
              <w:bidi w:val="0"/>
              <w:spacing w:before="0" w:after="283"/>
              <w:jc w:val="left"/>
              <w:rPr/>
            </w:pPr>
            <w:r>
              <w:rPr/>
              <w:t> </w:t>
            </w:r>
          </w:p>
        </w:tc>
      </w:tr>
      <w:tr>
        <w:trPr/>
        <w:tc>
          <w:tcPr>
            <w:tcW w:w="39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Reduction in workforce expenses (3)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5,970</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5,970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Revaluation of Warrants</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(105</w:t>
            </w:r>
          </w:p>
        </w:tc>
        <w:tc>
          <w:tcPr>
            <w:tcW w:w="8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(823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9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Foreign currency exchange rate gains (losses) (4)</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(546</w:t>
            </w:r>
          </w:p>
        </w:tc>
        <w:tc>
          <w:tcPr>
            <w:tcW w:w="8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(1,227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96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Income tax effects</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(2,809</w:t>
            </w:r>
          </w:p>
        </w:tc>
        <w:tc>
          <w:tcPr>
            <w:tcW w:w="8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(1,918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6,777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(6,788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96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Loss on extinguishment of debt (5)</w:t>
            </w:r>
          </w:p>
        </w:tc>
        <w:tc>
          <w:tcPr>
            <w:tcW w:w="60"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color w:val="000000"/>
              </w:rPr>
            </w:pPr>
            <w:r>
              <w:rPr>
                <w:color w:val="00000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6,597</w:t>
            </w:r>
          </w:p>
        </w:tc>
        <w:tc>
          <w:tcPr>
            <w:tcW w:w="80" w:type="dxa"/>
            <w:tcBorders/>
            <w:shd w:fill="CCEEFF" w:val="clear"/>
            <w:vAlign w:val="bottom"/>
          </w:tcPr>
          <w:p>
            <w:pPr>
              <w:pStyle w:val="TableContents"/>
              <w:bidi w:val="0"/>
              <w:spacing w:before="0" w:after="283"/>
              <w:jc w:val="left"/>
              <w:rPr/>
            </w:pPr>
            <w:r>
              <w:rPr/>
              <w:t> </w:t>
            </w:r>
          </w:p>
        </w:tc>
      </w:tr>
      <w:tr>
        <w:trPr/>
        <w:tc>
          <w:tcPr>
            <w:tcW w:w="396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Non-GAAP Net Income</w:t>
            </w:r>
          </w:p>
        </w:tc>
        <w:tc>
          <w:tcPr>
            <w:tcW w:w="60"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41,280</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37"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30,209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58,475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55,208</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3" w:name="z8e644acd5c7242c4bbd7b540c28708f1"/>
      <w:bookmarkStart w:id="94" w:name="z8e644acd5c7242c4bbd7b540c28708f1"/>
      <w:bookmarkEnd w:id="94"/>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61"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three and six months ended June 30, 2026, included $4,082 and $8,119 amortization expense of the non-cash based Commercial agreement asset respectively, and $12,169 write-off of Publisher’s prepayment. See Note 1(b) and 2 respectively of Notes to the Unaudited Interim Consolidated  Financial Statements.</w:t>
            </w:r>
          </w:p>
        </w:tc>
      </w:tr>
    </w:tbl>
    <w:p>
      <w:pPr>
        <w:pStyle w:val="Normal"/>
        <w:bidi w:val="0"/>
        <w:spacing w:before="0" w:after="0"/>
        <w:jc w:val="left"/>
        <w:rPr>
          <w:sz w:val="4"/>
          <w:szCs w:val="4"/>
        </w:rPr>
      </w:pPr>
      <w:r>
        <w:rPr>
          <w:sz w:val="4"/>
          <w:szCs w:val="4"/>
        </w:rPr>
      </w:r>
      <w:bookmarkStart w:id="95" w:name="z77fcc1c83154472495738d4e59b1cd91"/>
      <w:bookmarkStart w:id="96" w:name="z77fcc1c83154472495738d4e59b1cd91"/>
      <w:bookmarkEnd w:id="96"/>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pPr>
            <w:r>
              <w:rPr/>
            </w:r>
          </w:p>
        </w:tc>
        <w:tc>
          <w:tcPr>
            <w:tcW w:w="19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73"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The three and six months ended June 30, 2026, include expenses related to a litigation matter in which the Company is the plaintiff and is not related to our ongoing business operations in the amount of $1,116 and the six months ended June 30, 2026 included a pre-tax income of approximately $77,000, net of legal fees and other related expenses related to a binding settlement agreement regarding a legal matter in which the Company acted as the plaintiff. The three and six months ended June 30, 2025, include professional and legal expenses related to a litigation matter in which the Company is the plaintiff and is not related to our ongoing business operations it the amount of $904 and $2,876, respectively.</w:t>
            </w:r>
          </w:p>
        </w:tc>
      </w:tr>
    </w:tbl>
    <w:p>
      <w:pPr>
        <w:pStyle w:val="Normal"/>
        <w:bidi w:val="0"/>
        <w:spacing w:before="0" w:after="0"/>
        <w:jc w:val="left"/>
        <w:rPr>
          <w:sz w:val="4"/>
          <w:szCs w:val="4"/>
        </w:rPr>
      </w:pPr>
      <w:r>
        <w:rPr>
          <w:sz w:val="4"/>
          <w:szCs w:val="4"/>
        </w:rPr>
      </w:r>
      <w:bookmarkStart w:id="97" w:name="z1fc621ff44b045febeb27cd15e6428d4"/>
      <w:bookmarkStart w:id="98" w:name="z1fc621ff44b045febeb27cd15e6428d4"/>
      <w:bookmarkEnd w:id="98"/>
    </w:p>
    <w:tbl>
      <w:tblPr>
        <w:tblW w:w="7758" w:type="dxa"/>
        <w:jc w:val="left"/>
        <w:tblInd w:w="0" w:type="dxa"/>
        <w:tblLayout w:type="fixed"/>
        <w:tblCellMar>
          <w:top w:w="0" w:type="dxa"/>
          <w:left w:w="0" w:type="dxa"/>
          <w:bottom w:w="0" w:type="dxa"/>
          <w:right w:w="0" w:type="dxa"/>
        </w:tblCellMar>
      </w:tblPr>
      <w:tblGrid>
        <w:gridCol w:w="38"/>
        <w:gridCol w:w="245"/>
        <w:gridCol w:w="747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747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Costs associated with the Company’s reduction of its workforce implemented in April 2026.</w:t>
            </w:r>
          </w:p>
        </w:tc>
      </w:tr>
    </w:tbl>
    <w:p>
      <w:pPr>
        <w:pStyle w:val="Normal"/>
        <w:bidi w:val="0"/>
        <w:spacing w:before="0" w:after="0"/>
        <w:jc w:val="left"/>
        <w:rPr>
          <w:sz w:val="4"/>
          <w:szCs w:val="4"/>
        </w:rPr>
      </w:pPr>
      <w:r>
        <w:rPr>
          <w:sz w:val="4"/>
          <w:szCs w:val="4"/>
        </w:rPr>
      </w:r>
      <w:bookmarkStart w:id="99" w:name="z99eb7ad8422b444c9c015dfb73cc0919"/>
      <w:bookmarkStart w:id="100" w:name="z99eb7ad8422b444c9c015dfb73cc0919"/>
      <w:bookmarkEnd w:id="100"/>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pPr>
            <w:r>
              <w:rPr/>
            </w:r>
          </w:p>
        </w:tc>
        <w:tc>
          <w:tcPr>
            <w:tcW w:w="2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51"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Represents foreign currency exchange rate gains or losses related to the remeasurement of monetary assets and liabilities to the Company’s functional currency using exchange rates in effect at the end of the reporting period.</w:t>
            </w:r>
          </w:p>
        </w:tc>
      </w:tr>
    </w:tbl>
    <w:p>
      <w:pPr>
        <w:pStyle w:val="Normal"/>
        <w:bidi w:val="0"/>
        <w:spacing w:before="0" w:after="0"/>
        <w:jc w:val="left"/>
        <w:rPr>
          <w:sz w:val="4"/>
          <w:szCs w:val="4"/>
        </w:rPr>
      </w:pPr>
      <w:r>
        <w:rPr>
          <w:sz w:val="4"/>
          <w:szCs w:val="4"/>
        </w:rPr>
      </w:r>
      <w:bookmarkStart w:id="101" w:name="z1f109b2fa7d14c359a2600a103b1b7d5"/>
      <w:bookmarkStart w:id="102" w:name="z1f109b2fa7d14c359a2600a103b1b7d5"/>
      <w:bookmarkEnd w:id="102"/>
    </w:p>
    <w:tbl>
      <w:tblPr>
        <w:tblW w:w="6873" w:type="dxa"/>
        <w:jc w:val="left"/>
        <w:tblInd w:w="0" w:type="dxa"/>
        <w:tblLayout w:type="fixed"/>
        <w:tblCellMar>
          <w:top w:w="0" w:type="dxa"/>
          <w:left w:w="0" w:type="dxa"/>
          <w:bottom w:w="0" w:type="dxa"/>
          <w:right w:w="0" w:type="dxa"/>
        </w:tblCellMar>
      </w:tblPr>
      <w:tblGrid>
        <w:gridCol w:w="38"/>
        <w:gridCol w:w="245"/>
        <w:gridCol w:w="659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659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See Note 7 of Notes to the Unaudited Consolidated Interim Financial Statements.</w:t>
            </w:r>
          </w:p>
        </w:tc>
      </w:tr>
    </w:tbl>
    <w:p>
      <w:pPr>
        <w:pStyle w:val="TextBody"/>
        <w:bidi w:val="0"/>
        <w:spacing w:before="0" w:after="0"/>
        <w:jc w:val="left"/>
        <w:rPr>
          <w:sz w:val="20"/>
        </w:rPr>
      </w:pPr>
      <w:r>
        <w:rPr>
          <w:sz w:val="20"/>
        </w:rPr>
      </w:r>
      <w:bookmarkStart w:id="103" w:name="Section21"/>
      <w:bookmarkStart w:id="104" w:name="Section21"/>
      <w:bookmarkEnd w:id="104"/>
    </w:p>
    <w:p>
      <w:pPr>
        <w:pStyle w:val="TextBody"/>
        <w:bidi w:val="0"/>
        <w:spacing w:before="200" w:after="20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provides a reconciliation of net cash provided by operating activities to Free Cash Flow.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5" w:name="z26326aaec19142c1a6c735408e528c3e"/>
      <w:bookmarkStart w:id="106" w:name="z26326aaec19142c1a6c735408e528c3e"/>
      <w:bookmarkEnd w:id="106"/>
    </w:p>
    <w:tbl>
      <w:tblPr>
        <w:tblW w:w="10205" w:type="dxa"/>
        <w:jc w:val="left"/>
        <w:tblInd w:w="0" w:type="dxa"/>
        <w:tblLayout w:type="fixed"/>
        <w:tblCellMar>
          <w:top w:w="0" w:type="dxa"/>
          <w:left w:w="0" w:type="dxa"/>
          <w:bottom w:w="0" w:type="dxa"/>
          <w:right w:w="0" w:type="dxa"/>
        </w:tblCellMar>
      </w:tblPr>
      <w:tblGrid>
        <w:gridCol w:w="6464"/>
        <w:gridCol w:w="60"/>
        <w:gridCol w:w="126"/>
        <w:gridCol w:w="664"/>
        <w:gridCol w:w="80"/>
        <w:gridCol w:w="60"/>
        <w:gridCol w:w="126"/>
        <w:gridCol w:w="664"/>
        <w:gridCol w:w="80"/>
        <w:gridCol w:w="60"/>
        <w:gridCol w:w="125"/>
        <w:gridCol w:w="695"/>
        <w:gridCol w:w="80"/>
        <w:gridCol w:w="60"/>
        <w:gridCol w:w="125"/>
        <w:gridCol w:w="650"/>
        <w:gridCol w:w="86"/>
      </w:tblGrid>
      <w:tr>
        <w:trPr/>
        <w:tc>
          <w:tcPr>
            <w:tcW w:w="64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3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w:t>
            </w:r>
          </w:p>
        </w:tc>
        <w:tc>
          <w:tcPr>
            <w:tcW w:w="86" w:type="dxa"/>
            <w:tcBorders/>
            <w:vAlign w:val="bottom"/>
          </w:tcPr>
          <w:p>
            <w:pPr>
              <w:pStyle w:val="TableContents"/>
              <w:bidi w:val="0"/>
              <w:spacing w:before="0" w:after="283"/>
              <w:jc w:val="left"/>
              <w:rPr/>
            </w:pPr>
            <w:r>
              <w:rPr/>
              <w:t> </w:t>
            </w:r>
          </w:p>
        </w:tc>
      </w:tr>
      <w:tr>
        <w:trPr/>
        <w:tc>
          <w:tcPr>
            <w:tcW w:w="64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2025</w:t>
            </w:r>
          </w:p>
        </w:tc>
        <w:tc>
          <w:tcPr>
            <w:tcW w:w="86" w:type="dxa"/>
            <w:tcBorders/>
            <w:vAlign w:val="bottom"/>
          </w:tcPr>
          <w:p>
            <w:pPr>
              <w:pStyle w:val="TableContents"/>
              <w:bidi w:val="0"/>
              <w:spacing w:before="0" w:after="283"/>
              <w:jc w:val="left"/>
              <w:rPr/>
            </w:pPr>
            <w:r>
              <w:rPr/>
              <w:t> </w:t>
            </w:r>
          </w:p>
        </w:tc>
      </w:tr>
      <w:tr>
        <w:trPr/>
        <w:tc>
          <w:tcPr>
            <w:tcW w:w="64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95" w:type="dxa"/>
            <w:gridSpan w:val="14"/>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(dollars in thousands)</w:t>
            </w:r>
          </w:p>
        </w:tc>
        <w:tc>
          <w:tcPr>
            <w:tcW w:w="86" w:type="dxa"/>
            <w:tcBorders/>
            <w:vAlign w:val="bottom"/>
          </w:tcPr>
          <w:p>
            <w:pPr>
              <w:pStyle w:val="TableContents"/>
              <w:bidi w:val="0"/>
              <w:spacing w:before="0" w:after="283"/>
              <w:jc w:val="left"/>
              <w:rPr/>
            </w:pPr>
            <w:r>
              <w:rPr/>
              <w:t> </w:t>
            </w:r>
          </w:p>
        </w:tc>
      </w:tr>
      <w:tr>
        <w:trPr/>
        <w:tc>
          <w:tcPr>
            <w:tcW w:w="6464"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64"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31,253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64"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47,397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139,908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95,508</w:t>
            </w:r>
          </w:p>
        </w:tc>
        <w:tc>
          <w:tcPr>
            <w:tcW w:w="86" w:type="dxa"/>
            <w:tcBorders/>
            <w:shd w:fill="CCEEFF" w:val="clear"/>
            <w:vAlign w:val="bottom"/>
          </w:tcPr>
          <w:p>
            <w:pPr>
              <w:pStyle w:val="TableContents"/>
              <w:bidi w:val="0"/>
              <w:spacing w:before="0" w:after="283"/>
              <w:jc w:val="left"/>
              <w:rPr/>
            </w:pPr>
            <w:r>
              <w:rPr/>
              <w:t> </w:t>
            </w:r>
          </w:p>
        </w:tc>
      </w:tr>
      <w:tr>
        <w:trPr/>
        <w:tc>
          <w:tcPr>
            <w:tcW w:w="6464"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Purchases of property and equipment, including capitalized internal-use software</w:t>
            </w:r>
          </w:p>
        </w:tc>
        <w:tc>
          <w:tcPr>
            <w:tcW w:w="60" w:type="dxa"/>
            <w:tcBorders/>
            <w:vAlign w:val="bottom"/>
          </w:tcPr>
          <w:p>
            <w:pPr>
              <w:pStyle w:val="TableContents"/>
              <w:bidi w:val="0"/>
              <w:spacing w:before="0" w:after="283"/>
              <w:jc w:val="left"/>
              <w:rPr/>
            </w:pPr>
            <w:r>
              <w:rPr/>
              <w:t> </w:t>
            </w:r>
          </w:p>
        </w:tc>
        <w:tc>
          <w:tcPr>
            <w:tcW w:w="126" w:type="dxa"/>
            <w:tcBorders>
              <w:bottom w:val="single" w:sz="12" w:space="0" w:color="000000"/>
            </w:tcBorders>
            <w:tcMar>
              <w:bottom w:w="28" w:type="dxa"/>
            </w:tcMar>
            <w:vAlign w:val="bottom"/>
          </w:tcPr>
          <w:p>
            <w:pPr>
              <w:pStyle w:val="TableContents"/>
              <w:bidi w:val="0"/>
              <w:spacing w:before="0" w:after="283"/>
              <w:jc w:val="left"/>
              <w:rPr/>
            </w:pPr>
            <w:r>
              <w:rPr/>
              <w:t> </w:t>
            </w:r>
          </w:p>
        </w:tc>
        <w:tc>
          <w:tcPr>
            <w:tcW w:w="6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(13,937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6" w:type="dxa"/>
            <w:tcBorders>
              <w:bottom w:val="single" w:sz="12" w:space="0" w:color="000000"/>
            </w:tcBorders>
            <w:tcMar>
              <w:bottom w:w="28" w:type="dxa"/>
            </w:tcMar>
            <w:vAlign w:val="bottom"/>
          </w:tcPr>
          <w:p>
            <w:pPr>
              <w:pStyle w:val="TableContents"/>
              <w:bidi w:val="0"/>
              <w:spacing w:before="0" w:after="283"/>
              <w:jc w:val="left"/>
              <w:rPr/>
            </w:pPr>
            <w:r>
              <w:rPr/>
              <w:t> </w:t>
            </w:r>
          </w:p>
        </w:tc>
        <w:tc>
          <w:tcPr>
            <w:tcW w:w="6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(13,236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(32,311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(25,277</w:t>
            </w:r>
          </w:p>
        </w:tc>
        <w:tc>
          <w:tcPr>
            <w:tcW w:w="8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6464"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Free Cash Flow</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17,316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34,161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107,597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70,231</w:t>
            </w:r>
          </w:p>
        </w:tc>
        <w:tc>
          <w:tcPr>
            <w:tcW w:w="8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07" w:name="Section22"/>
      <w:bookmarkEnd w:id="107"/>
      <w:r>
        <w:rPr>
          <w:rFonts w:ascii="Times New Roman" w:hAnsi="Times New Roman"/>
          <w:b/>
          <w:color w:val="000000"/>
          <w:sz w:val="20"/>
        </w:rPr>
        <w:t>APPENDIX: Non-GAAP Guidance Reconciliation</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RECONCILIATION OF GAAP TO NON-GAAP FINANCIAL MEASURES FOR Q3 2026 AND FULL YEAR 2026 GUIDANCE</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following table provides a reconciliation of projected Gross profit to ex-TAC Gross Profit.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8" w:name="zb2e13c50b8b5483293d0eb2441fa7d72"/>
      <w:bookmarkStart w:id="109" w:name="zb2e13c50b8b5483293d0eb2441fa7d72"/>
      <w:bookmarkEnd w:id="109"/>
    </w:p>
    <w:tbl>
      <w:tblPr>
        <w:tblW w:w="6010" w:type="dxa"/>
        <w:jc w:val="left"/>
        <w:tblInd w:w="0" w:type="dxa"/>
        <w:tblLayout w:type="fixed"/>
        <w:tblCellMar>
          <w:top w:w="0" w:type="dxa"/>
          <w:left w:w="0" w:type="dxa"/>
          <w:bottom w:w="0" w:type="dxa"/>
          <w:right w:w="0" w:type="dxa"/>
        </w:tblCellMar>
      </w:tblPr>
      <w:tblGrid>
        <w:gridCol w:w="2975"/>
        <w:gridCol w:w="60"/>
        <w:gridCol w:w="170"/>
        <w:gridCol w:w="1055"/>
        <w:gridCol w:w="60"/>
        <w:gridCol w:w="60"/>
        <w:gridCol w:w="170"/>
        <w:gridCol w:w="1400"/>
        <w:gridCol w:w="60"/>
      </w:tblGrid>
      <w:tr>
        <w:trPr/>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Q3 2026</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Guidance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FY 2026</w:t>
            </w:r>
          </w:p>
          <w:p>
            <w:pPr>
              <w:pStyle w:val="TableContents"/>
              <w:bidi w:val="0"/>
              <w:spacing w:before="0" w:after="0"/>
              <w:jc w:val="center"/>
              <w:rPr>
                <w:rFonts w:ascii="Times New Roman" w:hAnsi="Times New Roman"/>
                <w:b/>
                <w:sz w:val="20"/>
              </w:rPr>
            </w:pPr>
            <w:r>
              <w:rPr>
                <w:rFonts w:ascii="Times New Roman" w:hAnsi="Times New Roman"/>
                <w:b/>
                <w:sz w:val="20"/>
              </w:rPr>
              <w:t>Guidance</w:t>
            </w:r>
          </w:p>
        </w:tc>
        <w:tc>
          <w:tcPr>
            <w:tcW w:w="60" w:type="dxa"/>
            <w:tcBorders/>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60" w:type="dxa"/>
            <w:tcBorders/>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5"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(dollars in millions)</w:t>
            </w:r>
          </w:p>
        </w:tc>
        <w:tc>
          <w:tcPr>
            <w:tcW w:w="60"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460 - $473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1,930 - $1,956</w:t>
            </w:r>
          </w:p>
        </w:tc>
        <w:tc>
          <w:tcPr>
            <w:tcW w:w="60" w:type="dxa"/>
            <w:tcBorders/>
            <w:shd w:fill="CCEEFF" w:val="clear"/>
            <w:vAlign w:val="bottom"/>
          </w:tcPr>
          <w:p>
            <w:pPr>
              <w:pStyle w:val="TableContents"/>
              <w:bidi w:val="0"/>
              <w:spacing w:before="0" w:after="283"/>
              <w:jc w:val="left"/>
              <w:rPr/>
            </w:pPr>
            <w:r>
              <w:rPr/>
              <w:t> </w:t>
            </w:r>
          </w:p>
        </w:tc>
      </w:tr>
      <w:tr>
        <w:trPr/>
        <w:tc>
          <w:tcPr>
            <w:tcW w:w="2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Traffic acquisition cost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(280)-($287)</w:t>
            </w:r>
          </w:p>
        </w:tc>
        <w:tc>
          <w:tcPr>
            <w:tcW w:w="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w:t>
            </w:r>
          </w:p>
        </w:tc>
        <w:tc>
          <w:tcPr>
            <w:tcW w:w="14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 xml:space="preserve">(1,187)-($1,202) </w:t>
            </w:r>
          </w:p>
        </w:tc>
        <w:tc>
          <w:tcPr>
            <w:tcW w:w="6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r>
      <w:tr>
        <w:trPr/>
        <w:tc>
          <w:tcPr>
            <w:tcW w:w="2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cost of revenues</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(32)-($34)</w:t>
            </w:r>
          </w:p>
        </w:tc>
        <w:tc>
          <w:tcPr>
            <w:tcW w:w="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w:t>
            </w:r>
          </w:p>
        </w:tc>
        <w:tc>
          <w:tcPr>
            <w:tcW w:w="14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(138)-($139)</w:t>
            </w:r>
          </w:p>
        </w:tc>
        <w:tc>
          <w:tcPr>
            <w:tcW w:w="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r>
      <w:tr>
        <w:trPr/>
        <w:tc>
          <w:tcPr>
            <w:tcW w:w="2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148 - $152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605 - $615</w:t>
            </w:r>
          </w:p>
        </w:tc>
        <w:tc>
          <w:tcPr>
            <w:tcW w:w="60" w:type="dxa"/>
            <w:tcBorders/>
            <w:vAlign w:val="bottom"/>
          </w:tcPr>
          <w:p>
            <w:pPr>
              <w:pStyle w:val="TableContents"/>
              <w:bidi w:val="0"/>
              <w:spacing w:before="0" w:after="283"/>
              <w:jc w:val="left"/>
              <w:rPr/>
            </w:pPr>
            <w:r>
              <w:rPr/>
              <w:t> </w:t>
            </w:r>
          </w:p>
        </w:tc>
      </w:tr>
      <w:tr>
        <w:trPr/>
        <w:tc>
          <w:tcPr>
            <w:tcW w:w="29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 back: Other cost of revenues (1)</w:t>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w:t>
            </w:r>
          </w:p>
        </w:tc>
        <w:tc>
          <w:tcPr>
            <w:tcW w:w="105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(36)-($38)</w:t>
            </w:r>
          </w:p>
        </w:tc>
        <w:tc>
          <w:tcPr>
            <w:tcW w:w="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c>
          <w:tcPr>
            <w:tcW w:w="60"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w:t>
            </w:r>
          </w:p>
        </w:tc>
        <w:tc>
          <w:tcPr>
            <w:tcW w:w="140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(167)-($168)</w:t>
            </w:r>
          </w:p>
        </w:tc>
        <w:tc>
          <w:tcPr>
            <w:tcW w:w="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r>
          </w:p>
        </w:tc>
      </w:tr>
      <w:tr>
        <w:trPr/>
        <w:tc>
          <w:tcPr>
            <w:tcW w:w="29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ex-TAC Gross Profit</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5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184 - $190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40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772 - $783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0" w:name="zefa47fea0e4a4ed197d21d8a2821c15c"/>
      <w:bookmarkStart w:id="111" w:name="zefa47fea0e4a4ed197d21d8a2821c15c"/>
      <w:bookmarkEnd w:id="111"/>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pPr>
            <w:r>
              <w:rPr/>
            </w:r>
          </w:p>
        </w:tc>
        <w:tc>
          <w:tcPr>
            <w:tcW w:w="20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62"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Third-Quarter and Full-Year 2026 guidance includes $4,126 and $16,372 amortization expense of the non-cash based Commercial agreement asset, respectively. Full-Year 2026 includes $12,169 write-off of Publisher’s prepayments. See Note 1(b) and 2 respectively of Notes to the Unaudited Interim Consolidated  Financial Statements.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rFonts w:ascii="Times New Roman" w:hAnsi="Times New Roman"/>
          <w:color w:val="000000"/>
          <w:sz w:val="16"/>
        </w:rPr>
      </w:pPr>
      <w:r>
        <w:rPr>
          <w:rFonts w:ascii="Times New Roman" w:hAnsi="Times New Roman"/>
          <w:color w:val="000000"/>
          <w:sz w:val="16"/>
        </w:rPr>
        <w:t>12</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4918</Words>
  <Characters>27084</Characters>
  <CharactersWithSpaces>32597</CharactersWithSpaces>
  <Paragraphs>2889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