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color w:val="000000"/>
          <w:shd w:fill="FFFFFF" w:val="clear"/>
        </w:rPr>
      </w:pPr>
      <w:r>
        <w:rPr>
          <w:color w:val="000000"/>
          <w:shd w:fill="FFFFFF" w:val="clear"/>
        </w:rPr>
        <w:t xml:space="preserve">  </w:t>
      </w:r>
    </w:p>
    <w:p>
      <w:pPr>
        <w:pStyle w:val="HorizontalLine"/>
        <w:bidi w:val="0"/>
        <w:jc w:val="center"/>
        <w:rPr/>
      </w:pPr>
      <w:r>
        <w:rPr/>
      </w:r>
    </w:p>
    <w:p>
      <w:pPr>
        <w:pStyle w:val="TextBody"/>
        <w:bidi w:val="0"/>
        <w:jc w:val="center"/>
        <w:rPr>
          <w:rFonts w:ascii="Times New Roman" w:hAnsi="Times New Roman"/>
          <w:b w:val="false"/>
          <w:color w:val="000000"/>
          <w:sz w:val="20"/>
          <w:shd w:fill="FFFFFF" w:val="clear"/>
        </w:rPr>
      </w:pPr>
      <w:r>
        <w:rPr>
          <w:rFonts w:ascii="Times New Roman" w:hAnsi="Times New Roman"/>
          <w:b/>
          <w:color w:val="000000"/>
          <w:sz w:val="36"/>
          <w:shd w:fill="FFFFFF" w:val="clear"/>
        </w:rPr>
        <w:t>FORM 10-Q</w:t>
      </w:r>
      <w:r>
        <w:rPr>
          <w:rFonts w:ascii="Times New Roman" w:hAnsi="Times New Roman"/>
          <w:b w:val="false"/>
          <w:color w:val="000000"/>
          <w:sz w:val="20"/>
          <w:shd w:fill="FFFFFF" w:val="clear"/>
        </w:rPr>
        <w:t xml:space="preserve"> </w:t>
      </w:r>
    </w:p>
    <w:p>
      <w:pPr>
        <w:pStyle w:val="HorizontalLine"/>
        <w:bidi w:val="0"/>
        <w:jc w:val="center"/>
        <w:rPr/>
      </w:pPr>
      <w:r>
        <w:rPr/>
      </w:r>
    </w:p>
    <w:p>
      <w:pPr>
        <w:pStyle w:val="TextBody"/>
        <w:bidi w:val="0"/>
        <w:spacing w:before="0" w:after="0"/>
        <w:jc w:val="left"/>
        <w:rPr/>
      </w:pPr>
      <w:r>
        <w:rPr/>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0"/>
              <w:jc w:val="center"/>
              <w:rPr>
                <w:color w:val="000000"/>
              </w:rPr>
            </w:pPr>
            <w:r>
              <w:rPr>
                <w:color w:val="000000"/>
              </w:rPr>
              <w:t>☒</w:t>
            </w:r>
          </w:p>
        </w:tc>
        <w:tc>
          <w:tcPr>
            <w:tcW w:w="9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September 30, 2024</w:t>
      </w:r>
    </w:p>
    <w:p>
      <w:pPr>
        <w:pStyle w:val="TextBody"/>
        <w:bidi w:val="0"/>
        <w:spacing w:before="0" w:after="0"/>
        <w:jc w:val="center"/>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0"/>
              <w:jc w:val="center"/>
              <w:rPr>
                <w:color w:val="000000"/>
              </w:rPr>
            </w:pPr>
            <w:r>
              <w:rPr>
                <w:color w:val="000000"/>
              </w:rPr>
              <w:t>☐</w:t>
            </w:r>
          </w:p>
        </w:tc>
        <w:tc>
          <w:tcPr>
            <w:tcW w:w="98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___________ to ___________</w:t>
      </w:r>
    </w:p>
    <w:p>
      <w:pPr>
        <w:pStyle w:val="TextBody"/>
        <w:bidi w:val="0"/>
        <w:spacing w:before="0" w:after="0"/>
        <w:jc w:val="left"/>
        <w:rPr/>
      </w:pPr>
      <w:r>
        <w:rPr/>
      </w:r>
    </w:p>
    <w:p>
      <w:pPr>
        <w:pStyle w:val="TextBody"/>
        <w:bidi w:val="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001-40566</w:t>
      </w:r>
    </w:p>
    <w:p>
      <w:pPr>
        <w:pStyle w:val="HorizontalLine"/>
        <w:bidi w:val="0"/>
        <w:jc w:val="center"/>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TABOOLA.COM LTD.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4855" w:type="dxa"/>
        <w:jc w:val="left"/>
        <w:tblInd w:w="0" w:type="dxa"/>
        <w:tblLayout w:type="fixed"/>
        <w:tblCellMar>
          <w:top w:w="0" w:type="dxa"/>
          <w:left w:w="0" w:type="dxa"/>
          <w:bottom w:w="0" w:type="dxa"/>
          <w:right w:w="0" w:type="dxa"/>
        </w:tblCellMar>
      </w:tblPr>
      <w:tblGrid>
        <w:gridCol w:w="3290"/>
        <w:gridCol w:w="1565"/>
      </w:tblGrid>
      <w:tr>
        <w:trPr/>
        <w:tc>
          <w:tcPr>
            <w:tcW w:w="329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Israel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incorporation or organization)</w:t>
            </w:r>
          </w:p>
        </w:tc>
        <w:tc>
          <w:tcPr>
            <w:tcW w:w="15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Not Applicable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Identification No.)</w:t>
            </w:r>
          </w:p>
        </w:tc>
      </w:tr>
      <w:tr>
        <w:trPr/>
        <w:tc>
          <w:tcPr>
            <w:tcW w:w="3290" w:type="dxa"/>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16 Madison Square West</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7th Floor</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NY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5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10010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r>
        <w:trPr/>
        <w:tc>
          <w:tcPr>
            <w:tcW w:w="4855" w:type="dxa"/>
            <w:gridSpan w:val="2"/>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212-206-7633</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695" w:type="dxa"/>
        <w:jc w:val="left"/>
        <w:tblInd w:w="0" w:type="dxa"/>
        <w:tblLayout w:type="fixed"/>
        <w:tblCellMar>
          <w:top w:w="0" w:type="dxa"/>
          <w:left w:w="0" w:type="dxa"/>
          <w:bottom w:w="0" w:type="dxa"/>
          <w:right w:w="0" w:type="dxa"/>
        </w:tblCellMar>
      </w:tblPr>
      <w:tblGrid>
        <w:gridCol w:w="3020"/>
        <w:gridCol w:w="60"/>
        <w:gridCol w:w="860"/>
        <w:gridCol w:w="60"/>
        <w:gridCol w:w="3695"/>
      </w:tblGrid>
      <w:tr>
        <w:trPr/>
        <w:tc>
          <w:tcPr>
            <w:tcW w:w="3020"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center"/>
              <w:rPr>
                <w:color w:val="000000"/>
              </w:rPr>
            </w:pPr>
            <w:r>
              <w:rPr>
                <w:color w:val="000000"/>
              </w:rPr>
              <w:t> </w:t>
            </w:r>
          </w:p>
        </w:tc>
        <w:tc>
          <w:tcPr>
            <w:tcW w:w="3695" w:type="dxa"/>
            <w:tcBorders/>
            <w:vAlign w:val="center"/>
          </w:tcPr>
          <w:p>
            <w:pPr>
              <w:pStyle w:val="TableContents"/>
              <w:bidi w:val="0"/>
              <w:spacing w:before="0" w:after="0"/>
              <w:jc w:val="center"/>
              <w:rPr>
                <w:color w:val="000000"/>
              </w:rPr>
            </w:pPr>
            <w:r>
              <w:rPr>
                <w:color w:val="000000"/>
              </w:rPr>
              <w:t> </w:t>
            </w:r>
          </w:p>
        </w:tc>
      </w:tr>
      <w:tr>
        <w:trPr/>
        <w:tc>
          <w:tcPr>
            <w:tcW w:w="302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vAlign w:val="center"/>
          </w:tcPr>
          <w:p>
            <w:pPr>
              <w:pStyle w:val="TableContents"/>
              <w:bidi w:val="0"/>
              <w:spacing w:before="0" w:after="0"/>
              <w:jc w:val="center"/>
              <w:rPr>
                <w:color w:val="000000"/>
              </w:rPr>
            </w:pPr>
            <w:r>
              <w:rPr>
                <w:color w:val="000000"/>
              </w:rPr>
              <w:t> </w:t>
            </w:r>
          </w:p>
        </w:tc>
        <w:tc>
          <w:tcPr>
            <w:tcW w:w="369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0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Ordinary shares, no par value</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TBLA</w:t>
            </w:r>
          </w:p>
        </w:tc>
        <w:tc>
          <w:tcPr>
            <w:tcW w:w="60" w:type="dxa"/>
            <w:tcBorders/>
            <w:vAlign w:val="center"/>
          </w:tcPr>
          <w:p>
            <w:pPr>
              <w:pStyle w:val="TableContents"/>
              <w:bidi w:val="0"/>
              <w:spacing w:before="0" w:after="0"/>
              <w:jc w:val="center"/>
              <w:rPr>
                <w:color w:val="000000"/>
              </w:rPr>
            </w:pPr>
            <w:r>
              <w:rPr>
                <w:color w:val="000000"/>
              </w:rPr>
              <w:t> </w:t>
            </w:r>
          </w:p>
        </w:tc>
        <w:tc>
          <w:tcPr>
            <w:tcW w:w="36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r>
        <w:trPr/>
        <w:tc>
          <w:tcPr>
            <w:tcW w:w="30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Warrants to purchase Ordinary shares</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TBLAW</w:t>
            </w:r>
          </w:p>
        </w:tc>
        <w:tc>
          <w:tcPr>
            <w:tcW w:w="60" w:type="dxa"/>
            <w:tcBorders/>
            <w:vAlign w:val="center"/>
          </w:tcPr>
          <w:p>
            <w:pPr>
              <w:pStyle w:val="TableContents"/>
              <w:bidi w:val="0"/>
              <w:spacing w:before="0" w:after="0"/>
              <w:jc w:val="center"/>
              <w:rPr>
                <w:color w:val="000000"/>
              </w:rPr>
            </w:pPr>
            <w:r>
              <w:rPr>
                <w:color w:val="000000"/>
              </w:rPr>
              <w:t> </w:t>
            </w:r>
          </w:p>
        </w:tc>
        <w:tc>
          <w:tcPr>
            <w:tcW w:w="36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12(g) of the Act: None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w:t>
            </w:r>
          </w:p>
        </w:tc>
        <w:tc>
          <w:tcPr>
            <w:tcW w:w="245" w:type="dxa"/>
            <w:tcBorders/>
            <w:vAlign w:val="center"/>
          </w:tcPr>
          <w:p>
            <w:pPr>
              <w:pStyle w:val="TableContents"/>
              <w:bidi w:val="0"/>
              <w:spacing w:before="0" w:after="0"/>
              <w:jc w:val="left"/>
              <w:rPr>
                <w:color w:val="000000"/>
              </w:rPr>
            </w:pPr>
            <w:r>
              <w:rPr>
                <w:color w:val="000000"/>
              </w:rPr>
              <w:t>☒</w:t>
            </w:r>
          </w:p>
        </w:tc>
      </w:tr>
      <w:tr>
        <w:trPr/>
        <w:tc>
          <w:tcPr>
            <w:tcW w:w="18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Non-accelerated filer</w:t>
            </w:r>
          </w:p>
        </w:tc>
        <w:tc>
          <w:tcPr>
            <w:tcW w:w="230" w:type="dxa"/>
            <w:tcBorders/>
            <w:vAlign w:val="center"/>
          </w:tcPr>
          <w:p>
            <w:pPr>
              <w:pStyle w:val="TableContents"/>
              <w:bidi w:val="0"/>
              <w:spacing w:before="0" w:after="0"/>
              <w:jc w:val="left"/>
              <w:rPr>
                <w:color w:val="000000"/>
              </w:rPr>
            </w:pPr>
            <w:r>
              <w:rPr>
                <w:color w:val="000000"/>
              </w:rPr>
              <w:t>☐</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Smaller reporting company</w:t>
            </w:r>
          </w:p>
        </w:tc>
        <w:tc>
          <w:tcPr>
            <w:tcW w:w="245" w:type="dxa"/>
            <w:tcBorders/>
            <w:vAlign w:val="center"/>
          </w:tcPr>
          <w:p>
            <w:pPr>
              <w:pStyle w:val="TableContents"/>
              <w:bidi w:val="0"/>
              <w:spacing w:before="0" w:after="0"/>
              <w:jc w:val="left"/>
              <w:rPr>
                <w:color w:val="000000"/>
              </w:rPr>
            </w:pPr>
            <w:r>
              <w:rPr>
                <w:color w:val="000000"/>
              </w:rPr>
              <w:t>☐</w:t>
            </w:r>
          </w:p>
        </w:tc>
      </w:tr>
      <w:tr>
        <w:trPr/>
        <w:tc>
          <w:tcPr>
            <w:tcW w:w="1835"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w:t>
            </w:r>
          </w:p>
        </w:tc>
        <w:tc>
          <w:tcPr>
            <w:tcW w:w="245"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w:t>
      </w:r>
    </w:p>
    <w:p>
      <w:pPr>
        <w:pStyle w:val="TextBody"/>
        <w:bidi w:val="0"/>
        <w:spacing w:before="0" w:after="0"/>
        <w:jc w:val="left"/>
        <w:rPr>
          <w:color w:val="000000"/>
          <w:shd w:fill="FFFFFF" w:val="clear"/>
        </w:rPr>
      </w:pPr>
      <w:r>
        <w:rPr>
          <w:color w:val="000000"/>
          <w:shd w:fill="FFFFFF" w:val="clear"/>
        </w:rPr>
        <w:t xml:space="preserve"> ☐ </w:t>
      </w:r>
      <w:r>
        <w:rPr>
          <w:rFonts w:ascii="Times New Roman" w:hAnsi="Times New Roman"/>
          <w:color w:val="000000"/>
          <w:sz w:val="20"/>
          <w:shd w:fill="FFFFFF" w:val="clear"/>
        </w:rPr>
        <w:t>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October 31, 2024 the Registrant had a total of 336,208,207 outstanding shares, which includes 291,997,801 Ordinary shares and 44,210,406 Non-voting Ordinary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Quarterly Report on Form 10-Q</w:t>
      </w:r>
    </w:p>
    <w:p>
      <w:pPr>
        <w:pStyle w:val="TextBody"/>
        <w:bidi w:val="0"/>
        <w:spacing w:before="0" w:after="0"/>
        <w:jc w:val="center"/>
        <w:rPr>
          <w:rFonts w:ascii="Times New Roman" w:hAnsi="Times New Roman"/>
          <w:b/>
          <w:color w:val="000000"/>
          <w:sz w:val="20"/>
          <w:shd w:fill="FFFFFF" w:val="clear"/>
        </w:rPr>
      </w:pPr>
      <w:bookmarkStart w:id="0" w:name="TableofContents"/>
      <w:bookmarkEnd w:id="0"/>
      <w:r>
        <w:rPr>
          <w:rFonts w:ascii="Times New Roman" w:hAnsi="Times New Roman"/>
          <w:b/>
          <w:color w:val="000000"/>
          <w:sz w:val="20"/>
          <w:shd w:fill="FFFFFF" w:val="clear"/>
        </w:rPr>
        <w:t>Table of Contents</w:t>
      </w:r>
    </w:p>
    <w:p>
      <w:pPr>
        <w:pStyle w:val="TextBody"/>
        <w:bidi w:val="0"/>
        <w:spacing w:before="0" w:after="0"/>
        <w:jc w:val="left"/>
        <w:rPr/>
      </w:pPr>
      <w:r>
        <w:rPr/>
      </w:r>
    </w:p>
    <w:tbl>
      <w:tblPr>
        <w:tblW w:w="10205" w:type="dxa"/>
        <w:jc w:val="left"/>
        <w:tblInd w:w="-15" w:type="dxa"/>
        <w:tblLayout w:type="fixed"/>
        <w:tblCellMar>
          <w:top w:w="28" w:type="dxa"/>
          <w:left w:w="28" w:type="dxa"/>
          <w:bottom w:w="28" w:type="dxa"/>
          <w:right w:w="28" w:type="dxa"/>
        </w:tblCellMar>
      </w:tblPr>
      <w:tblGrid>
        <w:gridCol w:w="1010"/>
        <w:gridCol w:w="8273"/>
        <w:gridCol w:w="922"/>
      </w:tblGrid>
      <w:tr>
        <w:trPr/>
        <w:tc>
          <w:tcPr>
            <w:tcW w:w="10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r>
          </w:p>
        </w:tc>
        <w:tc>
          <w:tcPr>
            <w:tcW w:w="827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92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180" w:right="0" w:hanging="0"/>
              <w:jc w:val="left"/>
              <w:rPr>
                <w:b/>
              </w:rPr>
            </w:pPr>
            <w:r>
              <w:rPr>
                <w:b/>
              </w:rPr>
              <w:t>Page No.</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b/>
                <w:smallCaps/>
              </w:rPr>
            </w:pPr>
            <w:r>
              <w:rPr>
                <w:b/>
                <w:smallCaps/>
              </w:rPr>
              <w:t>PART I.</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hyperlink w:anchor="PARTIFINANCIALINFORMATION">
              <w:r>
                <w:rPr>
                  <w:rStyle w:val="InternetLink"/>
                  <w:b/>
                  <w:smallCaps/>
                </w:rPr>
                <w:t>FINANCIAL INFORMATION</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4</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Item 1.</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hyperlink w:anchor="Item1.FinancialStatements">
              <w:r>
                <w:rPr>
                  <w:rStyle w:val="InternetLink"/>
                </w:rPr>
                <w:t>Financial Statements (Unaudited)</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4</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 </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360" w:right="0" w:hanging="0"/>
              <w:jc w:val="left"/>
              <w:rPr/>
            </w:pPr>
            <w:hyperlink w:anchor="BALANCESHEETS">
              <w:r>
                <w:rPr>
                  <w:rStyle w:val="InternetLink"/>
                </w:rPr>
                <w:t>Consolidated Interim Balance Sheets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4</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 </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360" w:right="0" w:hanging="0"/>
              <w:jc w:val="left"/>
              <w:rPr/>
            </w:pPr>
            <w:hyperlink w:anchor="CONSOLIDATEDINTERIMSTATEM">
              <w:r>
                <w:rPr>
                  <w:rStyle w:val="InternetLink"/>
                </w:rPr>
                <w:t>Consolidated Interim Statements of Income (Loss)</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5</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 </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360" w:right="0" w:hanging="0"/>
              <w:jc w:val="left"/>
              <w:rPr/>
            </w:pPr>
            <w:hyperlink w:anchor="COMPREHENSIVELOSS">
              <w:r>
                <w:rPr>
                  <w:rStyle w:val="InternetLink"/>
                </w:rPr>
                <w:t>Consolidated Interim Statements of Comprehensive Income (Loss)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6</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 </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360" w:right="0" w:hanging="0"/>
              <w:jc w:val="left"/>
              <w:rPr/>
            </w:pPr>
            <w:hyperlink w:anchor="SHAREHOLDERSEQUITY">
              <w:r>
                <w:rPr>
                  <w:rStyle w:val="InternetLink"/>
                </w:rPr>
                <w:t>Consolidated Interim Statements of Shareholders’ Equity</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7</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 </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360" w:right="0" w:hanging="0"/>
              <w:jc w:val="left"/>
              <w:rPr/>
            </w:pPr>
            <w:hyperlink w:anchor="STATEMENTSOFCASHFLOWS">
              <w:r>
                <w:rPr>
                  <w:rStyle w:val="InternetLink"/>
                </w:rPr>
                <w:t>Consolidated Interim Statements of Cash Flows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9</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 </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360" w:right="0" w:hanging="0"/>
              <w:jc w:val="left"/>
              <w:rPr/>
            </w:pPr>
            <w:hyperlink w:anchor="NOTESTOTHECONSOLIDATEDINT">
              <w:r>
                <w:rPr>
                  <w:rStyle w:val="InternetLink"/>
                </w:rPr>
                <w:t>Notes to Consolidated Interim Financial Statements</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11</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Item 2.</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hyperlink w:anchor="Item2.ManagementsDiscussi">
              <w:r>
                <w:rPr>
                  <w:rStyle w:val="InternetLink"/>
                </w:rPr>
                <w:t>Management’s Discussion and Analysis of Financial Condition and Results of Operations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25</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Item 3.</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hyperlink w:anchor="Item3.QuantitativeandQual">
              <w:r>
                <w:rPr>
                  <w:rStyle w:val="InternetLink"/>
                </w:rPr>
                <w:t>Quantitative and Qualitative Disclosures About Market Risk</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43</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Item 4.</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hyperlink w:anchor="Item4.ControlsandProcedur">
              <w:r>
                <w:rPr>
                  <w:rStyle w:val="InternetLink"/>
                </w:rPr>
                <w:t>Controls and Procedures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45</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b/>
                <w:smallCaps/>
              </w:rPr>
            </w:pPr>
            <w:r>
              <w:rPr>
                <w:b/>
                <w:smallCaps/>
              </w:rPr>
              <w:t>PART II.</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hyperlink w:anchor="PARTIIOTHERINFORMATION">
              <w:r>
                <w:rPr>
                  <w:rStyle w:val="InternetLink"/>
                  <w:b/>
                  <w:smallCaps/>
                </w:rPr>
                <w:t>OTHER INFORMATION</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46</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Item 1.</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hyperlink w:anchor="Item1.LegalProceedings">
              <w:r>
                <w:rPr>
                  <w:rStyle w:val="InternetLink"/>
                </w:rPr>
                <w:t>Legal Proceedings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46</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Item 1A.</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hyperlink w:anchor="Item1A.RiskFactors">
              <w:r>
                <w:rPr>
                  <w:rStyle w:val="InternetLink"/>
                </w:rPr>
                <w:t>Risk Factors</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46</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Item 2.</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hyperlink w:anchor="Item2.UnregisteredSalesof">
              <w:r>
                <w:rPr>
                  <w:rStyle w:val="InternetLink"/>
                </w:rPr>
                <w:t>Unregistered Sales of Equity Securities and Use of Proceeds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46</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Item 3.</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hyperlink w:anchor="Item3.DefaultsuponSeniorS">
              <w:r>
                <w:rPr>
                  <w:rStyle w:val="InternetLink"/>
                </w:rPr>
                <w:t>Defaults upon Senior Securities</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47</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Item 4.</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hyperlink w:anchor="Item4.MineSafetyDisclosur">
              <w:r>
                <w:rPr>
                  <w:rStyle w:val="InternetLink"/>
                </w:rPr>
                <w:t>Mine Safety Disclosures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47</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Item 5.</w:t>
            </w:r>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hyperlink w:anchor="Item5.OtherInformation">
              <w:r>
                <w:rPr>
                  <w:rStyle w:val="InternetLink"/>
                </w:rPr>
                <w:t>Other Information</w:t>
              </w:r>
            </w:hyperlink>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47</w:t>
            </w:r>
          </w:p>
        </w:tc>
      </w:tr>
      <w:tr>
        <w:trPr/>
        <w:tc>
          <w:tcPr>
            <w:tcW w:w="10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Item 6.</w:t>
            </w:r>
          </w:p>
        </w:tc>
        <w:tc>
          <w:tcPr>
            <w:tcW w:w="827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hyperlink w:anchor="Item6.Exhibits">
              <w:r>
                <w:rPr>
                  <w:rStyle w:val="InternetLink"/>
                </w:rPr>
                <w:t>Exhibits</w:t>
              </w:r>
            </w:hyperlink>
          </w:p>
        </w:tc>
        <w:tc>
          <w:tcPr>
            <w:tcW w:w="922"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ind w:left="180" w:right="0" w:hanging="0"/>
              <w:jc w:val="left"/>
              <w:rPr/>
            </w:pPr>
            <w:r>
              <w:rPr/>
              <w:t>48</w:t>
            </w:r>
          </w:p>
        </w:tc>
      </w:tr>
      <w:tr>
        <w:trPr/>
        <w:tc>
          <w:tcPr>
            <w:tcW w:w="10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hyperlink w:anchor="SIGNATURE">
              <w:r>
                <w:rPr>
                  <w:rStyle w:val="InternetLink"/>
                </w:rPr>
                <w:t>Signatures</w:t>
              </w:r>
            </w:hyperlink>
          </w:p>
        </w:tc>
        <w:tc>
          <w:tcPr>
            <w:tcW w:w="827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 </w:t>
            </w:r>
          </w:p>
        </w:tc>
        <w:tc>
          <w:tcPr>
            <w:tcW w:w="92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49</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 REGARDING 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Quarterly Report on Form 10-Q contains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Unless otherwise stated or unless the context otherwise requires, the terms “Company,” “the registrant,” “our company,” “the company,” “we,” “us,” “our,” “ours,” and “Taboola” refer to Taboola.com Ltd., a company organized under the laws of the State of Israel, and its consolidated subsidiaries.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18"/>
          <w:shd w:fill="FFFFFF" w:val="clear"/>
        </w:rPr>
      </w:pPr>
      <w:r>
        <w:rPr>
          <w:rFonts w:ascii="Times New Roman" w:hAnsi="Times New Roman"/>
          <w:b/>
          <w:color w:val="000000"/>
          <w:sz w:val="18"/>
          <w:shd w:fill="FFFFFF" w:val="clear"/>
        </w:rPr>
        <w:t>PART I – FINANCIAL INFORMATION</w:t>
      </w:r>
      <w:bookmarkStart w:id="1" w:name="PARTIFINANCIALINFORMATION"/>
      <w:bookmarkEnd w:id="1"/>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Item1.FinancialStatements"/>
      <w:bookmarkStart w:id="3" w:name="Item1.FinancialStatements"/>
      <w:bookmarkEnd w:id="3"/>
    </w:p>
    <w:tbl>
      <w:tblPr>
        <w:tblW w:w="2890" w:type="dxa"/>
        <w:jc w:val="left"/>
        <w:tblInd w:w="0" w:type="dxa"/>
        <w:tblLayout w:type="fixed"/>
        <w:tblCellMar>
          <w:top w:w="0" w:type="dxa"/>
          <w:left w:w="0" w:type="dxa"/>
          <w:bottom w:w="0" w:type="dxa"/>
          <w:right w:w="0" w:type="dxa"/>
        </w:tblCellMar>
      </w:tblPr>
      <w:tblGrid>
        <w:gridCol w:w="740"/>
        <w:gridCol w:w="2150"/>
      </w:tblGrid>
      <w:tr>
        <w:trPr/>
        <w:tc>
          <w:tcPr>
            <w:tcW w:w="740" w:type="dxa"/>
            <w:tcBorders/>
            <w:vAlign w:val="center"/>
          </w:tcPr>
          <w:p>
            <w:pPr>
              <w:pStyle w:val="TableContents"/>
              <w:bidi w:val="0"/>
              <w:spacing w:before="0" w:after="283"/>
              <w:jc w:val="left"/>
              <w:rPr>
                <w:b/>
              </w:rPr>
            </w:pPr>
            <w:r>
              <w:rPr>
                <w:b/>
              </w:rPr>
              <w:t>Item 1.</w:t>
            </w:r>
          </w:p>
        </w:tc>
        <w:tc>
          <w:tcPr>
            <w:tcW w:w="2150" w:type="dxa"/>
            <w:tcBorders/>
            <w:vAlign w:val="center"/>
          </w:tcPr>
          <w:p>
            <w:pPr>
              <w:pStyle w:val="TableContents"/>
              <w:bidi w:val="0"/>
              <w:spacing w:before="0" w:after="0"/>
              <w:jc w:val="left"/>
              <w:rPr>
                <w:b/>
              </w:rPr>
            </w:pPr>
            <w:r>
              <w:rPr>
                <w:b/>
              </w:rPr>
              <w:t>Financial Statements</w:t>
            </w:r>
          </w:p>
        </w:tc>
      </w:tr>
    </w:tbl>
    <w:p>
      <w:pPr>
        <w:pStyle w:val="TextBody"/>
        <w:bidi w:val="0"/>
        <w:spacing w:before="0" w:after="0"/>
        <w:jc w:val="left"/>
        <w:rPr/>
      </w:pPr>
      <w:r>
        <w:rPr/>
      </w:r>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both"/>
        <w:rPr>
          <w:b/>
          <w:sz w:val="20"/>
        </w:rPr>
      </w:pPr>
      <w:r>
        <w:rPr>
          <w:b/>
          <w:sz w:val="20"/>
        </w:rPr>
      </w:r>
    </w:p>
    <w:p>
      <w:pPr>
        <w:pStyle w:val="TextBody"/>
        <w:bidi w:val="0"/>
        <w:spacing w:before="0" w:after="0"/>
        <w:jc w:val="both"/>
        <w:rPr>
          <w:rFonts w:ascii="Times New Roman" w:hAnsi="Times New Roman"/>
          <w:b/>
          <w:color w:val="000000"/>
          <w:sz w:val="20"/>
          <w:shd w:fill="FFFFFF" w:val="clear"/>
        </w:rPr>
      </w:pPr>
      <w:bookmarkStart w:id="4" w:name="BALANCESHEETS"/>
      <w:bookmarkEnd w:id="4"/>
      <w:r>
        <w:rPr>
          <w:rFonts w:ascii="Times New Roman" w:hAnsi="Times New Roman"/>
          <w:b/>
          <w:color w:val="000000"/>
          <w:sz w:val="20"/>
          <w:shd w:fill="FFFFFF" w:val="clear"/>
        </w:rPr>
        <w:t>CONSOLIDATED INTERIM BALANCE SHEETS</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7743"/>
        <w:gridCol w:w="60"/>
        <w:gridCol w:w="144"/>
        <w:gridCol w:w="979"/>
        <w:gridCol w:w="60"/>
        <w:gridCol w:w="60"/>
        <w:gridCol w:w="141"/>
        <w:gridCol w:w="955"/>
        <w:gridCol w:w="63"/>
      </w:tblGrid>
      <w:tr>
        <w:trPr/>
        <w:tc>
          <w:tcPr>
            <w:tcW w:w="77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3" w:type="dxa"/>
            <w:gridSpan w:val="2"/>
            <w:tcBorders/>
            <w:vAlign w:val="bottom"/>
          </w:tcPr>
          <w:p>
            <w:pPr>
              <w:pStyle w:val="TableContents"/>
              <w:bidi w:val="0"/>
              <w:spacing w:before="0" w:after="0"/>
              <w:jc w:val="center"/>
              <w:rPr>
                <w:b/>
                <w:sz w:val="20"/>
              </w:rPr>
            </w:pPr>
            <w:r>
              <w:rPr>
                <w:b/>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0"/>
              <w:jc w:val="center"/>
              <w:rPr>
                <w:b/>
                <w:sz w:val="20"/>
              </w:rPr>
            </w:pPr>
            <w:r>
              <w:rPr>
                <w:b/>
                <w:sz w:val="20"/>
              </w:rPr>
              <w:t>December 31,</w:t>
            </w:r>
          </w:p>
        </w:tc>
        <w:tc>
          <w:tcPr>
            <w:tcW w:w="63"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3"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63"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3"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jc w:val="left"/>
              <w:rPr>
                <w:b/>
                <w:sz w:val="20"/>
              </w:rPr>
            </w:pPr>
            <w:r>
              <w:rPr>
                <w:b/>
                <w:sz w:val="20"/>
              </w:rPr>
              <w:t>ASSETS</w:t>
            </w:r>
          </w:p>
        </w:tc>
        <w:tc>
          <w:tcPr>
            <w:tcW w:w="60" w:type="dxa"/>
            <w:tcBorders/>
            <w:vAlign w:val="bottom"/>
          </w:tcPr>
          <w:p>
            <w:pPr>
              <w:pStyle w:val="TableContents"/>
              <w:bidi w:val="0"/>
              <w:spacing w:before="0" w:after="283"/>
              <w:jc w:val="left"/>
              <w:rPr/>
            </w:pPr>
            <w:r>
              <w:rPr/>
              <w:t> </w:t>
            </w:r>
          </w:p>
        </w:tc>
        <w:tc>
          <w:tcPr>
            <w:tcW w:w="11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jc w:val="left"/>
              <w:rPr>
                <w:b/>
                <w:sz w:val="20"/>
              </w:rPr>
            </w:pPr>
            <w:r>
              <w:rPr>
                <w:b/>
                <w:sz w:val="20"/>
              </w:rPr>
              <w:t>CURRENT ASSETS</w:t>
            </w:r>
          </w:p>
        </w:tc>
        <w:tc>
          <w:tcPr>
            <w:tcW w:w="60" w:type="dxa"/>
            <w:tcBorders/>
            <w:vAlign w:val="bottom"/>
          </w:tcPr>
          <w:p>
            <w:pPr>
              <w:pStyle w:val="TableContents"/>
              <w:bidi w:val="0"/>
              <w:spacing w:before="0" w:after="283"/>
              <w:jc w:val="left"/>
              <w:rPr/>
            </w:pPr>
            <w:r>
              <w:rPr/>
              <w:t> </w:t>
            </w:r>
          </w:p>
        </w:tc>
        <w:tc>
          <w:tcPr>
            <w:tcW w:w="11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vAlign w:val="bottom"/>
          </w:tcPr>
          <w:p>
            <w:pPr>
              <w:pStyle w:val="TableContents"/>
              <w:bidi w:val="0"/>
              <w:spacing w:before="0" w:after="0"/>
              <w:ind w:left="180" w:right="0" w:hanging="0"/>
              <w:jc w:val="left"/>
              <w:rPr>
                <w:sz w:val="20"/>
              </w:rPr>
            </w:pPr>
            <w:r>
              <w:rPr>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sz w:val="20"/>
              </w:rPr>
            </w:pPr>
            <w:r>
              <w:rPr>
                <w:sz w:val="20"/>
              </w:rPr>
              <w:t>$</w:t>
            </w:r>
          </w:p>
        </w:tc>
        <w:tc>
          <w:tcPr>
            <w:tcW w:w="979" w:type="dxa"/>
            <w:tcBorders/>
            <w:shd w:fill="CCEEFF" w:val="clear"/>
            <w:vAlign w:val="bottom"/>
          </w:tcPr>
          <w:p>
            <w:pPr>
              <w:pStyle w:val="TableContents"/>
              <w:bidi w:val="0"/>
              <w:spacing w:before="0" w:after="0"/>
              <w:jc w:val="right"/>
              <w:rPr>
                <w:sz w:val="20"/>
              </w:rPr>
            </w:pPr>
            <w:r>
              <w:rPr>
                <w:sz w:val="20"/>
              </w:rPr>
              <w:t>217,230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sz w:val="20"/>
              </w:rPr>
            </w:pPr>
            <w:r>
              <w:rPr>
                <w:sz w:val="20"/>
              </w:rPr>
              <w:t>$</w:t>
            </w:r>
          </w:p>
        </w:tc>
        <w:tc>
          <w:tcPr>
            <w:tcW w:w="955" w:type="dxa"/>
            <w:tcBorders/>
            <w:shd w:fill="CCEEFF" w:val="clear"/>
            <w:vAlign w:val="bottom"/>
          </w:tcPr>
          <w:p>
            <w:pPr>
              <w:pStyle w:val="TableContents"/>
              <w:bidi w:val="0"/>
              <w:spacing w:before="0" w:after="0"/>
              <w:jc w:val="right"/>
              <w:rPr>
                <w:sz w:val="20"/>
              </w:rPr>
            </w:pPr>
            <w:r>
              <w:rPr>
                <w:sz w:val="20"/>
              </w:rPr>
              <w:t>176,108</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ind w:left="180" w:right="0" w:hanging="0"/>
              <w:jc w:val="left"/>
              <w:rPr>
                <w:sz w:val="20"/>
              </w:rPr>
            </w:pPr>
            <w:r>
              <w:rPr>
                <w:sz w:val="20"/>
              </w:rPr>
              <w:t>Short-term investments</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sz w:val="20"/>
              </w:rPr>
            </w:pPr>
            <w:r>
              <w:rPr>
                <w:sz w:val="20"/>
              </w:rPr>
              <w:t>5,725</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vAlign w:val="bottom"/>
          </w:tcPr>
          <w:p>
            <w:pPr>
              <w:pStyle w:val="TableContents"/>
              <w:bidi w:val="0"/>
              <w:spacing w:before="0" w:after="0"/>
              <w:ind w:left="180" w:right="0" w:hanging="0"/>
              <w:jc w:val="left"/>
              <w:rPr>
                <w:sz w:val="20"/>
              </w:rPr>
            </w:pPr>
            <w:r>
              <w:rPr>
                <w:sz w:val="20"/>
              </w:rPr>
              <w:t>Restricted deposits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sz w:val="20"/>
              </w:rPr>
            </w:pPr>
            <w:r>
              <w:rPr>
                <w:sz w:val="20"/>
              </w:rPr>
              <w:t>1,312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sz w:val="20"/>
              </w:rPr>
            </w:pPr>
            <w:r>
              <w:rPr>
                <w:sz w:val="20"/>
              </w:rPr>
              <w:t>1,407</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ind w:left="360" w:right="0" w:hanging="0"/>
              <w:jc w:val="left"/>
              <w:rPr>
                <w:sz w:val="20"/>
              </w:rPr>
            </w:pPr>
            <w:r>
              <w:rPr>
                <w:sz w:val="20"/>
              </w:rPr>
              <w:t xml:space="preserve">Trade receivables (net of allowance for credit losses of $7,640 and $10,207 as of September 30, 2024 and December 31, 2023, respectively) (1)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sz w:val="20"/>
              </w:rPr>
            </w:pPr>
            <w:r>
              <w:rPr>
                <w:sz w:val="20"/>
              </w:rPr>
              <w:t>297,330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sz w:val="20"/>
              </w:rPr>
            </w:pPr>
            <w:r>
              <w:rPr>
                <w:sz w:val="20"/>
              </w:rPr>
              <w:t>306,307</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vAlign w:val="bottom"/>
          </w:tcPr>
          <w:p>
            <w:pPr>
              <w:pStyle w:val="TableContents"/>
              <w:bidi w:val="0"/>
              <w:spacing w:before="0" w:after="0"/>
              <w:ind w:left="180" w:right="0" w:hanging="0"/>
              <w:jc w:val="left"/>
              <w:rPr>
                <w:sz w:val="20"/>
              </w:rPr>
            </w:pPr>
            <w:r>
              <w:rPr>
                <w:sz w:val="20"/>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61,995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69,865</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jc w:val="left"/>
              <w:rPr>
                <w:b w:val="false"/>
                <w:sz w:val="20"/>
              </w:rPr>
            </w:pPr>
            <w:r>
              <w:rPr>
                <w:b w:val="false"/>
                <w:sz w:val="20"/>
              </w:rPr>
              <w:t>Total current assets</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tcMar>
              <w:bottom w:w="28" w:type="dxa"/>
            </w:tcMar>
            <w:vAlign w:val="bottom"/>
          </w:tcPr>
          <w:p>
            <w:pPr>
              <w:pStyle w:val="TableContents"/>
              <w:bidi w:val="0"/>
              <w:spacing w:before="0" w:after="0"/>
              <w:jc w:val="right"/>
              <w:rPr>
                <w:sz w:val="20"/>
              </w:rPr>
            </w:pPr>
            <w:r>
              <w:rPr>
                <w:sz w:val="20"/>
              </w:rPr>
              <w:t>577,867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tcMar>
              <w:bottom w:w="28" w:type="dxa"/>
            </w:tcMar>
            <w:vAlign w:val="bottom"/>
          </w:tcPr>
          <w:p>
            <w:pPr>
              <w:pStyle w:val="TableContents"/>
              <w:bidi w:val="0"/>
              <w:spacing w:before="0" w:after="0"/>
              <w:jc w:val="right"/>
              <w:rPr>
                <w:sz w:val="20"/>
              </w:rPr>
            </w:pPr>
            <w:r>
              <w:rPr>
                <w:sz w:val="20"/>
              </w:rPr>
              <w:t>559,412</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vAlign w:val="bottom"/>
          </w:tcPr>
          <w:p>
            <w:pPr>
              <w:pStyle w:val="TableContents"/>
              <w:bidi w:val="0"/>
              <w:spacing w:before="0" w:after="0"/>
              <w:jc w:val="left"/>
              <w:rPr>
                <w:b/>
                <w:sz w:val="20"/>
              </w:rPr>
            </w:pPr>
            <w:r>
              <w:rPr>
                <w:b/>
                <w:sz w:val="20"/>
              </w:rPr>
              <w:t>NON-CURRENT ASSETS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ind w:left="180" w:right="0" w:hanging="0"/>
              <w:jc w:val="left"/>
              <w:rPr>
                <w:sz w:val="20"/>
              </w:rPr>
            </w:pPr>
            <w:r>
              <w:rPr>
                <w:sz w:val="20"/>
              </w:rPr>
              <w:t>Long-term prepaid expenses</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sz w:val="20"/>
              </w:rPr>
            </w:pPr>
            <w:r>
              <w:rPr>
                <w:sz w:val="20"/>
              </w:rPr>
              <w:t>24,470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sz w:val="20"/>
              </w:rPr>
            </w:pPr>
            <w:r>
              <w:rPr>
                <w:sz w:val="20"/>
              </w:rPr>
              <w:t>39,602</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vAlign w:val="bottom"/>
          </w:tcPr>
          <w:p>
            <w:pPr>
              <w:pStyle w:val="TableContents"/>
              <w:bidi w:val="0"/>
              <w:spacing w:before="0" w:after="0"/>
              <w:ind w:left="180" w:right="0" w:hanging="0"/>
              <w:jc w:val="left"/>
              <w:rPr>
                <w:sz w:val="20"/>
              </w:rPr>
            </w:pPr>
            <w:r>
              <w:rPr>
                <w:sz w:val="20"/>
              </w:rPr>
              <w:t>Commercial agreement asset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sz w:val="20"/>
              </w:rPr>
            </w:pPr>
            <w:r>
              <w:rPr>
                <w:sz w:val="20"/>
              </w:rPr>
              <w:t>288,061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sz w:val="20"/>
              </w:rPr>
            </w:pPr>
            <w:r>
              <w:rPr>
                <w:sz w:val="20"/>
              </w:rPr>
              <w:t>289,451</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ind w:left="180" w:right="0" w:hanging="0"/>
              <w:jc w:val="left"/>
              <w:rPr>
                <w:sz w:val="20"/>
              </w:rPr>
            </w:pPr>
            <w:r>
              <w:rPr>
                <w:sz w:val="20"/>
              </w:rPr>
              <w:t>Restricted deposits</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sz w:val="20"/>
              </w:rPr>
            </w:pPr>
            <w:r>
              <w:rPr>
                <w:sz w:val="20"/>
              </w:rPr>
              <w:t>4,078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sz w:val="20"/>
              </w:rPr>
            </w:pPr>
            <w:r>
              <w:rPr>
                <w:sz w:val="20"/>
              </w:rPr>
              <w:t>4,247</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vAlign w:val="bottom"/>
          </w:tcPr>
          <w:p>
            <w:pPr>
              <w:pStyle w:val="TableContents"/>
              <w:bidi w:val="0"/>
              <w:spacing w:before="0" w:after="0"/>
              <w:ind w:left="180" w:right="0" w:hanging="0"/>
              <w:jc w:val="left"/>
              <w:rPr>
                <w:sz w:val="20"/>
              </w:rPr>
            </w:pPr>
            <w:r>
              <w:rPr>
                <w:sz w:val="20"/>
              </w:rPr>
              <w:t>Operating lease right of use assets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sz w:val="20"/>
              </w:rPr>
            </w:pPr>
            <w:r>
              <w:rPr>
                <w:sz w:val="20"/>
              </w:rPr>
              <w:t>60,329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sz w:val="20"/>
              </w:rPr>
            </w:pPr>
            <w:r>
              <w:rPr>
                <w:sz w:val="20"/>
              </w:rPr>
              <w:t>61,746</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ind w:left="180" w:right="0" w:hanging="0"/>
              <w:jc w:val="left"/>
              <w:rPr>
                <w:sz w:val="20"/>
              </w:rPr>
            </w:pPr>
            <w:r>
              <w:rPr>
                <w:sz w:val="20"/>
              </w:rPr>
              <w:t>Property and equipment, net</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sz w:val="20"/>
              </w:rPr>
            </w:pPr>
            <w:r>
              <w:rPr>
                <w:sz w:val="20"/>
              </w:rPr>
              <w:t>73,696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sz w:val="20"/>
              </w:rPr>
            </w:pPr>
            <w:r>
              <w:rPr>
                <w:sz w:val="20"/>
              </w:rPr>
              <w:t>72,155</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vAlign w:val="bottom"/>
          </w:tcPr>
          <w:p>
            <w:pPr>
              <w:pStyle w:val="TableContents"/>
              <w:bidi w:val="0"/>
              <w:spacing w:before="0" w:after="0"/>
              <w:ind w:left="180" w:right="0" w:hanging="0"/>
              <w:jc w:val="left"/>
              <w:rPr>
                <w:sz w:val="20"/>
              </w:rPr>
            </w:pPr>
            <w:r>
              <w:rPr>
                <w:sz w:val="20"/>
              </w:rPr>
              <w:t>Intangible assets, net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sz w:val="20"/>
              </w:rPr>
            </w:pPr>
            <w:r>
              <w:rPr>
                <w:sz w:val="20"/>
              </w:rPr>
              <w:t>78,485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sz w:val="20"/>
              </w:rPr>
            </w:pPr>
            <w:r>
              <w:rPr>
                <w:sz w:val="20"/>
              </w:rPr>
              <w:t>125,258</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ind w:left="180" w:right="0" w:hanging="0"/>
              <w:jc w:val="left"/>
              <w:rPr>
                <w:sz w:val="20"/>
              </w:rPr>
            </w:pPr>
            <w:r>
              <w:rPr>
                <w:sz w:val="20"/>
              </w:rPr>
              <w:t>Goodwill</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sz w:val="20"/>
              </w:rPr>
            </w:pPr>
            <w:r>
              <w:rPr>
                <w:sz w:val="20"/>
              </w:rPr>
              <w:t>555,931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sz w:val="20"/>
              </w:rPr>
            </w:pPr>
            <w:r>
              <w:rPr>
                <w:sz w:val="20"/>
              </w:rPr>
              <w:t>555,931</w:t>
            </w:r>
          </w:p>
        </w:tc>
        <w:tc>
          <w:tcPr>
            <w:tcW w:w="63" w:type="dxa"/>
            <w:tcBorders/>
            <w:vAlign w:val="bottom"/>
          </w:tcPr>
          <w:p>
            <w:pPr>
              <w:pStyle w:val="TableContents"/>
              <w:bidi w:val="0"/>
              <w:spacing w:before="0" w:after="283"/>
              <w:jc w:val="left"/>
              <w:rPr/>
            </w:pPr>
            <w:r>
              <w:rPr/>
              <w:t> </w:t>
            </w:r>
          </w:p>
        </w:tc>
      </w:tr>
      <w:tr>
        <w:trPr/>
        <w:tc>
          <w:tcPr>
            <w:tcW w:w="7743" w:type="dxa"/>
            <w:tcBorders/>
            <w:shd w:fill="CCEEFF" w:val="clear"/>
            <w:vAlign w:val="bottom"/>
          </w:tcPr>
          <w:p>
            <w:pPr>
              <w:pStyle w:val="TableContents"/>
              <w:bidi w:val="0"/>
              <w:spacing w:before="0" w:after="0"/>
              <w:jc w:val="left"/>
              <w:rPr>
                <w:b w:val="false"/>
                <w:sz w:val="20"/>
              </w:rPr>
            </w:pPr>
            <w:r>
              <w:rPr>
                <w:b w:val="false"/>
                <w:sz w:val="20"/>
              </w:rPr>
              <w:t>Total non-current assets</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1,085,050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1,148,390</w:t>
            </w:r>
          </w:p>
        </w:tc>
        <w:tc>
          <w:tcPr>
            <w:tcW w:w="63" w:type="dxa"/>
            <w:tcBorders/>
            <w:shd w:fill="CCEEFF" w:val="clear"/>
            <w:vAlign w:val="bottom"/>
          </w:tcPr>
          <w:p>
            <w:pPr>
              <w:pStyle w:val="TableContents"/>
              <w:bidi w:val="0"/>
              <w:spacing w:before="0" w:after="283"/>
              <w:jc w:val="left"/>
              <w:rPr/>
            </w:pPr>
            <w:r>
              <w:rPr/>
              <w:t> </w:t>
            </w:r>
          </w:p>
        </w:tc>
      </w:tr>
      <w:tr>
        <w:trPr/>
        <w:tc>
          <w:tcPr>
            <w:tcW w:w="7743" w:type="dxa"/>
            <w:tcBorders/>
            <w:vAlign w:val="bottom"/>
          </w:tcPr>
          <w:p>
            <w:pPr>
              <w:pStyle w:val="TableContents"/>
              <w:bidi w:val="0"/>
              <w:spacing w:before="0" w:after="0"/>
              <w:jc w:val="left"/>
              <w:rPr>
                <w:b w:val="false"/>
                <w:sz w:val="20"/>
              </w:rPr>
            </w:pPr>
            <w:r>
              <w:rPr>
                <w:b w:val="false"/>
                <w:sz w:val="20"/>
              </w:rPr>
              <w:t>Total assets</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979"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1,662,917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955"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1,707,802</w:t>
            </w:r>
          </w:p>
        </w:tc>
        <w:tc>
          <w:tcPr>
            <w:tcW w:w="63" w:type="dxa"/>
            <w:tcBorders/>
            <w:vAlign w:val="bottom"/>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985"/>
        <w:gridCol w:w="60"/>
        <w:gridCol w:w="125"/>
        <w:gridCol w:w="845"/>
        <w:gridCol w:w="80"/>
        <w:gridCol w:w="60"/>
        <w:gridCol w:w="125"/>
        <w:gridCol w:w="845"/>
        <w:gridCol w:w="80"/>
      </w:tblGrid>
      <w:tr>
        <w:trPr/>
        <w:tc>
          <w:tcPr>
            <w:tcW w:w="7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LIABILITIES AND SHAREHOLDERS’ EQUITY</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CURRENT LIABILITIES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360" w:right="0" w:hanging="180"/>
              <w:jc w:val="left"/>
              <w:rPr>
                <w:sz w:val="20"/>
              </w:rPr>
            </w:pPr>
            <w:r>
              <w:rPr>
                <w:sz w:val="20"/>
              </w:rPr>
              <w:t>Trade payables (2)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273,618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282,012</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Short-term operating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21,873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20,264</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146,732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118,689</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Current maturities of long-term loan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3,000</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b w:val="false"/>
                <w:sz w:val="20"/>
              </w:rPr>
            </w:pPr>
            <w:r>
              <w:rPr>
                <w:b w:val="false"/>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442,223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423,965</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LONG-TERM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Long-term loan, net of current maturities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146,070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142,164</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Long-term operating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44,970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49,450</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Warrants liability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1,504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6,129</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Deferred tax liabilities,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3,853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14,815</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Other long-term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12,482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14,217</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val="false"/>
                <w:sz w:val="20"/>
              </w:rPr>
            </w:pPr>
            <w:r>
              <w:rPr>
                <w:b w:val="false"/>
                <w:sz w:val="20"/>
              </w:rPr>
              <w:t>Total long-term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208,879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226,775</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b/>
                <w:sz w:val="20"/>
              </w:rPr>
            </w:pPr>
            <w:r>
              <w:rPr>
                <w:b/>
                <w:sz w:val="20"/>
              </w:rPr>
              <w:t>COMMITMENTS AND CONTINGENCIES (Note 11)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SHAREHOLDERS’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360" w:right="0" w:hanging="0"/>
              <w:jc w:val="left"/>
              <w:rPr>
                <w:sz w:val="20"/>
              </w:rPr>
            </w:pPr>
            <w:r>
              <w:rPr>
                <w:sz w:val="20"/>
              </w:rPr>
              <w:t>Ordinary shares with no par value - Authorized: 700,000,000 as of September 30, 2024 and December 31, 2023; 322,370,752 and 310,911,091 shares issued, and 292,633,697 and 295,670,620 shares outstanding as of September 30, 2024 and December 31, 2023,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360" w:right="0" w:hanging="0"/>
              <w:jc w:val="left"/>
              <w:rPr>
                <w:sz w:val="20"/>
              </w:rPr>
            </w:pPr>
            <w:r>
              <w:rPr>
                <w:sz w:val="20"/>
              </w:rPr>
              <w:t>Non-voting Ordinary shares with no par value - Authorized: 46,000,000 as of September 30, 2024 and December 31, 2023; 45,198,702 shares issued, and 44,210,406 and 45,198,702 shares outstanding as of September 30, 2024 and December 31, 2023, respectively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360" w:right="0" w:hanging="0"/>
              <w:jc w:val="left"/>
              <w:rPr>
                <w:sz w:val="20"/>
              </w:rPr>
            </w:pPr>
            <w:r>
              <w:rPr>
                <w:sz w:val="20"/>
              </w:rPr>
              <w:t xml:space="preserve">Treasury Ordinary shares, at cost - 30,725,351 (29,737,055 Ordinary shares and 988,296 Non-voting Ordinary shares) and 15,240,471 Ordinary shares as of September 30, 2024 and December 31, 2023, respectively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(120,030</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(55,513</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7985" w:type="dxa"/>
            <w:tcBorders/>
            <w:vAlign w:val="bottom"/>
          </w:tcPr>
          <w:p>
            <w:pPr>
              <w:pStyle w:val="TableContents"/>
              <w:bidi w:val="0"/>
              <w:spacing w:before="0" w:after="0"/>
              <w:ind w:left="180" w:right="0" w:hanging="0"/>
              <w:jc w:val="left"/>
              <w:rPr>
                <w:sz w:val="20"/>
              </w:rPr>
            </w:pPr>
            <w:r>
              <w:rPr>
                <w:sz w:val="20"/>
              </w:rPr>
              <w:t>Additional paid-in capital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1,319,043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1,262,093</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Accumulated other comprehensive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165</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942</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Accumulated deficit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(187,363</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(150,460</w:t>
            </w:r>
          </w:p>
        </w:tc>
        <w:tc>
          <w:tcPr>
            <w:tcW w:w="80" w:type="dxa"/>
            <w:tcBorders/>
            <w:vAlign w:val="bottom"/>
          </w:tcPr>
          <w:p>
            <w:pPr>
              <w:pStyle w:val="TableContents"/>
              <w:bidi w:val="0"/>
              <w:spacing w:before="0" w:after="0"/>
              <w:jc w:val="left"/>
              <w:rPr>
                <w:sz w:val="20"/>
              </w:rPr>
            </w:pPr>
            <w:r>
              <w:rPr>
                <w:sz w:val="20"/>
              </w:rPr>
              <w:t>)</w:t>
            </w:r>
          </w:p>
        </w:tc>
      </w:tr>
      <w:tr>
        <w:trPr/>
        <w:tc>
          <w:tcPr>
            <w:tcW w:w="7985" w:type="dxa"/>
            <w:tcBorders/>
            <w:shd w:fill="CCEEFF" w:val="clear"/>
            <w:vAlign w:val="bottom"/>
          </w:tcPr>
          <w:p>
            <w:pPr>
              <w:pStyle w:val="TableContents"/>
              <w:bidi w:val="0"/>
              <w:spacing w:before="0" w:after="0"/>
              <w:jc w:val="left"/>
              <w:rPr>
                <w:b w:val="false"/>
                <w:sz w:val="20"/>
              </w:rPr>
            </w:pPr>
            <w:r>
              <w:rPr>
                <w:b w:val="false"/>
                <w:sz w:val="20"/>
              </w:rPr>
              <w:t>Total shareholders’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1,011,815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1,057,062</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val="false"/>
                <w:sz w:val="20"/>
              </w:rPr>
            </w:pPr>
            <w:r>
              <w:rPr>
                <w:b w:val="false"/>
                <w:sz w:val="20"/>
              </w:rPr>
              <w:t>Total liabilities and shareholders’ equity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1,662,917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1,707,802</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(1) Includes related party trade receivables of $51,758 and $12,297, as of September 30, 2024 and December 31, 2023, respectively.</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(2) Includes related party trade payables of $50,621 and $38,657, as of September 30, 2024 and December 31, 2023, respectively.</w:t>
      </w:r>
    </w:p>
    <w:p>
      <w:pPr>
        <w:pStyle w:val="TextBody"/>
        <w:bidi w:val="0"/>
        <w:spacing w:before="0" w:after="0"/>
        <w:jc w:val="both"/>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- 4 -</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w:t>
      </w:r>
      <w:bookmarkStart w:id="5" w:name="CONSOLIDATEDINTERIMSTATEM"/>
      <w:bookmarkEnd w:id="5"/>
      <w:r>
        <w:rPr>
          <w:rFonts w:ascii="Times New Roman" w:hAnsi="Times New Roman"/>
          <w:b/>
          <w:color w:val="000000"/>
          <w:sz w:val="20"/>
          <w:shd w:fill="FFFFFF" w:val="clear"/>
        </w:rPr>
        <w:t xml:space="preserve"> INTERIM STATEMENTS OF LOSS </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4925"/>
        <w:gridCol w:w="60"/>
        <w:gridCol w:w="125"/>
        <w:gridCol w:w="1055"/>
        <w:gridCol w:w="80"/>
        <w:gridCol w:w="60"/>
        <w:gridCol w:w="125"/>
        <w:gridCol w:w="1055"/>
        <w:gridCol w:w="80"/>
        <w:gridCol w:w="60"/>
        <w:gridCol w:w="125"/>
        <w:gridCol w:w="1055"/>
        <w:gridCol w:w="80"/>
        <w:gridCol w:w="60"/>
        <w:gridCol w:w="125"/>
        <w:gridCol w:w="1055"/>
        <w:gridCol w:w="80"/>
      </w:tblGrid>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50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 xml:space="preserve">Nine months ended </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 xml:space="preserve">2024 </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2023</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2024</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2023</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5140" w:type="dxa"/>
            <w:gridSpan w:val="14"/>
            <w:tcBorders>
              <w:bottom w:val="single" w:sz="12" w:space="0" w:color="000000"/>
            </w:tcBorders>
            <w:tcMar>
              <w:bottom w:w="28" w:type="dxa"/>
            </w:tcMar>
            <w:vAlign w:val="bottom"/>
          </w:tcPr>
          <w:p>
            <w:pPr>
              <w:pStyle w:val="TableContents"/>
              <w:bidi w:val="0"/>
              <w:spacing w:before="0" w:after="283"/>
              <w:jc w:val="center"/>
              <w:rPr>
                <w:b/>
                <w:sz w:val="20"/>
              </w:rPr>
            </w:pPr>
            <w:r>
              <w:rPr>
                <w:b/>
                <w:sz w:val="20"/>
              </w:rPr>
              <w:t xml:space="preserve">Unaudited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sz w:val="20"/>
              </w:rPr>
            </w:pPr>
            <w:r>
              <w:rPr>
                <w:sz w:val="20"/>
              </w:rPr>
              <w:t>Revenues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1055" w:type="dxa"/>
            <w:tcBorders/>
            <w:shd w:fill="CCEEFF" w:val="clear"/>
            <w:vAlign w:val="bottom"/>
          </w:tcPr>
          <w:p>
            <w:pPr>
              <w:pStyle w:val="TableContents"/>
              <w:bidi w:val="0"/>
              <w:spacing w:before="0" w:after="0"/>
              <w:jc w:val="right"/>
              <w:rPr>
                <w:sz w:val="20"/>
              </w:rPr>
            </w:pPr>
            <w:r>
              <w:rPr>
                <w:sz w:val="20"/>
              </w:rPr>
              <w:t>433,012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1055" w:type="dxa"/>
            <w:tcBorders/>
            <w:shd w:fill="CCEEFF" w:val="clear"/>
            <w:vAlign w:val="bottom"/>
          </w:tcPr>
          <w:p>
            <w:pPr>
              <w:pStyle w:val="TableContents"/>
              <w:bidi w:val="0"/>
              <w:spacing w:before="0" w:after="0"/>
              <w:jc w:val="right"/>
              <w:rPr>
                <w:sz w:val="20"/>
              </w:rPr>
            </w:pPr>
            <w:r>
              <w:rPr>
                <w:sz w:val="20"/>
              </w:rPr>
              <w:t>360,221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1055" w:type="dxa"/>
            <w:tcBorders/>
            <w:shd w:fill="CCEEFF" w:val="clear"/>
            <w:vAlign w:val="bottom"/>
          </w:tcPr>
          <w:p>
            <w:pPr>
              <w:pStyle w:val="TableContents"/>
              <w:bidi w:val="0"/>
              <w:spacing w:before="0" w:after="283"/>
              <w:jc w:val="right"/>
              <w:rPr>
                <w:sz w:val="20"/>
              </w:rPr>
            </w:pPr>
            <w:r>
              <w:rPr>
                <w:sz w:val="20"/>
              </w:rPr>
              <w:t>1,275,180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1055" w:type="dxa"/>
            <w:tcBorders/>
            <w:shd w:fill="CCEEFF" w:val="clear"/>
            <w:vAlign w:val="bottom"/>
          </w:tcPr>
          <w:p>
            <w:pPr>
              <w:pStyle w:val="TableContents"/>
              <w:bidi w:val="0"/>
              <w:spacing w:before="0" w:after="283"/>
              <w:jc w:val="right"/>
              <w:rPr>
                <w:sz w:val="20"/>
              </w:rPr>
            </w:pPr>
            <w:r>
              <w:rPr>
                <w:sz w:val="20"/>
              </w:rPr>
              <w:t>1,019,911</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sz w:val="20"/>
              </w:rPr>
            </w:pPr>
            <w:r>
              <w:rPr>
                <w:sz w:val="20"/>
              </w:rPr>
              <w:t>Cost of revenues: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180" w:right="0" w:hanging="0"/>
              <w:jc w:val="left"/>
              <w:rPr>
                <w:sz w:val="20"/>
              </w:rPr>
            </w:pPr>
            <w:r>
              <w:rPr>
                <w:sz w:val="20"/>
              </w:rPr>
              <w:t>Traffic acquisition cost (2)</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267,997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231,786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821,737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652,602</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180" w:right="0" w:hanging="0"/>
              <w:jc w:val="left"/>
              <w:rPr>
                <w:sz w:val="20"/>
              </w:rPr>
            </w:pPr>
            <w:r>
              <w:rPr>
                <w:sz w:val="20"/>
              </w:rPr>
              <w:t>Other cost of revenues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32,138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27,776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96,835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80,001</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sz w:val="20"/>
              </w:rPr>
            </w:pPr>
            <w:r>
              <w:rPr>
                <w:sz w:val="20"/>
              </w:rPr>
              <w:t>Total cost of revenues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300,135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259,562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918,572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732,603</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sz w:val="20"/>
              </w:rPr>
            </w:pPr>
            <w:r>
              <w:rPr>
                <w:sz w:val="20"/>
              </w:rPr>
              <w:t>Gross profit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132,877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100,659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356,608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287,308</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sz w:val="20"/>
              </w:rPr>
            </w:pPr>
            <w:r>
              <w:rPr>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180" w:right="0" w:hanging="0"/>
              <w:jc w:val="left"/>
              <w:rPr>
                <w:sz w:val="20"/>
              </w:rPr>
            </w:pPr>
            <w:r>
              <w:rPr>
                <w:sz w:val="20"/>
              </w:rPr>
              <w:t>Research and development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36,727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35,890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106,264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101,876</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180" w:right="0" w:hanging="0"/>
              <w:jc w:val="left"/>
              <w:rPr>
                <w:sz w:val="20"/>
              </w:rPr>
            </w:pPr>
            <w:r>
              <w:rPr>
                <w:sz w:val="20"/>
              </w:rPr>
              <w:t>Sales and marketing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67,808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59,664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200,253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181,431</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180" w:right="0" w:hanging="0"/>
              <w:jc w:val="left"/>
              <w:rPr>
                <w:sz w:val="20"/>
              </w:rPr>
            </w:pPr>
            <w:r>
              <w:rPr>
                <w:sz w:val="20"/>
              </w:rPr>
              <w:t>General and administrative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23,784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23,839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71,397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76,533</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sz w:val="20"/>
              </w:rPr>
            </w:pPr>
            <w:r>
              <w:rPr>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128,319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119,393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377,914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359,840</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4,558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(18,734</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(21,306</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(72,532</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4925"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Finance expenses,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(1,106</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(4,402</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(3,740</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(11,383</w:t>
            </w:r>
          </w:p>
        </w:tc>
        <w:tc>
          <w:tcPr>
            <w:tcW w:w="80" w:type="dxa"/>
            <w:tcBorders/>
            <w:vAlign w:val="bottom"/>
          </w:tcPr>
          <w:p>
            <w:pPr>
              <w:pStyle w:val="TableContents"/>
              <w:bidi w:val="0"/>
              <w:spacing w:before="0" w:after="283"/>
              <w:jc w:val="left"/>
              <w:rPr>
                <w:sz w:val="20"/>
              </w:rPr>
            </w:pPr>
            <w:r>
              <w:rPr>
                <w:sz w:val="20"/>
              </w:rPr>
              <w:t>)</w:t>
            </w:r>
          </w:p>
        </w:tc>
      </w:tr>
      <w:tr>
        <w:trPr/>
        <w:tc>
          <w:tcPr>
            <w:tcW w:w="4925"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Income (loss) before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3,452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(23,136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(25,046</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(83,915</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4925" w:type="dxa"/>
            <w:tcBorders/>
            <w:vAlign w:val="bottom"/>
          </w:tcPr>
          <w:p>
            <w:pPr>
              <w:pStyle w:val="TableContents"/>
              <w:bidi w:val="0"/>
              <w:spacing w:before="0" w:after="0"/>
              <w:jc w:val="left"/>
              <w:rPr>
                <w:sz w:val="20"/>
              </w:rPr>
            </w:pPr>
            <w:r>
              <w:rPr>
                <w:sz w:val="20"/>
              </w:rPr>
              <w:t>Income tax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(9,906</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(11,857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(1,848</w:t>
            </w:r>
          </w:p>
        </w:tc>
        <w:tc>
          <w:tcPr>
            <w:tcW w:w="80" w:type="dxa"/>
            <w:tcBorders/>
            <w:vAlign w:val="bottom"/>
          </w:tcPr>
          <w:p>
            <w:pPr>
              <w:pStyle w:val="TableContents"/>
              <w:bidi w:val="0"/>
              <w:spacing w:before="0" w:after="283"/>
              <w:jc w:val="left"/>
              <w:rPr>
                <w:sz w:val="20"/>
              </w:rPr>
            </w:pPr>
            <w:r>
              <w:rPr>
                <w:sz w:val="20"/>
              </w:rPr>
              <w:t>)</w:t>
            </w:r>
          </w:p>
        </w:tc>
      </w:tr>
      <w:tr>
        <w:trPr/>
        <w:tc>
          <w:tcPr>
            <w:tcW w:w="4925" w:type="dxa"/>
            <w:tcBorders/>
            <w:shd w:fill="CCEEFF" w:val="clear"/>
            <w:vAlign w:val="bottom"/>
          </w:tcPr>
          <w:p>
            <w:pPr>
              <w:pStyle w:val="TableContents"/>
              <w:bidi w:val="0"/>
              <w:spacing w:before="0" w:after="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(6,454</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(23,136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(36,903</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(85,763</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180" w:right="0" w:hanging="180"/>
              <w:jc w:val="left"/>
              <w:rPr>
                <w:sz w:val="20"/>
              </w:rPr>
            </w:pPr>
            <w:r>
              <w:rPr>
                <w:sz w:val="20"/>
              </w:rPr>
              <w:t>Net loss per share attributable to Ordinary and Non-voting Ordinary shareholders, basic and 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1055" w:type="dxa"/>
            <w:tcBorders/>
            <w:shd w:fill="CCEEFF" w:val="clear"/>
            <w:vAlign w:val="bottom"/>
          </w:tcPr>
          <w:p>
            <w:pPr>
              <w:pStyle w:val="TableContents"/>
              <w:bidi w:val="0"/>
              <w:spacing w:before="0" w:after="0"/>
              <w:jc w:val="right"/>
              <w:rPr>
                <w:sz w:val="20"/>
              </w:rPr>
            </w:pPr>
            <w:r>
              <w:rPr>
                <w:sz w:val="20"/>
              </w:rPr>
              <w:t>(0.02</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1055" w:type="dxa"/>
            <w:tcBorders/>
            <w:shd w:fill="CCEEFF" w:val="clear"/>
            <w:vAlign w:val="bottom"/>
          </w:tcPr>
          <w:p>
            <w:pPr>
              <w:pStyle w:val="TableContents"/>
              <w:bidi w:val="0"/>
              <w:spacing w:before="0" w:after="0"/>
              <w:jc w:val="right"/>
              <w:rPr>
                <w:sz w:val="20"/>
              </w:rPr>
            </w:pPr>
            <w:r>
              <w:rPr>
                <w:sz w:val="20"/>
              </w:rPr>
              <w:t>(0.07</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1055" w:type="dxa"/>
            <w:tcBorders/>
            <w:shd w:fill="CCEEFF" w:val="clear"/>
            <w:vAlign w:val="bottom"/>
          </w:tcPr>
          <w:p>
            <w:pPr>
              <w:pStyle w:val="TableContents"/>
              <w:bidi w:val="0"/>
              <w:spacing w:before="0" w:after="283"/>
              <w:jc w:val="right"/>
              <w:rPr>
                <w:sz w:val="20"/>
              </w:rPr>
            </w:pPr>
            <w:r>
              <w:rPr>
                <w:sz w:val="20"/>
              </w:rPr>
              <w:t>(0.11</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1055" w:type="dxa"/>
            <w:tcBorders/>
            <w:shd w:fill="CCEEFF" w:val="clear"/>
            <w:vAlign w:val="bottom"/>
          </w:tcPr>
          <w:p>
            <w:pPr>
              <w:pStyle w:val="TableContents"/>
              <w:bidi w:val="0"/>
              <w:spacing w:before="0" w:after="283"/>
              <w:jc w:val="right"/>
              <w:rPr>
                <w:sz w:val="20"/>
              </w:rPr>
            </w:pPr>
            <w:r>
              <w:rPr>
                <w:sz w:val="20"/>
              </w:rPr>
              <w:t>(0.25</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4925" w:type="dxa"/>
            <w:tcBorders/>
            <w:vAlign w:val="bottom"/>
          </w:tcPr>
          <w:p>
            <w:pPr>
              <w:pStyle w:val="TableContents"/>
              <w:bidi w:val="0"/>
              <w:spacing w:before="0" w:after="0"/>
              <w:ind w:left="180" w:right="0" w:hanging="180"/>
              <w:jc w:val="left"/>
              <w:rPr>
                <w:sz w:val="20"/>
              </w:rPr>
            </w:pPr>
            <w:r>
              <w:rPr>
                <w:sz w:val="20"/>
              </w:rPr>
              <w:t>Weighted-average shares used in computing net loss per share attributable to Ordinary and Non-voting Ordinary shareholders, basic and diluted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342,886,216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352,591,043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343,606,187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345,631,022</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(1) Includes revenues from related party of $44,936 and $12,307, for the three months ended September 30, 2024 and 2023, respectively, and $157,362 and $26,611, for the nine months ended September 30, 2024 and 2023, respectively.</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 xml:space="preserve">(2) </w:t>
      </w:r>
      <w:r>
        <w:rPr>
          <w:rFonts w:ascii="Times New Roman" w:hAnsi="Times New Roman"/>
          <w:b w:val="false"/>
          <w:i w:val="false"/>
          <w:caps w:val="false"/>
          <w:smallCaps w:val="false"/>
          <w:color w:val="000000"/>
          <w:sz w:val="20"/>
          <w:shd w:fill="FFFFFF" w:val="clear"/>
        </w:rPr>
        <w:t>Includes</w:t>
      </w:r>
      <w:r>
        <w:rPr>
          <w:rFonts w:ascii="Times New Roman" w:hAnsi="Times New Roman"/>
          <w:b w:val="false"/>
          <w:color w:val="000000"/>
          <w:sz w:val="20"/>
          <w:shd w:fill="FFFFFF" w:val="clear"/>
        </w:rPr>
        <w:t xml:space="preserve"> traffic acquisition cost to related party of $53,104 and $9,869, for the three months ended September 30, 2024 and 2023, respectively, and $205,148 and $9,869, for the nine months ended September 30, 2024 and 2023, respectively. </w:t>
      </w:r>
    </w:p>
    <w:p>
      <w:pPr>
        <w:pStyle w:val="TextBody"/>
        <w:bidi w:val="0"/>
        <w:spacing w:before="0" w:after="0"/>
        <w:jc w:val="both"/>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- 5 -</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STATEMENTS OF </w:t>
      </w:r>
      <w:bookmarkStart w:id="6" w:name="COMPREHENSIVELOSS"/>
      <w:bookmarkEnd w:id="6"/>
      <w:r>
        <w:rPr>
          <w:rFonts w:ascii="Times New Roman" w:hAnsi="Times New Roman"/>
          <w:b/>
          <w:color w:val="000000"/>
          <w:sz w:val="20"/>
          <w:shd w:fill="FFFFFF" w:val="clear"/>
        </w:rPr>
        <w:t xml:space="preserve">COMPREHENSIVE LOSS </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9927" w:type="dxa"/>
        <w:jc w:val="left"/>
        <w:tblInd w:w="0" w:type="dxa"/>
        <w:tblLayout w:type="fixed"/>
        <w:tblCellMar>
          <w:top w:w="0" w:type="dxa"/>
          <w:left w:w="0" w:type="dxa"/>
          <w:bottom w:w="0" w:type="dxa"/>
          <w:right w:w="0" w:type="dxa"/>
        </w:tblCellMar>
      </w:tblPr>
      <w:tblGrid>
        <w:gridCol w:w="6230"/>
        <w:gridCol w:w="60"/>
        <w:gridCol w:w="136"/>
        <w:gridCol w:w="594"/>
        <w:gridCol w:w="87"/>
        <w:gridCol w:w="65"/>
        <w:gridCol w:w="136"/>
        <w:gridCol w:w="709"/>
        <w:gridCol w:w="80"/>
        <w:gridCol w:w="60"/>
        <w:gridCol w:w="125"/>
        <w:gridCol w:w="650"/>
        <w:gridCol w:w="80"/>
        <w:gridCol w:w="60"/>
        <w:gridCol w:w="125"/>
        <w:gridCol w:w="650"/>
        <w:gridCol w:w="80"/>
      </w:tblGrid>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7"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Nine months ended</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87" w:type="dxa"/>
            <w:tcBorders>
              <w:bottom w:val="single" w:sz="12" w:space="0" w:color="000000"/>
            </w:tcBorders>
            <w:tcMar>
              <w:bottom w:w="28" w:type="dxa"/>
            </w:tcMar>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2024</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2023</w:t>
            </w:r>
          </w:p>
        </w:tc>
        <w:tc>
          <w:tcPr>
            <w:tcW w:w="80"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7" w:type="dxa"/>
            <w:gridSpan w:val="14"/>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80"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sz w:val="20"/>
              </w:rPr>
            </w:pPr>
            <w:r>
              <w:rPr>
                <w:sz w:val="20"/>
              </w:rPr>
              <w:t>$</w:t>
            </w:r>
          </w:p>
        </w:tc>
        <w:tc>
          <w:tcPr>
            <w:tcW w:w="594" w:type="dxa"/>
            <w:tcBorders/>
            <w:shd w:fill="CCEEFF" w:val="clear"/>
            <w:vAlign w:val="bottom"/>
          </w:tcPr>
          <w:p>
            <w:pPr>
              <w:pStyle w:val="TableContents"/>
              <w:bidi w:val="0"/>
              <w:spacing w:before="0" w:after="0"/>
              <w:jc w:val="right"/>
              <w:rPr>
                <w:sz w:val="20"/>
              </w:rPr>
            </w:pPr>
            <w:r>
              <w:rPr>
                <w:sz w:val="20"/>
              </w:rPr>
              <w:t>(6,454</w:t>
            </w:r>
          </w:p>
        </w:tc>
        <w:tc>
          <w:tcPr>
            <w:tcW w:w="87" w:type="dxa"/>
            <w:tcBorders/>
            <w:shd w:fill="CCEEFF" w:val="clear"/>
            <w:vAlign w:val="bottom"/>
          </w:tcPr>
          <w:p>
            <w:pPr>
              <w:pStyle w:val="TableContents"/>
              <w:bidi w:val="0"/>
              <w:spacing w:before="0" w:after="0"/>
              <w:jc w:val="left"/>
              <w:rPr>
                <w:sz w:val="20"/>
              </w:rPr>
            </w:pPr>
            <w:r>
              <w:rPr>
                <w:sz w:val="20"/>
              </w:rPr>
              <w:t>)</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sz w:val="20"/>
              </w:rPr>
            </w:pPr>
            <w:r>
              <w:rPr>
                <w:sz w:val="20"/>
              </w:rPr>
              <w:t>$</w:t>
            </w:r>
          </w:p>
        </w:tc>
        <w:tc>
          <w:tcPr>
            <w:tcW w:w="709" w:type="dxa"/>
            <w:tcBorders/>
            <w:shd w:fill="CCEEFF" w:val="clear"/>
            <w:vAlign w:val="bottom"/>
          </w:tcPr>
          <w:p>
            <w:pPr>
              <w:pStyle w:val="TableContents"/>
              <w:bidi w:val="0"/>
              <w:spacing w:before="0" w:after="0"/>
              <w:jc w:val="right"/>
              <w:rPr>
                <w:sz w:val="20"/>
              </w:rPr>
            </w:pPr>
            <w:r>
              <w:rPr>
                <w:sz w:val="20"/>
              </w:rPr>
              <w:t>(23,136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650" w:type="dxa"/>
            <w:tcBorders/>
            <w:shd w:fill="CCEEFF" w:val="clear"/>
            <w:vAlign w:val="bottom"/>
          </w:tcPr>
          <w:p>
            <w:pPr>
              <w:pStyle w:val="TableContents"/>
              <w:bidi w:val="0"/>
              <w:spacing w:before="0" w:after="283"/>
              <w:jc w:val="right"/>
              <w:rPr>
                <w:sz w:val="20"/>
              </w:rPr>
            </w:pPr>
            <w:r>
              <w:rPr>
                <w:sz w:val="20"/>
              </w:rPr>
              <w:t>(36,903</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650" w:type="dxa"/>
            <w:tcBorders/>
            <w:shd w:fill="CCEEFF" w:val="clear"/>
            <w:vAlign w:val="bottom"/>
          </w:tcPr>
          <w:p>
            <w:pPr>
              <w:pStyle w:val="TableContents"/>
              <w:bidi w:val="0"/>
              <w:spacing w:before="0" w:after="283"/>
              <w:jc w:val="right"/>
              <w:rPr>
                <w:sz w:val="20"/>
              </w:rPr>
            </w:pPr>
            <w:r>
              <w:rPr>
                <w:sz w:val="20"/>
              </w:rPr>
              <w:t>(85,763</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6230" w:type="dxa"/>
            <w:tcBorders/>
            <w:vAlign w:val="bottom"/>
          </w:tcPr>
          <w:p>
            <w:pPr>
              <w:pStyle w:val="TableContents"/>
              <w:bidi w:val="0"/>
              <w:spacing w:before="0" w:after="0"/>
              <w:jc w:val="left"/>
              <w:rPr>
                <w:sz w:val="20"/>
              </w:rPr>
            </w:pPr>
            <w:r>
              <w:rPr>
                <w:sz w:val="20"/>
              </w:rPr>
              <w:t>Other comprehensive income (loss):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360" w:right="0" w:hanging="180"/>
              <w:jc w:val="left"/>
              <w:rPr>
                <w:sz w:val="20"/>
              </w:rPr>
            </w:pPr>
            <w:r>
              <w:rPr>
                <w:sz w:val="20"/>
              </w:rPr>
              <w:t>Unrealized and realized gains on available-for-sale marketable securities, net</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0"/>
              <w:jc w:val="right"/>
              <w:rPr/>
            </w:pPr>
            <w:r>
              <w:rPr/>
              <w:t>—</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0"/>
              <w:jc w:val="right"/>
              <w:rPr>
                <w:sz w:val="20"/>
              </w:rPr>
            </w:pPr>
            <w:r>
              <w:rPr>
                <w:sz w:val="20"/>
              </w:rPr>
              <w:t>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sz w:val="20"/>
              </w:rPr>
            </w:pPr>
            <w:r>
              <w:rPr>
                <w:sz w:val="20"/>
              </w:rPr>
              <w:t>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sz w:val="20"/>
              </w:rPr>
            </w:pPr>
            <w:r>
              <w:rPr>
                <w:sz w:val="20"/>
              </w:rPr>
              <w:t>503</w:t>
            </w:r>
          </w:p>
        </w:tc>
        <w:tc>
          <w:tcPr>
            <w:tcW w:w="80"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ind w:left="360" w:right="0" w:hanging="180"/>
              <w:jc w:val="left"/>
              <w:rPr>
                <w:sz w:val="20"/>
              </w:rPr>
            </w:pPr>
            <w:r>
              <w:rPr>
                <w:sz w:val="20"/>
              </w:rPr>
              <w:t>Unrealized gains (losses) on derivative instruments, net</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tcMar>
              <w:bottom w:w="28" w:type="dxa"/>
            </w:tcMar>
            <w:vAlign w:val="bottom"/>
          </w:tcPr>
          <w:p>
            <w:pPr>
              <w:pStyle w:val="TableContents"/>
              <w:bidi w:val="0"/>
              <w:spacing w:before="0" w:after="0"/>
              <w:jc w:val="right"/>
              <w:rPr>
                <w:sz w:val="20"/>
              </w:rPr>
            </w:pPr>
            <w:r>
              <w:rPr>
                <w:sz w:val="20"/>
              </w:rPr>
              <w:t>204</w:t>
            </w:r>
          </w:p>
        </w:tc>
        <w:tc>
          <w:tcPr>
            <w:tcW w:w="8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09" w:type="dxa"/>
            <w:tcBorders>
              <w:bottom w:val="single" w:sz="12" w:space="0" w:color="000000"/>
            </w:tcBorders>
            <w:tcMar>
              <w:bottom w:w="28" w:type="dxa"/>
            </w:tcMar>
            <w:vAlign w:val="bottom"/>
          </w:tcPr>
          <w:p>
            <w:pPr>
              <w:pStyle w:val="TableContents"/>
              <w:bidi w:val="0"/>
              <w:spacing w:before="0" w:after="0"/>
              <w:jc w:val="right"/>
              <w:rPr>
                <w:sz w:val="20"/>
              </w:rPr>
            </w:pPr>
            <w:r>
              <w:rPr>
                <w:sz w:val="20"/>
              </w:rPr>
              <w:t>570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(783</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113</w:t>
            </w:r>
          </w:p>
        </w:tc>
        <w:tc>
          <w:tcPr>
            <w:tcW w:w="80" w:type="dxa"/>
            <w:tcBorders/>
            <w:vAlign w:val="bottom"/>
          </w:tcPr>
          <w:p>
            <w:pPr>
              <w:pStyle w:val="TableContents"/>
              <w:bidi w:val="0"/>
              <w:spacing w:before="0" w:after="283"/>
              <w:jc w:val="left"/>
              <w:rPr>
                <w:sz w:val="4"/>
                <w:szCs w:val="4"/>
              </w:rPr>
            </w:pPr>
            <w:r>
              <w:rPr>
                <w:sz w:val="4"/>
                <w:szCs w:val="4"/>
              </w:rPr>
            </w:r>
          </w:p>
        </w:tc>
      </w:tr>
      <w:tr>
        <w:trPr/>
        <w:tc>
          <w:tcPr>
            <w:tcW w:w="6230" w:type="dxa"/>
            <w:tcBorders/>
            <w:shd w:fill="CCEEFF" w:val="clear"/>
            <w:vAlign w:val="bottom"/>
          </w:tcPr>
          <w:p>
            <w:pPr>
              <w:pStyle w:val="TableContents"/>
              <w:bidi w:val="0"/>
              <w:spacing w:before="0" w:after="0"/>
              <w:jc w:val="left"/>
              <w:rPr>
                <w:sz w:val="20"/>
              </w:rPr>
            </w:pPr>
            <w:r>
              <w:rPr>
                <w:sz w:val="20"/>
              </w:rPr>
              <w:t>Other comprehensive income (loss)</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204</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9"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(777</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616</w:t>
            </w:r>
          </w:p>
        </w:tc>
        <w:tc>
          <w:tcPr>
            <w:tcW w:w="80"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sz w:val="20"/>
              </w:rPr>
            </w:pPr>
            <w:r>
              <w:rPr>
                <w:sz w:val="20"/>
              </w:rPr>
              <w:t>Comprehensive loss</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594" w:type="dxa"/>
            <w:tcBorders>
              <w:bottom w:val="single" w:sz="12" w:space="0" w:color="000000"/>
            </w:tcBorders>
            <w:tcMar>
              <w:bottom w:w="28" w:type="dxa"/>
            </w:tcMar>
            <w:vAlign w:val="bottom"/>
          </w:tcPr>
          <w:p>
            <w:pPr>
              <w:pStyle w:val="TableContents"/>
              <w:bidi w:val="0"/>
              <w:spacing w:before="0" w:after="0"/>
              <w:jc w:val="right"/>
              <w:rPr>
                <w:sz w:val="20"/>
              </w:rPr>
            </w:pPr>
            <w:r>
              <w:rPr>
                <w:sz w:val="20"/>
              </w:rPr>
              <w:t>(6,250</w:t>
            </w:r>
          </w:p>
        </w:tc>
        <w:tc>
          <w:tcPr>
            <w:tcW w:w="87" w:type="dxa"/>
            <w:tcBorders/>
            <w:vAlign w:val="bottom"/>
          </w:tcPr>
          <w:p>
            <w:pPr>
              <w:pStyle w:val="TableContents"/>
              <w:bidi w:val="0"/>
              <w:spacing w:before="0" w:after="0"/>
              <w:jc w:val="left"/>
              <w:rPr>
                <w:sz w:val="20"/>
              </w:rPr>
            </w:pPr>
            <w:r>
              <w:rPr>
                <w:sz w:val="20"/>
              </w:rPr>
              <w:t>)</w:t>
            </w:r>
          </w:p>
        </w:tc>
        <w:tc>
          <w:tcPr>
            <w:tcW w:w="65"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09" w:type="dxa"/>
            <w:tcBorders>
              <w:bottom w:val="single" w:sz="12" w:space="0" w:color="000000"/>
            </w:tcBorders>
            <w:tcMar>
              <w:bottom w:w="28" w:type="dxa"/>
            </w:tcMar>
            <w:vAlign w:val="bottom"/>
          </w:tcPr>
          <w:p>
            <w:pPr>
              <w:pStyle w:val="TableContents"/>
              <w:bidi w:val="0"/>
              <w:spacing w:before="0" w:after="0"/>
              <w:jc w:val="right"/>
              <w:rPr>
                <w:sz w:val="20"/>
              </w:rPr>
            </w:pPr>
            <w:r>
              <w:rPr>
                <w:sz w:val="20"/>
              </w:rPr>
              <w:t>(22,520</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(37,680</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(85,147</w:t>
            </w:r>
          </w:p>
        </w:tc>
        <w:tc>
          <w:tcPr>
            <w:tcW w:w="80" w:type="dxa"/>
            <w:tcBorders/>
            <w:vAlign w:val="bottom"/>
          </w:tcPr>
          <w:p>
            <w:pPr>
              <w:pStyle w:val="TableContents"/>
              <w:bidi w:val="0"/>
              <w:spacing w:before="0" w:after="283"/>
              <w:jc w:val="left"/>
              <w:rPr>
                <w:sz w:val="20"/>
              </w:rPr>
            </w:pPr>
            <w:r>
              <w:rPr>
                <w:sz w:val="20"/>
              </w:rPr>
              <w:t>)</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- 6 -</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right"/>
        <w:rPr>
          <w:b/>
        </w:rPr>
      </w:pPr>
      <w:r>
        <w:rPr>
          <w:b/>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STATEMENTS OF </w:t>
      </w:r>
      <w:bookmarkStart w:id="7" w:name="SHAREHOLDERSEQUITY"/>
      <w:bookmarkEnd w:id="7"/>
      <w:r>
        <w:rPr>
          <w:rFonts w:ascii="Times New Roman" w:hAnsi="Times New Roman"/>
          <w:b/>
          <w:color w:val="000000"/>
          <w:sz w:val="20"/>
          <w:shd w:fill="FFFFFF" w:val="clear"/>
        </w:rPr>
        <w:t xml:space="preserve">SHAREHOLDERS’ EQUITY </w:t>
      </w:r>
    </w:p>
    <w:p>
      <w:pPr>
        <w:pStyle w:val="HorizontalLine"/>
        <w:bidi w:val="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left"/>
        <w:rPr>
          <w:b/>
        </w:rPr>
      </w:pPr>
      <w:r>
        <w:rPr>
          <w:b/>
        </w:rPr>
      </w:r>
    </w:p>
    <w:tbl>
      <w:tblPr>
        <w:tblW w:w="12765" w:type="dxa"/>
        <w:jc w:val="left"/>
        <w:tblInd w:w="0" w:type="dxa"/>
        <w:tblLayout w:type="fixed"/>
        <w:tblCellMar>
          <w:top w:w="0" w:type="dxa"/>
          <w:left w:w="0" w:type="dxa"/>
          <w:bottom w:w="0" w:type="dxa"/>
          <w:right w:w="0" w:type="dxa"/>
        </w:tblCellMar>
      </w:tblPr>
      <w:tblGrid>
        <w:gridCol w:w="980"/>
        <w:gridCol w:w="180"/>
        <w:gridCol w:w="60"/>
        <w:gridCol w:w="950"/>
        <w:gridCol w:w="60"/>
        <w:gridCol w:w="60"/>
        <w:gridCol w:w="225"/>
        <w:gridCol w:w="470"/>
        <w:gridCol w:w="180"/>
        <w:gridCol w:w="180"/>
        <w:gridCol w:w="60"/>
        <w:gridCol w:w="1055"/>
        <w:gridCol w:w="80"/>
        <w:gridCol w:w="60"/>
        <w:gridCol w:w="225"/>
        <w:gridCol w:w="470"/>
        <w:gridCol w:w="180"/>
        <w:gridCol w:w="180"/>
        <w:gridCol w:w="139"/>
        <w:gridCol w:w="841"/>
        <w:gridCol w:w="180"/>
        <w:gridCol w:w="180"/>
        <w:gridCol w:w="125"/>
        <w:gridCol w:w="845"/>
        <w:gridCol w:w="180"/>
        <w:gridCol w:w="180"/>
        <w:gridCol w:w="160"/>
        <w:gridCol w:w="970"/>
        <w:gridCol w:w="180"/>
        <w:gridCol w:w="180"/>
        <w:gridCol w:w="351"/>
        <w:gridCol w:w="944"/>
        <w:gridCol w:w="180"/>
        <w:gridCol w:w="180"/>
        <w:gridCol w:w="143"/>
        <w:gridCol w:w="972"/>
        <w:gridCol w:w="180"/>
      </w:tblGrid>
      <w:tr>
        <w:trPr/>
        <w:tc>
          <w:tcPr>
            <w:tcW w:w="9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Non-voting</w:t>
            </w:r>
          </w:p>
          <w:p>
            <w:pPr>
              <w:pStyle w:val="TableContents"/>
              <w:bidi w:val="0"/>
              <w:spacing w:before="0" w:after="0"/>
              <w:jc w:val="center"/>
              <w:rPr>
                <w:b/>
                <w:sz w:val="20"/>
              </w:rPr>
            </w:pPr>
            <w:r>
              <w:rPr>
                <w:b/>
                <w:sz w:val="20"/>
              </w:rPr>
              <w:t xml:space="preserve">Ordinary shares </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center"/>
              <w:rPr/>
            </w:pPr>
            <w:r>
              <w:rPr/>
              <w:t>   </w:t>
            </w:r>
          </w:p>
        </w:tc>
        <w:tc>
          <w:tcPr>
            <w:tcW w:w="1950" w:type="dxa"/>
            <w:gridSpan w:val="6"/>
            <w:tcBorders>
              <w:bottom w:val="single" w:sz="12" w:space="0" w:color="000000"/>
            </w:tcBorders>
            <w:tcMar>
              <w:bottom w:w="28" w:type="dxa"/>
            </w:tcMar>
            <w:vAlign w:val="bottom"/>
          </w:tcPr>
          <w:p>
            <w:pPr>
              <w:pStyle w:val="TableContents"/>
              <w:bidi w:val="0"/>
              <w:spacing w:before="0" w:after="283"/>
              <w:jc w:val="center"/>
              <w:rPr>
                <w:b/>
                <w:sz w:val="20"/>
              </w:rPr>
            </w:pPr>
            <w:r>
              <w:rPr>
                <w:b/>
                <w:sz w:val="20"/>
              </w:rPr>
              <w:t>Ordinary shares</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980"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rPr>
            </w:pPr>
            <w:r>
              <w:rPr>
                <w:b/>
              </w:rPr>
              <w:t>Treasury</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970"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130"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deficit</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295"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other</w:t>
            </w:r>
          </w:p>
          <w:p>
            <w:pPr>
              <w:pStyle w:val="TableContents"/>
              <w:bidi w:val="0"/>
              <w:spacing w:before="0" w:after="0"/>
              <w:jc w:val="center"/>
              <w:rPr>
                <w:b/>
                <w:sz w:val="20"/>
              </w:rPr>
            </w:pPr>
            <w:r>
              <w:rPr>
                <w:b/>
                <w:sz w:val="20"/>
              </w:rPr>
              <w:t>comprehensive</w:t>
            </w:r>
          </w:p>
          <w:p>
            <w:pPr>
              <w:pStyle w:val="TableContents"/>
              <w:bidi w:val="0"/>
              <w:spacing w:before="0" w:after="0"/>
              <w:jc w:val="center"/>
              <w:rPr>
                <w:b/>
                <w:sz w:val="20"/>
              </w:rPr>
            </w:pPr>
            <w:r>
              <w:rPr>
                <w:b/>
                <w:sz w:val="20"/>
              </w:rPr>
              <w:t>income (loss)</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115"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shareholders’</w:t>
            </w:r>
          </w:p>
          <w:p>
            <w:pPr>
              <w:pStyle w:val="TableContents"/>
              <w:bidi w:val="0"/>
              <w:spacing w:before="0" w:after="0"/>
              <w:jc w:val="center"/>
              <w:rPr>
                <w:b/>
                <w:sz w:val="20"/>
              </w:rPr>
            </w:pPr>
            <w:r>
              <w:rPr>
                <w:b/>
                <w:sz w:val="20"/>
              </w:rPr>
              <w:t>equity</w:t>
            </w:r>
          </w:p>
        </w:tc>
        <w:tc>
          <w:tcPr>
            <w:tcW w:w="180" w:type="dxa"/>
            <w:vMerge w:val="restart"/>
            <w:tcBorders/>
            <w:vAlign w:val="bottom"/>
          </w:tcPr>
          <w:p>
            <w:pPr>
              <w:pStyle w:val="TableContents"/>
              <w:bidi w:val="0"/>
              <w:spacing w:before="0" w:after="283"/>
              <w:jc w:val="left"/>
              <w:rPr/>
            </w:pPr>
            <w:r>
              <w:rPr/>
              <w:t>   </w:t>
            </w:r>
          </w:p>
        </w:tc>
      </w:tr>
      <w:tr>
        <w:trPr/>
        <w:tc>
          <w:tcPr>
            <w:tcW w:w="9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25" w:type="dxa"/>
            <w:gridSpan w:val="6"/>
            <w:tcBorders/>
            <w:vAlign w:val="bottom"/>
          </w:tcPr>
          <w:p>
            <w:pPr>
              <w:pStyle w:val="TableContents"/>
              <w:bidi w:val="0"/>
              <w:spacing w:before="0" w:after="283"/>
              <w:jc w:val="left"/>
              <w:rPr/>
            </w:pPr>
            <w:r>
              <w:rPr/>
              <w:t> </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950" w:type="dxa"/>
            <w:gridSpan w:val="6"/>
            <w:tcBorders/>
            <w:vAlign w:val="bottom"/>
          </w:tcPr>
          <w:p>
            <w:pPr>
              <w:pStyle w:val="TableContents"/>
              <w:bidi w:val="0"/>
              <w:spacing w:before="0" w:after="283"/>
              <w:jc w:val="left"/>
              <w:rPr/>
            </w:pPr>
            <w:r>
              <w:rPr/>
              <w:t> </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980"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30" w:type="dxa"/>
            <w:gridSpan w:val="2"/>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295"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15"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r>
      <w:tr>
        <w:trPr/>
        <w:tc>
          <w:tcPr>
            <w:tcW w:w="9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01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Amount</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1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Number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Amount</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980"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30" w:type="dxa"/>
            <w:gridSpan w:val="2"/>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295"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15"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r>
      <w:tr>
        <w:trPr/>
        <w:tc>
          <w:tcPr>
            <w:tcW w:w="9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ind w:left="180" w:right="0" w:hanging="0"/>
              <w:jc w:val="left"/>
              <w:rPr>
                <w:sz w:val="20"/>
              </w:rPr>
            </w:pPr>
            <w:r>
              <w:rPr>
                <w:sz w:val="20"/>
              </w:rPr>
              <w:t>Balance as of July 1, 2024 (unaudited)</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sz w:val="20"/>
              </w:rPr>
            </w:pPr>
            <w:r>
              <w:rPr>
                <w:sz w:val="20"/>
              </w:rPr>
              <w:t>44,210,406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291,715,209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sz w:val="20"/>
              </w:rPr>
            </w:pPr>
            <w:r>
              <w:rPr>
                <w:sz w:val="20"/>
              </w:rPr>
              <w:t>$</w:t>
            </w:r>
          </w:p>
        </w:tc>
        <w:tc>
          <w:tcPr>
            <w:tcW w:w="841" w:type="dxa"/>
            <w:tcBorders/>
            <w:shd w:fill="CCEEFF" w:val="clear"/>
            <w:vAlign w:val="bottom"/>
          </w:tcPr>
          <w:p>
            <w:pPr>
              <w:pStyle w:val="TableContents"/>
              <w:bidi w:val="0"/>
              <w:spacing w:before="0" w:after="283"/>
              <w:jc w:val="right"/>
              <w:rPr>
                <w:sz w:val="20"/>
              </w:rPr>
            </w:pPr>
            <w:r>
              <w:rPr>
                <w:sz w:val="20"/>
              </w:rPr>
              <w:t>(109,978</w:t>
            </w:r>
          </w:p>
        </w:tc>
        <w:tc>
          <w:tcPr>
            <w:tcW w:w="180" w:type="dxa"/>
            <w:tcBorders/>
            <w:shd w:fill="CCEEFF" w:val="clear"/>
            <w:vAlign w:val="bottom"/>
          </w:tcPr>
          <w:p>
            <w:pPr>
              <w:pStyle w:val="TableContents"/>
              <w:bidi w:val="0"/>
              <w:spacing w:before="0" w:after="283"/>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1,301,159</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sz w:val="20"/>
              </w:rPr>
            </w:pPr>
            <w:r>
              <w:rPr>
                <w:sz w:val="20"/>
              </w:rPr>
              <w:t>$</w:t>
            </w:r>
          </w:p>
        </w:tc>
        <w:tc>
          <w:tcPr>
            <w:tcW w:w="970" w:type="dxa"/>
            <w:tcBorders/>
            <w:shd w:fill="CCEEFF" w:val="clear"/>
            <w:vAlign w:val="bottom"/>
          </w:tcPr>
          <w:p>
            <w:pPr>
              <w:pStyle w:val="TableContents"/>
              <w:bidi w:val="0"/>
              <w:spacing w:before="0" w:after="0"/>
              <w:jc w:val="right"/>
              <w:rPr>
                <w:sz w:val="20"/>
              </w:rPr>
            </w:pPr>
            <w:r>
              <w:rPr>
                <w:sz w:val="20"/>
              </w:rPr>
              <w:t>(180,909</w:t>
            </w:r>
          </w:p>
        </w:tc>
        <w:tc>
          <w:tcPr>
            <w:tcW w:w="180" w:type="dxa"/>
            <w:tcBorders/>
            <w:shd w:fill="CCEEFF" w:val="clear"/>
            <w:vAlign w:val="bottom"/>
          </w:tcPr>
          <w:p>
            <w:pPr>
              <w:pStyle w:val="TableContents"/>
              <w:bidi w:val="0"/>
              <w:spacing w:before="0" w:after="0"/>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0"/>
              <w:jc w:val="left"/>
              <w:rPr>
                <w:sz w:val="20"/>
              </w:rPr>
            </w:pPr>
            <w:r>
              <w:rPr>
                <w:sz w:val="20"/>
              </w:rPr>
              <w:t>$</w:t>
            </w:r>
          </w:p>
        </w:tc>
        <w:tc>
          <w:tcPr>
            <w:tcW w:w="944" w:type="dxa"/>
            <w:tcBorders/>
            <w:shd w:fill="CCEEFF" w:val="clear"/>
            <w:vAlign w:val="bottom"/>
          </w:tcPr>
          <w:p>
            <w:pPr>
              <w:pStyle w:val="TableContents"/>
              <w:bidi w:val="0"/>
              <w:spacing w:before="0" w:after="0"/>
              <w:jc w:val="right"/>
              <w:rPr>
                <w:sz w:val="20"/>
              </w:rPr>
            </w:pPr>
            <w:r>
              <w:rPr>
                <w:sz w:val="20"/>
              </w:rPr>
              <w:t>(39</w:t>
            </w:r>
          </w:p>
        </w:tc>
        <w:tc>
          <w:tcPr>
            <w:tcW w:w="180" w:type="dxa"/>
            <w:tcBorders/>
            <w:shd w:fill="CCEEFF" w:val="clear"/>
            <w:vAlign w:val="bottom"/>
          </w:tcPr>
          <w:p>
            <w:pPr>
              <w:pStyle w:val="TableContents"/>
              <w:bidi w:val="0"/>
              <w:spacing w:before="0" w:after="0"/>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sz w:val="20"/>
              </w:rPr>
            </w:pPr>
            <w:r>
              <w:rPr>
                <w:sz w:val="20"/>
              </w:rPr>
              <w:t>$</w:t>
            </w:r>
          </w:p>
        </w:tc>
        <w:tc>
          <w:tcPr>
            <w:tcW w:w="972" w:type="dxa"/>
            <w:tcBorders/>
            <w:shd w:fill="CCEEFF" w:val="clear"/>
            <w:vAlign w:val="bottom"/>
          </w:tcPr>
          <w:p>
            <w:pPr>
              <w:pStyle w:val="TableContents"/>
              <w:bidi w:val="0"/>
              <w:spacing w:before="0" w:after="0"/>
              <w:jc w:val="right"/>
              <w:rPr>
                <w:sz w:val="20"/>
              </w:rPr>
            </w:pPr>
            <w:r>
              <w:rPr>
                <w:sz w:val="20"/>
              </w:rPr>
              <w:t>1,010,233</w:t>
            </w:r>
          </w:p>
        </w:tc>
        <w:tc>
          <w:tcPr>
            <w:tcW w:w="18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ind w:left="360" w:right="0" w:hanging="360"/>
              <w:jc w:val="left"/>
              <w:rPr>
                <w:sz w:val="20"/>
              </w:rPr>
            </w:pPr>
            <w:r>
              <w:rPr>
                <w:sz w:val="20"/>
              </w:rPr>
              <w:t>Share-based compensation expenses</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17,625</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17,625</w:t>
            </w:r>
          </w:p>
        </w:tc>
        <w:tc>
          <w:tcPr>
            <w:tcW w:w="1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ind w:left="180" w:right="0" w:hanging="180"/>
              <w:jc w:val="left"/>
              <w:rPr>
                <w:sz w:val="20"/>
              </w:rPr>
            </w:pPr>
            <w:r>
              <w:rPr>
                <w:sz w:val="20"/>
              </w:rPr>
              <w:t>Repurchase of Ordinary shares</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(2,950,000</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sz w:val="20"/>
              </w:rPr>
            </w:pPr>
            <w:r>
              <w:rPr>
                <w:sz w:val="20"/>
              </w:rPr>
              <w:t>(10,052</w:t>
            </w:r>
          </w:p>
        </w:tc>
        <w:tc>
          <w:tcPr>
            <w:tcW w:w="180" w:type="dxa"/>
            <w:tcBorders/>
            <w:shd w:fill="CCEEFF" w:val="clear"/>
            <w:vAlign w:val="bottom"/>
          </w:tcPr>
          <w:p>
            <w:pPr>
              <w:pStyle w:val="TableContents"/>
              <w:bidi w:val="0"/>
              <w:spacing w:before="0" w:after="283"/>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sz w:val="20"/>
              </w:rPr>
            </w:pPr>
            <w:r>
              <w:rPr>
                <w:sz w:val="20"/>
              </w:rPr>
              <w:t>(10,052</w:t>
            </w:r>
          </w:p>
        </w:tc>
        <w:tc>
          <w:tcPr>
            <w:tcW w:w="180" w:type="dxa"/>
            <w:tcBorders/>
            <w:shd w:fill="CCEEFF" w:val="clear"/>
            <w:vAlign w:val="bottom"/>
          </w:tcPr>
          <w:p>
            <w:pPr>
              <w:pStyle w:val="TableContents"/>
              <w:bidi w:val="0"/>
              <w:spacing w:before="0" w:after="283"/>
              <w:jc w:val="left"/>
              <w:rPr>
                <w:sz w:val="20"/>
              </w:rPr>
            </w:pPr>
            <w:r>
              <w:rPr>
                <w:sz w:val="20"/>
              </w:rPr>
              <w:t>)</w:t>
            </w:r>
          </w:p>
        </w:tc>
      </w:tr>
      <w:tr>
        <w:trPr/>
        <w:tc>
          <w:tcPr>
            <w:tcW w:w="980" w:type="dxa"/>
            <w:tcBorders/>
            <w:vAlign w:val="bottom"/>
          </w:tcPr>
          <w:p>
            <w:pPr>
              <w:pStyle w:val="TableContents"/>
              <w:bidi w:val="0"/>
              <w:spacing w:before="0" w:after="0"/>
              <w:ind w:left="180" w:right="0" w:hanging="180"/>
              <w:jc w:val="left"/>
              <w:rPr>
                <w:sz w:val="20"/>
              </w:rPr>
            </w:pPr>
            <w:r>
              <w:rPr>
                <w:sz w:val="20"/>
              </w:rPr>
              <w:t>Exercise of options and vested RSUs</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3,287,091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968</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968</w:t>
            </w:r>
          </w:p>
        </w:tc>
        <w:tc>
          <w:tcPr>
            <w:tcW w:w="1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283"/>
              <w:ind w:left="0" w:right="0" w:hanging="180"/>
              <w:jc w:val="both"/>
              <w:rPr>
                <w:sz w:val="20"/>
              </w:rPr>
            </w:pPr>
            <w:r>
              <w:rPr>
                <w:rFonts w:ascii="Times New Roman" w:hAnsi="Times New Roman"/>
                <w:b w:val="false"/>
                <w:i w:val="false"/>
                <w:caps w:val="false"/>
                <w:smallCaps w:val="false"/>
                <w:color w:val="000000"/>
                <w:spacing w:val="0"/>
                <w:sz w:val="20"/>
              </w:rPr>
              <w:t>Connexity issuance of Holdback</w:t>
            </w:r>
            <w:r>
              <w:rPr>
                <w:sz w:val="20"/>
              </w:rPr>
              <w:t xml:space="preserve">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581,397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(709</w:t>
            </w:r>
          </w:p>
        </w:tc>
        <w:tc>
          <w:tcPr>
            <w:tcW w:w="180" w:type="dxa"/>
            <w:tcBorders/>
            <w:vAlign w:val="bottom"/>
          </w:tcPr>
          <w:p>
            <w:pPr>
              <w:pStyle w:val="TableContents"/>
              <w:bidi w:val="0"/>
              <w:spacing w:before="0" w:after="0"/>
              <w:jc w:val="left"/>
              <w:rPr>
                <w:sz w:val="20"/>
              </w:rPr>
            </w:pPr>
            <w:r>
              <w:rPr>
                <w:sz w:val="20"/>
              </w:rPr>
              <w:t>)</w:t>
            </w:r>
          </w:p>
        </w:tc>
        <w:tc>
          <w:tcPr>
            <w:tcW w:w="1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(709</w:t>
            </w:r>
          </w:p>
        </w:tc>
        <w:tc>
          <w:tcPr>
            <w:tcW w:w="180" w:type="dxa"/>
            <w:tcBorders/>
            <w:vAlign w:val="bottom"/>
          </w:tcPr>
          <w:p>
            <w:pPr>
              <w:pStyle w:val="TableContents"/>
              <w:bidi w:val="0"/>
              <w:spacing w:before="0" w:after="0"/>
              <w:jc w:val="left"/>
              <w:rPr>
                <w:sz w:val="20"/>
              </w:rPr>
            </w:pPr>
            <w:r>
              <w:rPr>
                <w:sz w:val="20"/>
              </w:rPr>
              <w:t>)</w:t>
            </w:r>
          </w:p>
        </w:tc>
      </w:tr>
      <w:tr>
        <w:trPr/>
        <w:tc>
          <w:tcPr>
            <w:tcW w:w="980" w:type="dxa"/>
            <w:tcBorders/>
            <w:shd w:fill="CCEEFF" w:val="clear"/>
            <w:vAlign w:val="bottom"/>
          </w:tcPr>
          <w:p>
            <w:pPr>
              <w:pStyle w:val="TableContents"/>
              <w:bidi w:val="0"/>
              <w:spacing w:before="0" w:after="0"/>
              <w:ind w:left="360" w:right="0" w:hanging="360"/>
              <w:jc w:val="left"/>
              <w:rPr>
                <w:sz w:val="20"/>
              </w:rPr>
            </w:pPr>
            <w:r>
              <w:rPr>
                <w:sz w:val="20"/>
              </w:rPr>
              <w:t>Other comprehensive income</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sz w:val="20"/>
              </w:rPr>
            </w:pPr>
            <w:r>
              <w:rPr>
                <w:sz w:val="20"/>
              </w:rPr>
              <w:t>204</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204</w:t>
            </w:r>
          </w:p>
        </w:tc>
        <w:tc>
          <w:tcPr>
            <w:tcW w:w="18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ind w:left="180" w:right="0" w:hanging="180"/>
              <w:jc w:val="left"/>
              <w:rPr>
                <w:sz w:val="20"/>
              </w:rPr>
            </w:pPr>
            <w:r>
              <w:rPr>
                <w:sz w:val="20"/>
              </w:rPr>
              <w:t>Net loss</w:t>
            </w:r>
          </w:p>
        </w:tc>
        <w:tc>
          <w:tcPr>
            <w:tcW w:w="18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tcMar>
              <w:bottom w:w="28" w:type="dxa"/>
            </w:tcMar>
            <w:vAlign w:val="bottom"/>
          </w:tcPr>
          <w:p>
            <w:pPr>
              <w:pStyle w:val="TableContents"/>
              <w:bidi w:val="0"/>
              <w:spacing w:before="0" w:after="283"/>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sz w:val="20"/>
              </w:rPr>
            </w:pPr>
            <w:r>
              <w:rPr>
                <w:sz w:val="20"/>
              </w:rPr>
              <w:t>(6,454</w:t>
            </w:r>
          </w:p>
        </w:tc>
        <w:tc>
          <w:tcPr>
            <w:tcW w:w="180" w:type="dxa"/>
            <w:tcBorders/>
            <w:vAlign w:val="bottom"/>
          </w:tcPr>
          <w:p>
            <w:pPr>
              <w:pStyle w:val="TableContents"/>
              <w:bidi w:val="0"/>
              <w:spacing w:before="0" w:after="0"/>
              <w:jc w:val="left"/>
              <w:rPr>
                <w:sz w:val="20"/>
              </w:rPr>
            </w:pPr>
            <w:r>
              <w:rPr>
                <w:sz w:val="20"/>
              </w:rPr>
              <w:t>)</w:t>
            </w:r>
          </w:p>
        </w:tc>
        <w:tc>
          <w:tcPr>
            <w:tcW w:w="180" w:type="dxa"/>
            <w:tcBorders/>
            <w:vAlign w:val="bottom"/>
          </w:tcPr>
          <w:p>
            <w:pPr>
              <w:pStyle w:val="TableContents"/>
              <w:bidi w:val="0"/>
              <w:spacing w:before="0" w:after="283"/>
              <w:jc w:val="right"/>
              <w:rPr/>
            </w:pPr>
            <w:r>
              <w:rPr/>
              <w:t> </w:t>
            </w:r>
          </w:p>
        </w:tc>
        <w:tc>
          <w:tcPr>
            <w:tcW w:w="35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4" w:type="dxa"/>
            <w:tcBorders>
              <w:bottom w:val="single" w:sz="12" w:space="0" w:color="000000"/>
            </w:tcBorders>
            <w:tcMar>
              <w:bottom w:w="28" w:type="dxa"/>
            </w:tcMar>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tcMar>
              <w:bottom w:w="28" w:type="dxa"/>
            </w:tcMar>
            <w:vAlign w:val="bottom"/>
          </w:tcPr>
          <w:p>
            <w:pPr>
              <w:pStyle w:val="TableContents"/>
              <w:bidi w:val="0"/>
              <w:spacing w:before="0" w:after="0"/>
              <w:jc w:val="right"/>
              <w:rPr>
                <w:sz w:val="20"/>
              </w:rPr>
            </w:pPr>
            <w:r>
              <w:rPr>
                <w:sz w:val="20"/>
              </w:rPr>
              <w:t>(6,454</w:t>
            </w:r>
          </w:p>
        </w:tc>
        <w:tc>
          <w:tcPr>
            <w:tcW w:w="180" w:type="dxa"/>
            <w:tcBorders/>
            <w:vAlign w:val="bottom"/>
          </w:tcPr>
          <w:p>
            <w:pPr>
              <w:pStyle w:val="TableContents"/>
              <w:bidi w:val="0"/>
              <w:spacing w:before="0" w:after="0"/>
              <w:jc w:val="left"/>
              <w:rPr>
                <w:sz w:val="20"/>
              </w:rPr>
            </w:pPr>
            <w:r>
              <w:rPr>
                <w:sz w:val="20"/>
              </w:rPr>
              <w:t>)</w:t>
            </w:r>
          </w:p>
        </w:tc>
      </w:tr>
      <w:tr>
        <w:trPr/>
        <w:tc>
          <w:tcPr>
            <w:tcW w:w="980" w:type="dxa"/>
            <w:tcBorders/>
            <w:shd w:fill="CCEEFF" w:val="clear"/>
            <w:vAlign w:val="bottom"/>
          </w:tcPr>
          <w:p>
            <w:pPr>
              <w:pStyle w:val="TableContents"/>
              <w:bidi w:val="0"/>
              <w:spacing w:before="0" w:after="0"/>
              <w:ind w:left="180" w:right="0" w:hanging="0"/>
              <w:jc w:val="left"/>
              <w:rPr>
                <w:sz w:val="20"/>
              </w:rPr>
            </w:pPr>
            <w:r>
              <w:rPr>
                <w:sz w:val="20"/>
              </w:rPr>
              <w:t>Balance as of September 30, 2024 (unaudited)</w:t>
            </w:r>
          </w:p>
        </w:tc>
        <w:tc>
          <w:tcPr>
            <w:tcW w:w="18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44,210,406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292,633,697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841"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(120,030</w:t>
            </w:r>
          </w:p>
        </w:tc>
        <w:tc>
          <w:tcPr>
            <w:tcW w:w="180" w:type="dxa"/>
            <w:tcBorders/>
            <w:shd w:fill="CCEEFF" w:val="clear"/>
            <w:vAlign w:val="bottom"/>
          </w:tcPr>
          <w:p>
            <w:pPr>
              <w:pStyle w:val="TableContents"/>
              <w:bidi w:val="0"/>
              <w:spacing w:before="0" w:after="283"/>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1,319,043</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(187,363</w:t>
            </w:r>
          </w:p>
        </w:tc>
        <w:tc>
          <w:tcPr>
            <w:tcW w:w="180" w:type="dxa"/>
            <w:tcBorders/>
            <w:shd w:fill="CCEEFF" w:val="clear"/>
            <w:vAlign w:val="bottom"/>
          </w:tcPr>
          <w:p>
            <w:pPr>
              <w:pStyle w:val="TableContents"/>
              <w:bidi w:val="0"/>
              <w:spacing w:before="0" w:after="0"/>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351"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4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165</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1,011,815</w:t>
            </w:r>
          </w:p>
        </w:tc>
        <w:tc>
          <w:tcPr>
            <w:tcW w:w="1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
        </w:rPr>
      </w:pPr>
      <w:r>
        <w:rPr>
          <w:b/>
        </w:rPr>
      </w:r>
    </w:p>
    <w:tbl>
      <w:tblPr>
        <w:tblW w:w="12765" w:type="dxa"/>
        <w:jc w:val="left"/>
        <w:tblInd w:w="0" w:type="dxa"/>
        <w:tblLayout w:type="fixed"/>
        <w:tblCellMar>
          <w:top w:w="0" w:type="dxa"/>
          <w:left w:w="0" w:type="dxa"/>
          <w:bottom w:w="0" w:type="dxa"/>
          <w:right w:w="0" w:type="dxa"/>
        </w:tblCellMar>
      </w:tblPr>
      <w:tblGrid>
        <w:gridCol w:w="980"/>
        <w:gridCol w:w="180"/>
        <w:gridCol w:w="60"/>
        <w:gridCol w:w="950"/>
        <w:gridCol w:w="60"/>
        <w:gridCol w:w="60"/>
        <w:gridCol w:w="225"/>
        <w:gridCol w:w="470"/>
        <w:gridCol w:w="180"/>
        <w:gridCol w:w="180"/>
        <w:gridCol w:w="60"/>
        <w:gridCol w:w="1055"/>
        <w:gridCol w:w="80"/>
        <w:gridCol w:w="60"/>
        <w:gridCol w:w="225"/>
        <w:gridCol w:w="470"/>
        <w:gridCol w:w="180"/>
        <w:gridCol w:w="180"/>
        <w:gridCol w:w="158"/>
        <w:gridCol w:w="822"/>
        <w:gridCol w:w="180"/>
        <w:gridCol w:w="180"/>
        <w:gridCol w:w="125"/>
        <w:gridCol w:w="845"/>
        <w:gridCol w:w="180"/>
        <w:gridCol w:w="180"/>
        <w:gridCol w:w="160"/>
        <w:gridCol w:w="970"/>
        <w:gridCol w:w="180"/>
        <w:gridCol w:w="180"/>
        <w:gridCol w:w="311"/>
        <w:gridCol w:w="984"/>
        <w:gridCol w:w="180"/>
        <w:gridCol w:w="180"/>
        <w:gridCol w:w="143"/>
        <w:gridCol w:w="972"/>
        <w:gridCol w:w="180"/>
      </w:tblGrid>
      <w:tr>
        <w:trPr/>
        <w:tc>
          <w:tcPr>
            <w:tcW w:w="9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Non-voting</w:t>
            </w:r>
          </w:p>
          <w:p>
            <w:pPr>
              <w:pStyle w:val="TableContents"/>
              <w:bidi w:val="0"/>
              <w:spacing w:before="0" w:after="0"/>
              <w:jc w:val="center"/>
              <w:rPr>
                <w:b/>
                <w:sz w:val="20"/>
              </w:rPr>
            </w:pPr>
            <w:r>
              <w:rPr>
                <w:b/>
                <w:sz w:val="20"/>
              </w:rPr>
              <w:t xml:space="preserve">Ordinary shares </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center"/>
              <w:rPr/>
            </w:pPr>
            <w:r>
              <w:rPr/>
              <w:t>   </w:t>
            </w:r>
          </w:p>
        </w:tc>
        <w:tc>
          <w:tcPr>
            <w:tcW w:w="1950" w:type="dxa"/>
            <w:gridSpan w:val="6"/>
            <w:tcBorders>
              <w:bottom w:val="single" w:sz="12" w:space="0" w:color="000000"/>
            </w:tcBorders>
            <w:tcMar>
              <w:bottom w:w="28" w:type="dxa"/>
            </w:tcMar>
            <w:vAlign w:val="bottom"/>
          </w:tcPr>
          <w:p>
            <w:pPr>
              <w:pStyle w:val="TableContents"/>
              <w:bidi w:val="0"/>
              <w:spacing w:before="0" w:after="283"/>
              <w:jc w:val="center"/>
              <w:rPr>
                <w:b/>
                <w:sz w:val="20"/>
              </w:rPr>
            </w:pPr>
            <w:r>
              <w:rPr>
                <w:b/>
                <w:sz w:val="20"/>
              </w:rPr>
              <w:t xml:space="preserve">Ordinary shares </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980"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rPr>
            </w:pPr>
            <w:r>
              <w:rPr>
                <w:b/>
              </w:rPr>
              <w:t>Treasury</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970"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130"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deficit</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295"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other</w:t>
            </w:r>
          </w:p>
          <w:p>
            <w:pPr>
              <w:pStyle w:val="TableContents"/>
              <w:bidi w:val="0"/>
              <w:spacing w:before="0" w:after="0"/>
              <w:jc w:val="center"/>
              <w:rPr>
                <w:b/>
                <w:sz w:val="20"/>
              </w:rPr>
            </w:pPr>
            <w:r>
              <w:rPr>
                <w:b/>
                <w:sz w:val="20"/>
              </w:rPr>
              <w:t>comprehensive</w:t>
            </w:r>
          </w:p>
          <w:p>
            <w:pPr>
              <w:pStyle w:val="TableContents"/>
              <w:bidi w:val="0"/>
              <w:spacing w:before="0" w:after="0"/>
              <w:jc w:val="center"/>
              <w:rPr>
                <w:b/>
                <w:sz w:val="20"/>
              </w:rPr>
            </w:pPr>
            <w:r>
              <w:rPr>
                <w:b/>
                <w:sz w:val="20"/>
              </w:rPr>
              <w:t>income (loss)</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115" w:type="dxa"/>
            <w:gridSpan w:val="2"/>
            <w:vMerge w:val="restart"/>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shareholders’</w:t>
            </w:r>
          </w:p>
          <w:p>
            <w:pPr>
              <w:pStyle w:val="TableContents"/>
              <w:bidi w:val="0"/>
              <w:spacing w:before="0" w:after="0"/>
              <w:jc w:val="center"/>
              <w:rPr>
                <w:b/>
                <w:sz w:val="20"/>
              </w:rPr>
            </w:pPr>
            <w:r>
              <w:rPr>
                <w:b/>
                <w:sz w:val="20"/>
              </w:rPr>
              <w:t>equity</w:t>
            </w:r>
          </w:p>
        </w:tc>
        <w:tc>
          <w:tcPr>
            <w:tcW w:w="180" w:type="dxa"/>
            <w:vMerge w:val="restart"/>
            <w:tcBorders/>
            <w:vAlign w:val="bottom"/>
          </w:tcPr>
          <w:p>
            <w:pPr>
              <w:pStyle w:val="TableContents"/>
              <w:bidi w:val="0"/>
              <w:spacing w:before="0" w:after="283"/>
              <w:jc w:val="left"/>
              <w:rPr/>
            </w:pPr>
            <w:r>
              <w:rPr/>
              <w:t>   </w:t>
            </w:r>
          </w:p>
        </w:tc>
      </w:tr>
      <w:tr>
        <w:trPr/>
        <w:tc>
          <w:tcPr>
            <w:tcW w:w="9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25" w:type="dxa"/>
            <w:gridSpan w:val="6"/>
            <w:tcBorders/>
            <w:vAlign w:val="bottom"/>
          </w:tcPr>
          <w:p>
            <w:pPr>
              <w:pStyle w:val="TableContents"/>
              <w:bidi w:val="0"/>
              <w:spacing w:before="0" w:after="283"/>
              <w:jc w:val="center"/>
              <w:rPr/>
            </w:pPr>
            <w:r>
              <w:rPr/>
              <w:t> </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950" w:type="dxa"/>
            <w:gridSpan w:val="6"/>
            <w:tcBorders/>
            <w:vAlign w:val="bottom"/>
          </w:tcPr>
          <w:p>
            <w:pPr>
              <w:pStyle w:val="TableContents"/>
              <w:bidi w:val="0"/>
              <w:spacing w:before="0" w:after="283"/>
              <w:jc w:val="left"/>
              <w:rPr/>
            </w:pPr>
            <w:r>
              <w:rPr/>
              <w:t> </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980"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30" w:type="dxa"/>
            <w:gridSpan w:val="2"/>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295"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15"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r>
      <w:tr>
        <w:trPr/>
        <w:tc>
          <w:tcPr>
            <w:tcW w:w="9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01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 xml:space="preserve">Number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 xml:space="preserve">Amount </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1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Number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Amount</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980"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30" w:type="dxa"/>
            <w:gridSpan w:val="2"/>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295"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1115" w:type="dxa"/>
            <w:gridSpan w:val="2"/>
            <w:vMerge w:val="continue"/>
            <w:tcBorders>
              <w:bottom w:val="single" w:sz="12" w:space="0" w:color="000000"/>
            </w:tcBorders>
            <w:tcMar>
              <w:bottom w:w="28" w:type="dxa"/>
            </w:tcMar>
            <w:vAlign w:val="bottom"/>
          </w:tcPr>
          <w:p>
            <w:pPr>
              <w:pStyle w:val="Normal"/>
              <w:bidi w:val="0"/>
              <w:jc w:val="left"/>
              <w:rPr/>
            </w:pPr>
            <w:r>
              <w:rPr/>
            </w:r>
          </w:p>
        </w:tc>
        <w:tc>
          <w:tcPr>
            <w:tcW w:w="180" w:type="dxa"/>
            <w:vMerge w:val="continue"/>
            <w:tcBorders/>
            <w:vAlign w:val="bottom"/>
          </w:tcPr>
          <w:p>
            <w:pPr>
              <w:pStyle w:val="Normal"/>
              <w:bidi w:val="0"/>
              <w:jc w:val="left"/>
              <w:rPr/>
            </w:pPr>
            <w:r>
              <w:rPr/>
            </w:r>
          </w:p>
        </w:tc>
      </w:tr>
      <w:tr>
        <w:trPr/>
        <w:tc>
          <w:tcPr>
            <w:tcW w:w="9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ind w:left="180" w:right="0" w:hanging="180"/>
              <w:jc w:val="left"/>
              <w:rPr>
                <w:sz w:val="20"/>
              </w:rPr>
            </w:pPr>
            <w:r>
              <w:rPr>
                <w:sz w:val="20"/>
              </w:rPr>
              <w:t>Balance as of July 1, 2023 (unaudited)</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sz w:val="20"/>
              </w:rPr>
            </w:pPr>
            <w:r>
              <w:rPr>
                <w:sz w:val="20"/>
              </w:rPr>
              <w:t>45,198,702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300,637,035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sz w:val="20"/>
              </w:rPr>
            </w:pPr>
            <w:r>
              <w:rPr>
                <w:sz w:val="20"/>
              </w:rPr>
              <w:t>$</w:t>
            </w:r>
          </w:p>
        </w:tc>
        <w:tc>
          <w:tcPr>
            <w:tcW w:w="822" w:type="dxa"/>
            <w:tcBorders/>
            <w:shd w:fill="CCEEFF" w:val="clear"/>
            <w:vAlign w:val="bottom"/>
          </w:tcPr>
          <w:p>
            <w:pPr>
              <w:pStyle w:val="TableContents"/>
              <w:bidi w:val="0"/>
              <w:spacing w:before="0" w:after="283"/>
              <w:jc w:val="right"/>
              <w:rPr>
                <w:sz w:val="20"/>
              </w:rPr>
            </w:pPr>
            <w:r>
              <w:rPr>
                <w:sz w:val="20"/>
              </w:rPr>
              <w:t>(4,358</w:t>
            </w:r>
          </w:p>
        </w:tc>
        <w:tc>
          <w:tcPr>
            <w:tcW w:w="180" w:type="dxa"/>
            <w:tcBorders/>
            <w:shd w:fill="CCEEFF" w:val="clear"/>
            <w:vAlign w:val="bottom"/>
          </w:tcPr>
          <w:p>
            <w:pPr>
              <w:pStyle w:val="TableContents"/>
              <w:bidi w:val="0"/>
              <w:spacing w:before="0" w:after="283"/>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1,226,572</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sz w:val="20"/>
              </w:rPr>
            </w:pPr>
            <w:r>
              <w:rPr>
                <w:sz w:val="20"/>
              </w:rPr>
              <w:t>$</w:t>
            </w:r>
          </w:p>
        </w:tc>
        <w:tc>
          <w:tcPr>
            <w:tcW w:w="970" w:type="dxa"/>
            <w:tcBorders/>
            <w:shd w:fill="CCEEFF" w:val="clear"/>
            <w:vAlign w:val="bottom"/>
          </w:tcPr>
          <w:p>
            <w:pPr>
              <w:pStyle w:val="TableContents"/>
              <w:bidi w:val="0"/>
              <w:spacing w:before="0" w:after="0"/>
              <w:jc w:val="right"/>
              <w:rPr>
                <w:sz w:val="20"/>
              </w:rPr>
            </w:pPr>
            <w:r>
              <w:rPr>
                <w:sz w:val="20"/>
              </w:rPr>
              <w:t>(131,047</w:t>
            </w:r>
          </w:p>
        </w:tc>
        <w:tc>
          <w:tcPr>
            <w:tcW w:w="180" w:type="dxa"/>
            <w:tcBorders/>
            <w:shd w:fill="CCEEFF" w:val="clear"/>
            <w:vAlign w:val="bottom"/>
          </w:tcPr>
          <w:p>
            <w:pPr>
              <w:pStyle w:val="TableContents"/>
              <w:bidi w:val="0"/>
              <w:spacing w:before="0" w:after="0"/>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0"/>
              <w:jc w:val="left"/>
              <w:rPr>
                <w:sz w:val="20"/>
              </w:rPr>
            </w:pPr>
            <w:r>
              <w:rPr>
                <w:sz w:val="20"/>
              </w:rPr>
              <w:t>$</w:t>
            </w:r>
          </w:p>
        </w:tc>
        <w:tc>
          <w:tcPr>
            <w:tcW w:w="984" w:type="dxa"/>
            <w:tcBorders/>
            <w:shd w:fill="CCEEFF" w:val="clear"/>
            <w:vAlign w:val="bottom"/>
          </w:tcPr>
          <w:p>
            <w:pPr>
              <w:pStyle w:val="TableContents"/>
              <w:bidi w:val="0"/>
              <w:spacing w:before="0" w:after="0"/>
              <w:jc w:val="right"/>
              <w:rPr>
                <w:sz w:val="20"/>
              </w:rPr>
            </w:pPr>
            <w:r>
              <w:rPr>
                <w:sz w:val="20"/>
              </w:rPr>
              <w:t>(834</w:t>
            </w:r>
          </w:p>
        </w:tc>
        <w:tc>
          <w:tcPr>
            <w:tcW w:w="180" w:type="dxa"/>
            <w:tcBorders/>
            <w:shd w:fill="CCEEFF" w:val="clear"/>
            <w:vAlign w:val="bottom"/>
          </w:tcPr>
          <w:p>
            <w:pPr>
              <w:pStyle w:val="TableContents"/>
              <w:bidi w:val="0"/>
              <w:spacing w:before="0" w:after="0"/>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sz w:val="20"/>
              </w:rPr>
            </w:pPr>
            <w:r>
              <w:rPr>
                <w:sz w:val="20"/>
              </w:rPr>
              <w:t>$</w:t>
            </w:r>
          </w:p>
        </w:tc>
        <w:tc>
          <w:tcPr>
            <w:tcW w:w="972" w:type="dxa"/>
            <w:tcBorders/>
            <w:shd w:fill="CCEEFF" w:val="clear"/>
            <w:vAlign w:val="bottom"/>
          </w:tcPr>
          <w:p>
            <w:pPr>
              <w:pStyle w:val="TableContents"/>
              <w:bidi w:val="0"/>
              <w:spacing w:before="0" w:after="0"/>
              <w:jc w:val="right"/>
              <w:rPr>
                <w:sz w:val="20"/>
              </w:rPr>
            </w:pPr>
            <w:r>
              <w:rPr>
                <w:sz w:val="20"/>
              </w:rPr>
              <w:t>1,090,333</w:t>
            </w:r>
          </w:p>
        </w:tc>
        <w:tc>
          <w:tcPr>
            <w:tcW w:w="18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ind w:left="360" w:right="0" w:hanging="360"/>
              <w:jc w:val="left"/>
              <w:rPr>
                <w:sz w:val="20"/>
              </w:rPr>
            </w:pPr>
            <w:r>
              <w:rPr>
                <w:sz w:val="20"/>
              </w:rPr>
              <w:t>Share-based compensation expenses</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16,650</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16,650</w:t>
            </w:r>
          </w:p>
        </w:tc>
        <w:tc>
          <w:tcPr>
            <w:tcW w:w="1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ind w:left="180" w:right="0" w:hanging="180"/>
              <w:jc w:val="left"/>
              <w:rPr>
                <w:sz w:val="20"/>
              </w:rPr>
            </w:pPr>
            <w:r>
              <w:rPr>
                <w:sz w:val="20"/>
              </w:rPr>
              <w:t>Repurchase of Ordinary shares</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(5,230,915</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sz w:val="20"/>
              </w:rPr>
            </w:pPr>
            <w:r>
              <w:rPr>
                <w:sz w:val="20"/>
              </w:rPr>
              <w:t>(18,799</w:t>
            </w:r>
          </w:p>
        </w:tc>
        <w:tc>
          <w:tcPr>
            <w:tcW w:w="180" w:type="dxa"/>
            <w:tcBorders/>
            <w:shd w:fill="CCEEFF" w:val="clear"/>
            <w:vAlign w:val="bottom"/>
          </w:tcPr>
          <w:p>
            <w:pPr>
              <w:pStyle w:val="TableContents"/>
              <w:bidi w:val="0"/>
              <w:spacing w:before="0" w:after="283"/>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sz w:val="20"/>
              </w:rPr>
            </w:pPr>
            <w:r>
              <w:rPr>
                <w:sz w:val="20"/>
              </w:rPr>
              <w:t>(18,799</w:t>
            </w:r>
          </w:p>
        </w:tc>
        <w:tc>
          <w:tcPr>
            <w:tcW w:w="180" w:type="dxa"/>
            <w:tcBorders/>
            <w:shd w:fill="CCEEFF" w:val="clear"/>
            <w:vAlign w:val="bottom"/>
          </w:tcPr>
          <w:p>
            <w:pPr>
              <w:pStyle w:val="TableContents"/>
              <w:bidi w:val="0"/>
              <w:spacing w:before="0" w:after="283"/>
              <w:jc w:val="left"/>
              <w:rPr>
                <w:sz w:val="20"/>
              </w:rPr>
            </w:pPr>
            <w:r>
              <w:rPr>
                <w:sz w:val="20"/>
              </w:rPr>
              <w:t>)</w:t>
            </w:r>
          </w:p>
        </w:tc>
      </w:tr>
      <w:tr>
        <w:trPr/>
        <w:tc>
          <w:tcPr>
            <w:tcW w:w="980" w:type="dxa"/>
            <w:tcBorders/>
            <w:vAlign w:val="bottom"/>
          </w:tcPr>
          <w:p>
            <w:pPr>
              <w:pStyle w:val="TableContents"/>
              <w:bidi w:val="0"/>
              <w:spacing w:before="0" w:after="0"/>
              <w:ind w:left="180" w:right="0" w:hanging="180"/>
              <w:jc w:val="left"/>
              <w:rPr>
                <w:sz w:val="20"/>
              </w:rPr>
            </w:pPr>
            <w:r>
              <w:rPr>
                <w:sz w:val="20"/>
              </w:rPr>
              <w:t>Exercise of options and vested RSUs</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4,705,408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2,750</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2,750</w:t>
            </w:r>
          </w:p>
        </w:tc>
        <w:tc>
          <w:tcPr>
            <w:tcW w:w="1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283"/>
              <w:ind w:left="0" w:right="0" w:hanging="180"/>
              <w:jc w:val="both"/>
              <w:rPr>
                <w:sz w:val="20"/>
              </w:rPr>
            </w:pPr>
            <w:r>
              <w:rPr>
                <w:rFonts w:ascii="Times New Roman" w:hAnsi="Times New Roman"/>
                <w:b w:val="false"/>
                <w:i w:val="false"/>
                <w:caps w:val="false"/>
                <w:smallCaps w:val="false"/>
                <w:color w:val="000000"/>
                <w:spacing w:val="0"/>
                <w:sz w:val="20"/>
              </w:rPr>
              <w:t>Connexity issuance of Holdback</w:t>
            </w:r>
            <w:r>
              <w:rPr>
                <w:sz w:val="20"/>
              </w:rPr>
              <w:t xml:space="preserve">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581,400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(1,305</w:t>
            </w:r>
          </w:p>
        </w:tc>
        <w:tc>
          <w:tcPr>
            <w:tcW w:w="180" w:type="dxa"/>
            <w:tcBorders/>
            <w:vAlign w:val="bottom"/>
          </w:tcPr>
          <w:p>
            <w:pPr>
              <w:pStyle w:val="TableContents"/>
              <w:bidi w:val="0"/>
              <w:spacing w:before="0" w:after="0"/>
              <w:jc w:val="left"/>
              <w:rPr>
                <w:sz w:val="20"/>
              </w:rPr>
            </w:pPr>
            <w:r>
              <w:rPr>
                <w:sz w:val="20"/>
              </w:rPr>
              <w:t>)</w:t>
            </w:r>
          </w:p>
        </w:tc>
        <w:tc>
          <w:tcPr>
            <w:tcW w:w="1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(1,305</w:t>
            </w:r>
          </w:p>
        </w:tc>
        <w:tc>
          <w:tcPr>
            <w:tcW w:w="180" w:type="dxa"/>
            <w:tcBorders/>
            <w:vAlign w:val="bottom"/>
          </w:tcPr>
          <w:p>
            <w:pPr>
              <w:pStyle w:val="TableContents"/>
              <w:bidi w:val="0"/>
              <w:spacing w:before="0" w:after="0"/>
              <w:jc w:val="left"/>
              <w:rPr>
                <w:sz w:val="20"/>
              </w:rPr>
            </w:pPr>
            <w:r>
              <w:rPr>
                <w:sz w:val="20"/>
              </w:rPr>
              <w:t>)</w:t>
            </w:r>
          </w:p>
        </w:tc>
      </w:tr>
      <w:tr>
        <w:trPr/>
        <w:tc>
          <w:tcPr>
            <w:tcW w:w="980" w:type="dxa"/>
            <w:tcBorders/>
            <w:shd w:fill="CCEEFF" w:val="clear"/>
            <w:vAlign w:val="bottom"/>
          </w:tcPr>
          <w:p>
            <w:pPr>
              <w:pStyle w:val="TableContents"/>
              <w:bidi w:val="0"/>
              <w:spacing w:before="0" w:after="0"/>
              <w:ind w:left="360" w:right="0" w:hanging="360"/>
              <w:jc w:val="left"/>
              <w:rPr>
                <w:sz w:val="20"/>
              </w:rPr>
            </w:pPr>
            <w:r>
              <w:rPr>
                <w:sz w:val="20"/>
              </w:rPr>
              <w:t>Other comprehensive income</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sz w:val="20"/>
              </w:rPr>
            </w:pPr>
            <w:r>
              <w:rPr>
                <w:sz w:val="20"/>
              </w:rPr>
              <w:t>616</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616</w:t>
            </w:r>
          </w:p>
        </w:tc>
        <w:tc>
          <w:tcPr>
            <w:tcW w:w="18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ind w:left="180" w:right="0" w:hanging="180"/>
              <w:jc w:val="left"/>
              <w:rPr>
                <w:sz w:val="20"/>
              </w:rPr>
            </w:pPr>
            <w:r>
              <w:rPr>
                <w:sz w:val="20"/>
              </w:rPr>
              <w:t>Net loss</w:t>
            </w:r>
          </w:p>
        </w:tc>
        <w:tc>
          <w:tcPr>
            <w:tcW w:w="18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283"/>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sz w:val="20"/>
              </w:rPr>
            </w:pPr>
            <w:r>
              <w:rPr>
                <w:sz w:val="20"/>
              </w:rPr>
              <w:t>(23,136</w:t>
            </w:r>
          </w:p>
        </w:tc>
        <w:tc>
          <w:tcPr>
            <w:tcW w:w="180" w:type="dxa"/>
            <w:tcBorders/>
            <w:vAlign w:val="bottom"/>
          </w:tcPr>
          <w:p>
            <w:pPr>
              <w:pStyle w:val="TableContents"/>
              <w:bidi w:val="0"/>
              <w:spacing w:before="0" w:after="0"/>
              <w:jc w:val="left"/>
              <w:rPr>
                <w:sz w:val="20"/>
              </w:rPr>
            </w:pPr>
            <w:r>
              <w:rPr>
                <w:sz w:val="20"/>
              </w:rPr>
              <w:t>)</w:t>
            </w:r>
          </w:p>
        </w:tc>
        <w:tc>
          <w:tcPr>
            <w:tcW w:w="180" w:type="dxa"/>
            <w:tcBorders/>
            <w:vAlign w:val="bottom"/>
          </w:tcPr>
          <w:p>
            <w:pPr>
              <w:pStyle w:val="TableContents"/>
              <w:bidi w:val="0"/>
              <w:spacing w:before="0" w:after="283"/>
              <w:jc w:val="right"/>
              <w:rPr/>
            </w:pPr>
            <w:r>
              <w:rPr/>
              <w:t> </w:t>
            </w:r>
          </w:p>
        </w:tc>
        <w:tc>
          <w:tcPr>
            <w:tcW w:w="3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pPr>
            <w:r>
              <w:rPr/>
              <w:t>—</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tcMar>
              <w:bottom w:w="28" w:type="dxa"/>
            </w:tcMar>
            <w:vAlign w:val="bottom"/>
          </w:tcPr>
          <w:p>
            <w:pPr>
              <w:pStyle w:val="TableContents"/>
              <w:bidi w:val="0"/>
              <w:spacing w:before="0" w:after="0"/>
              <w:jc w:val="right"/>
              <w:rPr>
                <w:sz w:val="20"/>
              </w:rPr>
            </w:pPr>
            <w:r>
              <w:rPr>
                <w:sz w:val="20"/>
              </w:rPr>
              <w:t>(23,136</w:t>
            </w:r>
          </w:p>
        </w:tc>
        <w:tc>
          <w:tcPr>
            <w:tcW w:w="180" w:type="dxa"/>
            <w:tcBorders/>
            <w:vAlign w:val="bottom"/>
          </w:tcPr>
          <w:p>
            <w:pPr>
              <w:pStyle w:val="TableContents"/>
              <w:bidi w:val="0"/>
              <w:spacing w:before="0" w:after="0"/>
              <w:jc w:val="left"/>
              <w:rPr>
                <w:sz w:val="20"/>
              </w:rPr>
            </w:pPr>
            <w:r>
              <w:rPr>
                <w:sz w:val="20"/>
              </w:rPr>
              <w:t>)</w:t>
            </w:r>
          </w:p>
        </w:tc>
      </w:tr>
      <w:tr>
        <w:trPr/>
        <w:tc>
          <w:tcPr>
            <w:tcW w:w="980" w:type="dxa"/>
            <w:tcBorders/>
            <w:shd w:fill="CCEEFF" w:val="clear"/>
            <w:vAlign w:val="bottom"/>
          </w:tcPr>
          <w:p>
            <w:pPr>
              <w:pStyle w:val="TableContents"/>
              <w:bidi w:val="0"/>
              <w:spacing w:before="0" w:after="0"/>
              <w:ind w:left="180" w:right="0" w:hanging="180"/>
              <w:jc w:val="left"/>
              <w:rPr>
                <w:sz w:val="20"/>
              </w:rPr>
            </w:pPr>
            <w:r>
              <w:rPr>
                <w:sz w:val="20"/>
              </w:rPr>
              <w:t>Balance as of September 30, 2023 (unaudited)</w:t>
            </w:r>
          </w:p>
        </w:tc>
        <w:tc>
          <w:tcPr>
            <w:tcW w:w="18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45,198,702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300,692,928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82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(23,157</w:t>
            </w:r>
          </w:p>
        </w:tc>
        <w:tc>
          <w:tcPr>
            <w:tcW w:w="180" w:type="dxa"/>
            <w:tcBorders/>
            <w:shd w:fill="CCEEFF" w:val="clear"/>
            <w:vAlign w:val="bottom"/>
          </w:tcPr>
          <w:p>
            <w:pPr>
              <w:pStyle w:val="TableContents"/>
              <w:bidi w:val="0"/>
              <w:spacing w:before="0" w:after="283"/>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1,244,667</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(154,183</w:t>
            </w:r>
          </w:p>
        </w:tc>
        <w:tc>
          <w:tcPr>
            <w:tcW w:w="180" w:type="dxa"/>
            <w:tcBorders/>
            <w:shd w:fill="CCEEFF" w:val="clear"/>
            <w:vAlign w:val="bottom"/>
          </w:tcPr>
          <w:p>
            <w:pPr>
              <w:pStyle w:val="TableContents"/>
              <w:bidi w:val="0"/>
              <w:spacing w:before="0" w:after="0"/>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311"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(218</w:t>
            </w:r>
          </w:p>
        </w:tc>
        <w:tc>
          <w:tcPr>
            <w:tcW w:w="180" w:type="dxa"/>
            <w:tcBorders/>
            <w:shd w:fill="CCEEFF" w:val="clear"/>
            <w:vAlign w:val="bottom"/>
          </w:tcPr>
          <w:p>
            <w:pPr>
              <w:pStyle w:val="TableContents"/>
              <w:bidi w:val="0"/>
              <w:spacing w:before="0" w:after="0"/>
              <w:jc w:val="left"/>
              <w:rPr>
                <w:sz w:val="20"/>
              </w:rPr>
            </w:pPr>
            <w:r>
              <w:rPr>
                <w:sz w:val="20"/>
              </w:rPr>
              <w:t>)</w:t>
            </w:r>
          </w:p>
        </w:tc>
        <w:tc>
          <w:tcPr>
            <w:tcW w:w="18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1,067,109</w:t>
            </w:r>
          </w:p>
        </w:tc>
        <w:tc>
          <w:tcPr>
            <w:tcW w:w="1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b w:val="false"/>
        </w:rPr>
      </w:pPr>
      <w:r>
        <w:rPr>
          <w:b w:val="false"/>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- 7 -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left"/>
        <w:rPr>
          <w:b/>
        </w:rPr>
      </w:pPr>
      <w:r>
        <w:rPr>
          <w:b/>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STATEMENTS OF SHAREHOLDERS’ EQUITY </w:t>
      </w:r>
    </w:p>
    <w:p>
      <w:pPr>
        <w:pStyle w:val="HorizontalLine"/>
        <w:bidi w:val="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left"/>
        <w:rPr>
          <w:b/>
        </w:rPr>
      </w:pPr>
      <w:r>
        <w:rPr>
          <w:b/>
        </w:rPr>
      </w:r>
    </w:p>
    <w:tbl>
      <w:tblPr>
        <w:tblW w:w="11295" w:type="dxa"/>
        <w:jc w:val="left"/>
        <w:tblInd w:w="0" w:type="dxa"/>
        <w:tblLayout w:type="fixed"/>
        <w:tblCellMar>
          <w:top w:w="0" w:type="dxa"/>
          <w:left w:w="0" w:type="dxa"/>
          <w:bottom w:w="0" w:type="dxa"/>
          <w:right w:w="0" w:type="dxa"/>
        </w:tblCellMar>
      </w:tblPr>
      <w:tblGrid>
        <w:gridCol w:w="1070"/>
        <w:gridCol w:w="60"/>
        <w:gridCol w:w="60"/>
        <w:gridCol w:w="950"/>
        <w:gridCol w:w="80"/>
        <w:gridCol w:w="60"/>
        <w:gridCol w:w="225"/>
        <w:gridCol w:w="470"/>
        <w:gridCol w:w="60"/>
        <w:gridCol w:w="60"/>
        <w:gridCol w:w="60"/>
        <w:gridCol w:w="1055"/>
        <w:gridCol w:w="80"/>
        <w:gridCol w:w="60"/>
        <w:gridCol w:w="225"/>
        <w:gridCol w:w="470"/>
        <w:gridCol w:w="60"/>
        <w:gridCol w:w="60"/>
        <w:gridCol w:w="139"/>
        <w:gridCol w:w="841"/>
        <w:gridCol w:w="80"/>
        <w:gridCol w:w="60"/>
        <w:gridCol w:w="125"/>
        <w:gridCol w:w="845"/>
        <w:gridCol w:w="80"/>
        <w:gridCol w:w="60"/>
        <w:gridCol w:w="160"/>
        <w:gridCol w:w="970"/>
        <w:gridCol w:w="80"/>
        <w:gridCol w:w="60"/>
        <w:gridCol w:w="311"/>
        <w:gridCol w:w="984"/>
        <w:gridCol w:w="80"/>
        <w:gridCol w:w="60"/>
        <w:gridCol w:w="143"/>
        <w:gridCol w:w="972"/>
        <w:gridCol w:w="80"/>
      </w:tblGrid>
      <w:tr>
        <w:trPr/>
        <w:tc>
          <w:tcPr>
            <w:tcW w:w="107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84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Non-voting</w:t>
            </w:r>
          </w:p>
          <w:p>
            <w:pPr>
              <w:pStyle w:val="TableContents"/>
              <w:bidi w:val="0"/>
              <w:spacing w:before="0" w:after="0"/>
              <w:jc w:val="center"/>
              <w:rPr>
                <w:b/>
                <w:sz w:val="20"/>
              </w:rPr>
            </w:pPr>
            <w:r>
              <w:rPr>
                <w:b/>
                <w:sz w:val="20"/>
              </w:rPr>
              <w:t>Ordinary shares</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bottom"/>
          </w:tcPr>
          <w:p>
            <w:pPr>
              <w:pStyle w:val="TableContents"/>
              <w:bidi w:val="0"/>
              <w:spacing w:before="0" w:after="283"/>
              <w:jc w:val="center"/>
              <w:rPr>
                <w:b/>
                <w:sz w:val="20"/>
              </w:rPr>
            </w:pPr>
            <w:r>
              <w:rPr>
                <w:b/>
                <w:sz w:val="20"/>
              </w:rPr>
              <w:t>Ordinary shares</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8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Treasury</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 xml:space="preserve">shares </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70" w:type="dxa"/>
            <w:gridSpan w:val="2"/>
            <w:vMerge w:val="restart"/>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30" w:type="dxa"/>
            <w:gridSpan w:val="2"/>
            <w:vMerge w:val="restart"/>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deficit</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95" w:type="dxa"/>
            <w:gridSpan w:val="2"/>
            <w:vMerge w:val="restart"/>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other</w:t>
            </w:r>
          </w:p>
          <w:p>
            <w:pPr>
              <w:pStyle w:val="TableContents"/>
              <w:bidi w:val="0"/>
              <w:spacing w:before="0" w:after="0"/>
              <w:jc w:val="center"/>
              <w:rPr>
                <w:b/>
                <w:sz w:val="20"/>
              </w:rPr>
            </w:pPr>
            <w:r>
              <w:rPr>
                <w:b/>
                <w:sz w:val="20"/>
              </w:rPr>
              <w:t>comprehensive</w:t>
            </w:r>
          </w:p>
          <w:p>
            <w:pPr>
              <w:pStyle w:val="TableContents"/>
              <w:bidi w:val="0"/>
              <w:spacing w:before="0" w:after="0"/>
              <w:jc w:val="center"/>
              <w:rPr>
                <w:b/>
                <w:sz w:val="20"/>
              </w:rPr>
            </w:pPr>
            <w:r>
              <w:rPr>
                <w:b/>
                <w:sz w:val="20"/>
              </w:rPr>
              <w:t>income (loss)</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15" w:type="dxa"/>
            <w:gridSpan w:val="2"/>
            <w:vMerge w:val="restart"/>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shareholders’</w:t>
            </w:r>
          </w:p>
          <w:p>
            <w:pPr>
              <w:pStyle w:val="TableContents"/>
              <w:bidi w:val="0"/>
              <w:spacing w:before="0" w:after="0"/>
              <w:jc w:val="center"/>
              <w:rPr>
                <w:b/>
                <w:sz w:val="20"/>
              </w:rPr>
            </w:pPr>
            <w:r>
              <w:rPr>
                <w:b/>
                <w:sz w:val="20"/>
              </w:rPr>
              <w:t>equity</w:t>
            </w:r>
          </w:p>
        </w:tc>
        <w:tc>
          <w:tcPr>
            <w:tcW w:w="80" w:type="dxa"/>
            <w:vMerge w:val="restart"/>
            <w:tcBorders/>
            <w:vAlign w:val="bottom"/>
          </w:tcPr>
          <w:p>
            <w:pPr>
              <w:pStyle w:val="TableContents"/>
              <w:bidi w:val="0"/>
              <w:spacing w:before="0" w:after="283"/>
              <w:jc w:val="left"/>
              <w:rPr/>
            </w:pPr>
            <w:r>
              <w:rPr/>
              <w:t> </w:t>
            </w:r>
          </w:p>
        </w:tc>
      </w:tr>
      <w:tr>
        <w:trPr/>
        <w:tc>
          <w:tcPr>
            <w:tcW w:w="107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45" w:type="dxa"/>
            <w:gridSpan w:val="6"/>
            <w:tcBorders/>
            <w:vAlign w:val="bottom"/>
          </w:tcPr>
          <w:p>
            <w:pPr>
              <w:pStyle w:val="TableContents"/>
              <w:bidi w:val="0"/>
              <w:spacing w:before="0" w:after="283"/>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50" w:type="dxa"/>
            <w:gridSpan w:val="6"/>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8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80" w:type="dxa"/>
            <w:vMerge w:val="continue"/>
            <w:tcBorders>
              <w:bottom w:val="single" w:sz="1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30" w:type="dxa"/>
            <w:gridSpan w:val="2"/>
            <w:vMerge w:val="continue"/>
            <w:tcBorders/>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95"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15"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r>
      <w:tr>
        <w:trPr/>
        <w:tc>
          <w:tcPr>
            <w:tcW w:w="107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01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Number</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Amount</w:t>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1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Number</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Amount</w:t>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8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80" w:type="dxa"/>
            <w:vMerge w:val="continue"/>
            <w:tcBorders>
              <w:bottom w:val="single" w:sz="1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30" w:type="dxa"/>
            <w:gridSpan w:val="2"/>
            <w:vMerge w:val="continue"/>
            <w:tcBorders/>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95"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15"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80" w:right="0" w:hanging="0"/>
              <w:jc w:val="left"/>
              <w:rPr>
                <w:sz w:val="20"/>
              </w:rPr>
            </w:pPr>
            <w:r>
              <w:rPr>
                <w:sz w:val="20"/>
              </w:rPr>
              <w:t>Balance as of January 1,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sz w:val="20"/>
              </w:rPr>
            </w:pPr>
            <w:r>
              <w:rPr>
                <w:sz w:val="20"/>
              </w:rPr>
              <w:t>45,198,702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295,670,620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sz w:val="20"/>
              </w:rPr>
            </w:pPr>
            <w:r>
              <w:rPr>
                <w:sz w:val="20"/>
              </w:rPr>
              <w:t>$</w:t>
            </w:r>
          </w:p>
        </w:tc>
        <w:tc>
          <w:tcPr>
            <w:tcW w:w="841" w:type="dxa"/>
            <w:tcBorders/>
            <w:shd w:fill="CCEEFF" w:val="clear"/>
            <w:vAlign w:val="bottom"/>
          </w:tcPr>
          <w:p>
            <w:pPr>
              <w:pStyle w:val="TableContents"/>
              <w:bidi w:val="0"/>
              <w:spacing w:before="0" w:after="283"/>
              <w:jc w:val="right"/>
              <w:rPr>
                <w:sz w:val="20"/>
              </w:rPr>
            </w:pPr>
            <w:r>
              <w:rPr>
                <w:sz w:val="20"/>
              </w:rPr>
              <w:t>(55,513</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1,262,093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sz w:val="20"/>
              </w:rPr>
            </w:pPr>
            <w:r>
              <w:rPr>
                <w:sz w:val="20"/>
              </w:rPr>
              <w:t>$</w:t>
            </w:r>
          </w:p>
        </w:tc>
        <w:tc>
          <w:tcPr>
            <w:tcW w:w="970" w:type="dxa"/>
            <w:tcBorders/>
            <w:shd w:fill="CCEEFF" w:val="clear"/>
            <w:vAlign w:val="bottom"/>
          </w:tcPr>
          <w:p>
            <w:pPr>
              <w:pStyle w:val="TableContents"/>
              <w:bidi w:val="0"/>
              <w:spacing w:before="0" w:after="0"/>
              <w:jc w:val="right"/>
              <w:rPr>
                <w:sz w:val="20"/>
              </w:rPr>
            </w:pPr>
            <w:r>
              <w:rPr>
                <w:sz w:val="20"/>
              </w:rPr>
              <w:t>(150,460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0"/>
              <w:jc w:val="left"/>
              <w:rPr>
                <w:sz w:val="20"/>
              </w:rPr>
            </w:pPr>
            <w:r>
              <w:rPr>
                <w:sz w:val="20"/>
              </w:rPr>
              <w:t>$</w:t>
            </w:r>
          </w:p>
        </w:tc>
        <w:tc>
          <w:tcPr>
            <w:tcW w:w="984" w:type="dxa"/>
            <w:tcBorders/>
            <w:shd w:fill="CCEEFF" w:val="clear"/>
            <w:vAlign w:val="bottom"/>
          </w:tcPr>
          <w:p>
            <w:pPr>
              <w:pStyle w:val="TableContents"/>
              <w:bidi w:val="0"/>
              <w:spacing w:before="0" w:after="0"/>
              <w:jc w:val="right"/>
              <w:rPr>
                <w:sz w:val="20"/>
              </w:rPr>
            </w:pPr>
            <w:r>
              <w:rPr>
                <w:sz w:val="20"/>
              </w:rPr>
              <w:t>942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sz w:val="20"/>
              </w:rPr>
            </w:pPr>
            <w:r>
              <w:rPr>
                <w:sz w:val="20"/>
              </w:rPr>
              <w:t>$</w:t>
            </w:r>
          </w:p>
        </w:tc>
        <w:tc>
          <w:tcPr>
            <w:tcW w:w="972" w:type="dxa"/>
            <w:tcBorders/>
            <w:shd w:fill="CCEEFF" w:val="clear"/>
            <w:vAlign w:val="bottom"/>
          </w:tcPr>
          <w:p>
            <w:pPr>
              <w:pStyle w:val="TableContents"/>
              <w:bidi w:val="0"/>
              <w:spacing w:before="0" w:after="0"/>
              <w:jc w:val="right"/>
              <w:rPr>
                <w:sz w:val="20"/>
              </w:rPr>
            </w:pPr>
            <w:r>
              <w:rPr>
                <w:sz w:val="20"/>
              </w:rPr>
              <w:t>1,057,062</w:t>
            </w:r>
          </w:p>
        </w:tc>
        <w:tc>
          <w:tcPr>
            <w:tcW w:w="80"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360" w:right="0" w:hanging="36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53,637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53,637</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80" w:right="0" w:hanging="180"/>
              <w:jc w:val="left"/>
              <w:rPr>
                <w:sz w:val="20"/>
              </w:rPr>
            </w:pPr>
            <w:r>
              <w:rPr>
                <w:sz w:val="20"/>
              </w:rPr>
              <w:t>Repurchase of Ordinary shares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sz w:val="20"/>
              </w:rPr>
            </w:pPr>
            <w:r>
              <w:rPr>
                <w:sz w:val="20"/>
              </w:rPr>
              <w:t>(988,296</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(14,496,584</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sz w:val="20"/>
              </w:rPr>
            </w:pPr>
            <w:r>
              <w:rPr>
                <w:sz w:val="20"/>
              </w:rPr>
              <w:t>(64,517</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sz w:val="20"/>
              </w:rPr>
            </w:pPr>
            <w:r>
              <w:rPr>
                <w:sz w:val="20"/>
              </w:rPr>
              <w:t>(64,517</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1070" w:type="dxa"/>
            <w:tcBorders/>
            <w:vAlign w:val="bottom"/>
          </w:tcPr>
          <w:p>
            <w:pPr>
              <w:pStyle w:val="TableContents"/>
              <w:bidi w:val="0"/>
              <w:spacing w:before="0" w:after="0"/>
              <w:ind w:left="0" w:right="0" w:hanging="0"/>
              <w:jc w:val="left"/>
              <w:rPr>
                <w:sz w:val="20"/>
              </w:rPr>
            </w:pPr>
            <w:r>
              <w:rPr>
                <w:sz w:val="20"/>
              </w:rPr>
              <w:t>Exercise of options and vested 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10,296,864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5,709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5,709</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283"/>
              <w:jc w:val="left"/>
              <w:rPr>
                <w:sz w:val="20"/>
              </w:rPr>
            </w:pPr>
            <w:r>
              <w:rPr>
                <w:sz w:val="20"/>
              </w:rPr>
              <w:t xml:space="preserve">Connexity issuance of Holdback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1,162,797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(2,396</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(2,396</w:t>
            </w:r>
          </w:p>
        </w:tc>
        <w:tc>
          <w:tcPr>
            <w:tcW w:w="80" w:type="dxa"/>
            <w:tcBorders/>
            <w:vAlign w:val="bottom"/>
          </w:tcPr>
          <w:p>
            <w:pPr>
              <w:pStyle w:val="TableContents"/>
              <w:bidi w:val="0"/>
              <w:spacing w:before="0" w:after="0"/>
              <w:jc w:val="left"/>
              <w:rPr>
                <w:sz w:val="20"/>
              </w:rPr>
            </w:pPr>
            <w:r>
              <w:rPr>
                <w:sz w:val="20"/>
              </w:rPr>
              <w:t>)</w:t>
            </w:r>
          </w:p>
        </w:tc>
      </w:tr>
      <w:tr>
        <w:trPr/>
        <w:tc>
          <w:tcPr>
            <w:tcW w:w="1070" w:type="dxa"/>
            <w:tcBorders/>
            <w:shd w:fill="CCEEFF" w:val="clear"/>
            <w:vAlign w:val="bottom"/>
          </w:tcPr>
          <w:p>
            <w:pPr>
              <w:pStyle w:val="TableContents"/>
              <w:bidi w:val="0"/>
              <w:spacing w:before="0" w:after="0"/>
              <w:ind w:left="180" w:right="0" w:hanging="180"/>
              <w:jc w:val="left"/>
              <w:rPr>
                <w:sz w:val="20"/>
              </w:rPr>
            </w:pPr>
            <w:r>
              <w:rPr>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sz w:val="20"/>
              </w:rPr>
            </w:pPr>
            <w:r>
              <w:rPr>
                <w:sz w:val="20"/>
              </w:rPr>
              <w:t>(777</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(777</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1070" w:type="dxa"/>
            <w:tcBorders/>
            <w:vAlign w:val="bottom"/>
          </w:tcPr>
          <w:p>
            <w:pPr>
              <w:pStyle w:val="TableContents"/>
              <w:bidi w:val="0"/>
              <w:spacing w:before="0" w:after="0"/>
              <w:ind w:left="180" w:right="0" w:hanging="180"/>
              <w:jc w:val="left"/>
              <w:rPr>
                <w:sz w:val="20"/>
              </w:rPr>
            </w:pPr>
            <w:r>
              <w:rPr>
                <w:sz w:val="20"/>
              </w:rPr>
              <w:t>Net loss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sz w:val="20"/>
              </w:rPr>
            </w:pPr>
            <w:r>
              <w:rPr>
                <w:sz w:val="20"/>
              </w:rPr>
              <w:t>(36,903</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3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tcMar>
              <w:bottom w:w="28" w:type="dxa"/>
            </w:tcMar>
            <w:vAlign w:val="bottom"/>
          </w:tcPr>
          <w:p>
            <w:pPr>
              <w:pStyle w:val="TableContents"/>
              <w:bidi w:val="0"/>
              <w:spacing w:before="0" w:after="0"/>
              <w:jc w:val="right"/>
              <w:rPr>
                <w:sz w:val="20"/>
              </w:rPr>
            </w:pPr>
            <w:r>
              <w:rPr>
                <w:sz w:val="20"/>
              </w:rPr>
              <w:t>(36,903</w:t>
            </w:r>
          </w:p>
        </w:tc>
        <w:tc>
          <w:tcPr>
            <w:tcW w:w="80" w:type="dxa"/>
            <w:tcBorders/>
            <w:vAlign w:val="bottom"/>
          </w:tcPr>
          <w:p>
            <w:pPr>
              <w:pStyle w:val="TableContents"/>
              <w:bidi w:val="0"/>
              <w:spacing w:before="0" w:after="0"/>
              <w:jc w:val="left"/>
              <w:rPr>
                <w:sz w:val="20"/>
              </w:rPr>
            </w:pPr>
            <w:r>
              <w:rPr>
                <w:sz w:val="20"/>
              </w:rPr>
              <w:t>)</w:t>
            </w:r>
          </w:p>
        </w:tc>
      </w:tr>
      <w:tr>
        <w:trPr/>
        <w:tc>
          <w:tcPr>
            <w:tcW w:w="1070" w:type="dxa"/>
            <w:tcBorders/>
            <w:shd w:fill="CCEEFF" w:val="clear"/>
            <w:vAlign w:val="bottom"/>
          </w:tcPr>
          <w:p>
            <w:pPr>
              <w:pStyle w:val="TableContents"/>
              <w:bidi w:val="0"/>
              <w:spacing w:before="0" w:after="0"/>
              <w:ind w:left="180" w:right="0" w:hanging="0"/>
              <w:jc w:val="left"/>
              <w:rPr>
                <w:sz w:val="20"/>
              </w:rPr>
            </w:pPr>
            <w:r>
              <w:rPr>
                <w:sz w:val="20"/>
              </w:rPr>
              <w:t>Balance as of September 30, 2024 (unaudited)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44,210,406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292,633,697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841"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(120,030</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1,319,043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(187,363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165</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1,011,815</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1520" w:type="dxa"/>
        <w:jc w:val="left"/>
        <w:tblInd w:w="0" w:type="dxa"/>
        <w:tblLayout w:type="fixed"/>
        <w:tblCellMar>
          <w:top w:w="0" w:type="dxa"/>
          <w:left w:w="0" w:type="dxa"/>
          <w:bottom w:w="0" w:type="dxa"/>
          <w:right w:w="0" w:type="dxa"/>
        </w:tblCellMar>
      </w:tblPr>
      <w:tblGrid>
        <w:gridCol w:w="1250"/>
        <w:gridCol w:w="60"/>
        <w:gridCol w:w="60"/>
        <w:gridCol w:w="950"/>
        <w:gridCol w:w="60"/>
        <w:gridCol w:w="60"/>
        <w:gridCol w:w="225"/>
        <w:gridCol w:w="470"/>
        <w:gridCol w:w="60"/>
        <w:gridCol w:w="60"/>
        <w:gridCol w:w="125"/>
        <w:gridCol w:w="1055"/>
        <w:gridCol w:w="80"/>
        <w:gridCol w:w="60"/>
        <w:gridCol w:w="225"/>
        <w:gridCol w:w="470"/>
        <w:gridCol w:w="60"/>
        <w:gridCol w:w="60"/>
        <w:gridCol w:w="158"/>
        <w:gridCol w:w="822"/>
        <w:gridCol w:w="80"/>
        <w:gridCol w:w="60"/>
        <w:gridCol w:w="125"/>
        <w:gridCol w:w="845"/>
        <w:gridCol w:w="80"/>
        <w:gridCol w:w="60"/>
        <w:gridCol w:w="160"/>
        <w:gridCol w:w="970"/>
        <w:gridCol w:w="80"/>
        <w:gridCol w:w="60"/>
        <w:gridCol w:w="311"/>
        <w:gridCol w:w="984"/>
        <w:gridCol w:w="80"/>
        <w:gridCol w:w="60"/>
        <w:gridCol w:w="143"/>
        <w:gridCol w:w="972"/>
        <w:gridCol w:w="80"/>
      </w:tblGrid>
      <w:tr>
        <w:trPr/>
        <w:tc>
          <w:tcPr>
            <w:tcW w:w="125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Non-voting</w:t>
            </w:r>
          </w:p>
          <w:p>
            <w:pPr>
              <w:pStyle w:val="TableContents"/>
              <w:bidi w:val="0"/>
              <w:spacing w:before="0" w:after="0"/>
              <w:jc w:val="center"/>
              <w:rPr>
                <w:b/>
                <w:sz w:val="20"/>
              </w:rPr>
            </w:pPr>
            <w:r>
              <w:rPr>
                <w:b/>
                <w:sz w:val="20"/>
              </w:rPr>
              <w:t>Ordinary shares</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bottom"/>
          </w:tcPr>
          <w:p>
            <w:pPr>
              <w:pStyle w:val="TableContents"/>
              <w:bidi w:val="0"/>
              <w:spacing w:before="0" w:after="283"/>
              <w:jc w:val="center"/>
              <w:rPr>
                <w:b/>
                <w:sz w:val="20"/>
              </w:rPr>
            </w:pPr>
            <w:r>
              <w:rPr>
                <w:b/>
                <w:sz w:val="20"/>
              </w:rPr>
              <w:t>Ordinary shares</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8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Treasury</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 xml:space="preserve">shares </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70" w:type="dxa"/>
            <w:gridSpan w:val="2"/>
            <w:vMerge w:val="restart"/>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30" w:type="dxa"/>
            <w:gridSpan w:val="2"/>
            <w:vMerge w:val="restart"/>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deficit</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95" w:type="dxa"/>
            <w:gridSpan w:val="2"/>
            <w:vMerge w:val="restart"/>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other</w:t>
            </w:r>
          </w:p>
          <w:p>
            <w:pPr>
              <w:pStyle w:val="TableContents"/>
              <w:bidi w:val="0"/>
              <w:spacing w:before="0" w:after="0"/>
              <w:jc w:val="center"/>
              <w:rPr>
                <w:b/>
                <w:sz w:val="20"/>
              </w:rPr>
            </w:pPr>
            <w:r>
              <w:rPr>
                <w:b/>
                <w:sz w:val="20"/>
              </w:rPr>
              <w:t>comprehensive income (loss)</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15" w:type="dxa"/>
            <w:gridSpan w:val="2"/>
            <w:vMerge w:val="restart"/>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shareholders’</w:t>
            </w:r>
          </w:p>
          <w:p>
            <w:pPr>
              <w:pStyle w:val="TableContents"/>
              <w:bidi w:val="0"/>
              <w:spacing w:before="0" w:after="0"/>
              <w:jc w:val="center"/>
              <w:rPr>
                <w:b/>
                <w:sz w:val="20"/>
              </w:rPr>
            </w:pPr>
            <w:r>
              <w:rPr>
                <w:b/>
                <w:sz w:val="20"/>
              </w:rPr>
              <w:t>equity</w:t>
            </w:r>
          </w:p>
        </w:tc>
        <w:tc>
          <w:tcPr>
            <w:tcW w:w="80" w:type="dxa"/>
            <w:vMerge w:val="restart"/>
            <w:tcBorders/>
            <w:vAlign w:val="bottom"/>
          </w:tcPr>
          <w:p>
            <w:pPr>
              <w:pStyle w:val="TableContents"/>
              <w:bidi w:val="0"/>
              <w:spacing w:before="0" w:after="283"/>
              <w:jc w:val="left"/>
              <w:rPr/>
            </w:pPr>
            <w:r>
              <w:rPr/>
              <w:t> </w:t>
            </w:r>
          </w:p>
        </w:tc>
      </w:tr>
      <w:tr>
        <w:trPr/>
        <w:tc>
          <w:tcPr>
            <w:tcW w:w="125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25" w:type="dxa"/>
            <w:gridSpan w:val="6"/>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15" w:type="dxa"/>
            <w:gridSpan w:val="6"/>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8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80" w:type="dxa"/>
            <w:vMerge w:val="continue"/>
            <w:tcBorders>
              <w:bottom w:val="single" w:sz="1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30" w:type="dxa"/>
            <w:gridSpan w:val="2"/>
            <w:vMerge w:val="continue"/>
            <w:tcBorders/>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95"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15"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r>
      <w:tr>
        <w:trPr/>
        <w:tc>
          <w:tcPr>
            <w:tcW w:w="125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01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Number</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Amount</w:t>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8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Number</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Amount</w:t>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8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80" w:type="dxa"/>
            <w:vMerge w:val="continue"/>
            <w:tcBorders>
              <w:bottom w:val="single" w:sz="1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30" w:type="dxa"/>
            <w:gridSpan w:val="2"/>
            <w:vMerge w:val="continue"/>
            <w:tcBorders/>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95"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15"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r>
      <w:tr>
        <w:trPr/>
        <w:tc>
          <w:tcPr>
            <w:tcW w:w="1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ind w:left="180" w:right="0" w:hanging="180"/>
              <w:jc w:val="left"/>
              <w:rPr>
                <w:sz w:val="20"/>
              </w:rPr>
            </w:pPr>
            <w:r>
              <w:rPr>
                <w:sz w:val="20"/>
              </w:rPr>
              <w:t>Balance as of January 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254,133,863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sz w:val="20"/>
              </w:rPr>
            </w:pPr>
            <w:r>
              <w:rPr>
                <w:sz w:val="20"/>
              </w:rPr>
              <w:t>$</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903,789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sz w:val="20"/>
              </w:rPr>
            </w:pPr>
            <w:r>
              <w:rPr>
                <w:sz w:val="20"/>
              </w:rPr>
              <w:t>$</w:t>
            </w:r>
          </w:p>
        </w:tc>
        <w:tc>
          <w:tcPr>
            <w:tcW w:w="970" w:type="dxa"/>
            <w:tcBorders/>
            <w:shd w:fill="CCEEFF" w:val="clear"/>
            <w:vAlign w:val="bottom"/>
          </w:tcPr>
          <w:p>
            <w:pPr>
              <w:pStyle w:val="TableContents"/>
              <w:bidi w:val="0"/>
              <w:spacing w:before="0" w:after="0"/>
              <w:jc w:val="right"/>
              <w:rPr>
                <w:sz w:val="20"/>
              </w:rPr>
            </w:pPr>
            <w:r>
              <w:rPr>
                <w:sz w:val="20"/>
              </w:rPr>
              <w:t>(68,420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0"/>
              <w:jc w:val="left"/>
              <w:rPr>
                <w:sz w:val="20"/>
              </w:rPr>
            </w:pPr>
            <w:r>
              <w:rPr>
                <w:sz w:val="20"/>
              </w:rPr>
              <w:t>$</w:t>
            </w:r>
          </w:p>
        </w:tc>
        <w:tc>
          <w:tcPr>
            <w:tcW w:w="984" w:type="dxa"/>
            <w:tcBorders/>
            <w:shd w:fill="CCEEFF" w:val="clear"/>
            <w:vAlign w:val="bottom"/>
          </w:tcPr>
          <w:p>
            <w:pPr>
              <w:pStyle w:val="TableContents"/>
              <w:bidi w:val="0"/>
              <w:spacing w:before="0" w:after="0"/>
              <w:jc w:val="right"/>
              <w:rPr>
                <w:sz w:val="20"/>
              </w:rPr>
            </w:pPr>
            <w:r>
              <w:rPr>
                <w:sz w:val="20"/>
              </w:rPr>
              <w:t>(834</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sz w:val="20"/>
              </w:rPr>
            </w:pPr>
            <w:r>
              <w:rPr>
                <w:sz w:val="20"/>
              </w:rPr>
              <w:t>$</w:t>
            </w:r>
          </w:p>
        </w:tc>
        <w:tc>
          <w:tcPr>
            <w:tcW w:w="972" w:type="dxa"/>
            <w:tcBorders/>
            <w:shd w:fill="CCEEFF" w:val="clear"/>
            <w:vAlign w:val="bottom"/>
          </w:tcPr>
          <w:p>
            <w:pPr>
              <w:pStyle w:val="TableContents"/>
              <w:bidi w:val="0"/>
              <w:spacing w:before="0" w:after="0"/>
              <w:jc w:val="right"/>
              <w:rPr>
                <w:sz w:val="20"/>
              </w:rPr>
            </w:pPr>
            <w:r>
              <w:rPr>
                <w:sz w:val="20"/>
              </w:rPr>
              <w:t>834,535</w:t>
            </w:r>
          </w:p>
        </w:tc>
        <w:tc>
          <w:tcPr>
            <w:tcW w:w="80"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ind w:left="360" w:right="0" w:hanging="36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50,599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50,599</w:t>
            </w:r>
          </w:p>
        </w:tc>
        <w:tc>
          <w:tcPr>
            <w:tcW w:w="8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ind w:left="180" w:right="0" w:hanging="180"/>
              <w:jc w:val="left"/>
              <w:rPr>
                <w:sz w:val="20"/>
              </w:rPr>
            </w:pPr>
            <w:r>
              <w:rPr>
                <w:sz w:val="20"/>
              </w:rPr>
              <w:t>Repurchase of Ordinary shares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(6,672,915</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sz w:val="20"/>
              </w:rPr>
            </w:pPr>
            <w:r>
              <w:rPr>
                <w:sz w:val="20"/>
              </w:rPr>
              <w:t>(23,157</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sz w:val="20"/>
              </w:rPr>
            </w:pPr>
            <w:r>
              <w:rPr>
                <w:sz w:val="20"/>
              </w:rPr>
              <w:t>(23,157</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1250" w:type="dxa"/>
            <w:tcBorders/>
            <w:vAlign w:val="bottom"/>
          </w:tcPr>
          <w:p>
            <w:pPr>
              <w:pStyle w:val="TableContents"/>
              <w:bidi w:val="0"/>
              <w:spacing w:before="0" w:after="0"/>
              <w:ind w:left="0" w:right="0" w:hanging="0"/>
              <w:jc w:val="left"/>
              <w:rPr>
                <w:sz w:val="20"/>
              </w:rPr>
            </w:pPr>
            <w:r>
              <w:rPr>
                <w:sz w:val="20"/>
              </w:rPr>
              <w:t>Exercise of options and vested 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12,543,489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5,429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5,429</w:t>
            </w:r>
          </w:p>
        </w:tc>
        <w:tc>
          <w:tcPr>
            <w:tcW w:w="8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283"/>
              <w:jc w:val="left"/>
              <w:rPr>
                <w:sz w:val="20"/>
              </w:rPr>
            </w:pPr>
            <w:r>
              <w:rPr>
                <w:sz w:val="20"/>
              </w:rPr>
              <w:t xml:space="preserve">Connexity issuance of Holdback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1,162,800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ind w:left="180" w:right="0" w:hanging="180"/>
              <w:jc w:val="left"/>
              <w:rPr>
                <w:sz w:val="20"/>
              </w:rPr>
            </w:pPr>
            <w:r>
              <w:rPr>
                <w:sz w:val="20"/>
              </w:rPr>
              <w:t>Issuance of Ordinary shares and Non-voting Ordinary shares related to Commercial agreement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sz w:val="20"/>
              </w:rPr>
            </w:pPr>
            <w:r>
              <w:rPr>
                <w:sz w:val="20"/>
              </w:rPr>
              <w:t>45,198,702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39,525,691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288,063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288,063</w:t>
            </w:r>
          </w:p>
        </w:tc>
        <w:tc>
          <w:tcPr>
            <w:tcW w:w="8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(3,213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(3,213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1250" w:type="dxa"/>
            <w:tcBorders/>
            <w:vAlign w:val="bottom"/>
          </w:tcPr>
          <w:p>
            <w:pPr>
              <w:pStyle w:val="TableContents"/>
              <w:bidi w:val="0"/>
              <w:spacing w:before="0" w:after="283"/>
              <w:ind w:left="0" w:right="0" w:hanging="0"/>
              <w:jc w:val="both"/>
              <w:rPr>
                <w:sz w:val="20"/>
              </w:rPr>
            </w:pPr>
            <w:r>
              <w:rPr>
                <w:rFonts w:ascii="Times New Roman" w:hAnsi="Times New Roman"/>
                <w:b w:val="false"/>
                <w:i w:val="false"/>
                <w:caps w:val="false"/>
                <w:smallCaps w:val="false"/>
                <w:color w:val="000000"/>
                <w:spacing w:val="0"/>
                <w:sz w:val="20"/>
                <w:shd w:fill="FFFFFF" w:val="clear"/>
              </w:rPr>
              <w:t>Other comprehensive income</w:t>
            </w:r>
            <w:r>
              <w:rPr>
                <w:sz w:val="20"/>
              </w:rPr>
              <w:t xml:space="preserve">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sz w:val="20"/>
              </w:rPr>
            </w:pPr>
            <w:r>
              <w:rPr>
                <w:sz w:val="20"/>
              </w:rPr>
              <w:t>616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sz w:val="20"/>
              </w:rPr>
            </w:pPr>
            <w:r>
              <w:rPr>
                <w:sz w:val="20"/>
              </w:rPr>
              <w:t>616</w:t>
            </w:r>
          </w:p>
        </w:tc>
        <w:tc>
          <w:tcPr>
            <w:tcW w:w="8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ind w:left="180" w:right="0" w:hanging="18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(85,763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(85,763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1250" w:type="dxa"/>
            <w:tcBorders/>
            <w:vAlign w:val="bottom"/>
          </w:tcPr>
          <w:p>
            <w:pPr>
              <w:pStyle w:val="TableContents"/>
              <w:bidi w:val="0"/>
              <w:spacing w:before="0" w:after="0"/>
              <w:ind w:left="180" w:right="0" w:hanging="180"/>
              <w:jc w:val="left"/>
              <w:rPr>
                <w:sz w:val="20"/>
              </w:rPr>
            </w:pPr>
            <w:r>
              <w:rPr>
                <w:sz w:val="20"/>
              </w:rPr>
              <w:t>Balance as of September 30, 2023 (unaudited)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sz w:val="20"/>
              </w:rPr>
            </w:pPr>
            <w:r>
              <w:rPr>
                <w:sz w:val="20"/>
              </w:rPr>
              <w:t>45,198,702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sz w:val="20"/>
              </w:rPr>
            </w:pPr>
            <w:r>
              <w:rPr>
                <w:sz w:val="20"/>
              </w:rPr>
              <w:t xml:space="preserve">$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300,692,928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822"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(23,157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1,244,667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70" w:type="dxa"/>
            <w:tcBorders>
              <w:bottom w:val="single" w:sz="12" w:space="0" w:color="000000"/>
            </w:tcBorders>
            <w:tcMar>
              <w:bottom w:w="28" w:type="dxa"/>
            </w:tcMar>
            <w:vAlign w:val="bottom"/>
          </w:tcPr>
          <w:p>
            <w:pPr>
              <w:pStyle w:val="TableContents"/>
              <w:bidi w:val="0"/>
              <w:spacing w:before="0" w:after="0"/>
              <w:jc w:val="right"/>
              <w:rPr>
                <w:sz w:val="20"/>
              </w:rPr>
            </w:pPr>
            <w:r>
              <w:rPr>
                <w:sz w:val="20"/>
              </w:rPr>
              <w:t>(154,183</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311"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84" w:type="dxa"/>
            <w:tcBorders>
              <w:bottom w:val="single" w:sz="12" w:space="0" w:color="000000"/>
            </w:tcBorders>
            <w:tcMar>
              <w:bottom w:w="28" w:type="dxa"/>
            </w:tcMar>
            <w:vAlign w:val="bottom"/>
          </w:tcPr>
          <w:p>
            <w:pPr>
              <w:pStyle w:val="TableContents"/>
              <w:bidi w:val="0"/>
              <w:spacing w:before="0" w:after="0"/>
              <w:jc w:val="right"/>
              <w:rPr>
                <w:sz w:val="20"/>
              </w:rPr>
            </w:pPr>
            <w:r>
              <w:rPr>
                <w:sz w:val="20"/>
              </w:rPr>
              <w:t>(218</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72" w:type="dxa"/>
            <w:tcBorders>
              <w:bottom w:val="single" w:sz="12" w:space="0" w:color="000000"/>
            </w:tcBorders>
            <w:tcMar>
              <w:bottom w:w="28" w:type="dxa"/>
            </w:tcMar>
            <w:vAlign w:val="bottom"/>
          </w:tcPr>
          <w:p>
            <w:pPr>
              <w:pStyle w:val="TableContents"/>
              <w:bidi w:val="0"/>
              <w:spacing w:before="0" w:after="0"/>
              <w:jc w:val="right"/>
              <w:rPr>
                <w:sz w:val="20"/>
              </w:rPr>
            </w:pPr>
            <w:r>
              <w:rPr>
                <w:sz w:val="20"/>
              </w:rPr>
              <w:t>1,067,109</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center"/>
        <w:rPr>
          <w:b w:val="false"/>
        </w:rPr>
      </w:pPr>
      <w:r>
        <w:rPr>
          <w:b w:val="false"/>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b w:val="false"/>
        </w:rPr>
      </w:pPr>
      <w:r>
        <w:rPr>
          <w:b w:val="false"/>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- 8 -</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shd w:fill="FFFFFF" w:val="clear"/>
        </w:rPr>
      </w:pPr>
      <w:bookmarkStart w:id="8" w:name="STATEMENTSOFCASHFLOWS"/>
      <w:bookmarkEnd w:id="8"/>
      <w:r>
        <w:rPr>
          <w:rFonts w:ascii="Times New Roman" w:hAnsi="Times New Roman"/>
          <w:b/>
          <w:color w:val="000000"/>
          <w:sz w:val="20"/>
          <w:shd w:fill="FFFFFF" w:val="clear"/>
        </w:rPr>
        <w:t>CONSOLIDATED INTERIM STATEMENTS OF CASH FLOWS</w:t>
      </w:r>
    </w:p>
    <w:p>
      <w:pPr>
        <w:pStyle w:val="HorizontalLine"/>
        <w:bidi w:val="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8990" w:type="dxa"/>
        <w:jc w:val="left"/>
        <w:tblInd w:w="0" w:type="dxa"/>
        <w:tblLayout w:type="fixed"/>
        <w:tblCellMar>
          <w:top w:w="0" w:type="dxa"/>
          <w:left w:w="0" w:type="dxa"/>
          <w:bottom w:w="0" w:type="dxa"/>
          <w:right w:w="0" w:type="dxa"/>
        </w:tblCellMar>
      </w:tblPr>
      <w:tblGrid>
        <w:gridCol w:w="7070"/>
        <w:gridCol w:w="60"/>
        <w:gridCol w:w="125"/>
        <w:gridCol w:w="695"/>
        <w:gridCol w:w="80"/>
        <w:gridCol w:w="60"/>
        <w:gridCol w:w="125"/>
        <w:gridCol w:w="695"/>
        <w:gridCol w:w="80"/>
      </w:tblGrid>
      <w:tr>
        <w:trPr/>
        <w:tc>
          <w:tcPr>
            <w:tcW w:w="7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Nine months ended</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8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80" w:type="dxa"/>
            <w:tcBorders/>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180" w:right="0" w:hanging="180"/>
              <w:jc w:val="both"/>
              <w:rPr>
                <w:sz w:val="20"/>
                <w:u w:val="single"/>
              </w:rPr>
            </w:pPr>
            <w:r>
              <w:rPr>
                <w:sz w:val="20"/>
                <w:u w:val="single"/>
              </w:rPr>
              <w:t>Cash flows from operating activities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18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(36,903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(85,763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180"/>
              <w:jc w:val="left"/>
              <w:rPr>
                <w:sz w:val="20"/>
                <w:u w:val="single"/>
              </w:rPr>
            </w:pPr>
            <w:r>
              <w:rPr>
                <w:sz w:val="20"/>
                <w:u w:val="single"/>
              </w:rPr>
              <w:t>Adjustments to reconcile net loss to net cash flows provided by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75,976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70,709</w:t>
            </w:r>
          </w:p>
        </w:tc>
        <w:tc>
          <w:tcPr>
            <w:tcW w:w="8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180" w:right="0" w:hanging="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51,892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48,868</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Commercial agreement asset amortization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1,390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180" w:right="0" w:hanging="0"/>
              <w:jc w:val="left"/>
              <w:rPr>
                <w:sz w:val="20"/>
              </w:rPr>
            </w:pPr>
            <w:r>
              <w:rPr>
                <w:sz w:val="20"/>
              </w:rPr>
              <w:t>Net loss (income) from financing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(1,131</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1,269</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Revaluation of the Warrants liability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(4,625</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(733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0"/>
              <w:jc w:val="left"/>
              <w:rPr>
                <w:sz w:val="20"/>
              </w:rPr>
            </w:pPr>
            <w:r>
              <w:rPr>
                <w:sz w:val="20"/>
              </w:rPr>
              <w:t>Amortization of loan and credit facility issuance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1,092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1,220</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360" w:right="0" w:hanging="180"/>
              <w:jc w:val="left"/>
              <w:rPr>
                <w:sz w:val="20"/>
              </w:rPr>
            </w:pPr>
            <w:r>
              <w:rPr>
                <w:sz w:val="20"/>
              </w:rPr>
              <w:t>Amortization of premium and accretion of discount on short-term investments,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(923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180"/>
              <w:jc w:val="left"/>
              <w:rPr>
                <w:sz w:val="20"/>
                <w:u w:val="single"/>
              </w:rPr>
            </w:pPr>
            <w:r>
              <w:rPr>
                <w:sz w:val="20"/>
                <w:u w:val="single"/>
              </w:rPr>
              <w:t>Change in operating assets and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360" w:right="0" w:hanging="180"/>
              <w:jc w:val="left"/>
              <w:rPr>
                <w:sz w:val="20"/>
              </w:rPr>
            </w:pPr>
            <w:r>
              <w:rPr>
                <w:sz w:val="20"/>
              </w:rPr>
              <w:t>Decrease in trade receivables, net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12,977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24,590</w:t>
            </w:r>
          </w:p>
        </w:tc>
        <w:tc>
          <w:tcPr>
            <w:tcW w:w="8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360" w:right="0" w:hanging="180"/>
              <w:jc w:val="left"/>
              <w:rPr>
                <w:sz w:val="20"/>
              </w:rPr>
            </w:pPr>
            <w:r>
              <w:rPr>
                <w:sz w:val="20"/>
              </w:rPr>
              <w:t>Decrease in prepaid expenses and other current assets and long-term prepaid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23,787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2,554</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360" w:right="0" w:hanging="180"/>
              <w:jc w:val="left"/>
              <w:rPr>
                <w:sz w:val="20"/>
              </w:rPr>
            </w:pPr>
            <w:r>
              <w:rPr>
                <w:sz w:val="20"/>
              </w:rPr>
              <w:t>Increase (decrease) in trade payables (2)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(12,901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2,222</w:t>
            </w:r>
          </w:p>
        </w:tc>
        <w:tc>
          <w:tcPr>
            <w:tcW w:w="80" w:type="dxa"/>
            <w:tcBorders/>
            <w:shd w:fill="CCEEFF" w:val="clear"/>
            <w:vAlign w:val="bottom"/>
          </w:tcPr>
          <w:p>
            <w:pPr>
              <w:pStyle w:val="TableContents"/>
              <w:bidi w:val="0"/>
              <w:spacing w:before="0" w:after="283"/>
              <w:jc w:val="left"/>
              <w:rPr>
                <w:sz w:val="4"/>
                <w:szCs w:val="4"/>
              </w:rPr>
            </w:pPr>
            <w:r>
              <w:rPr>
                <w:sz w:val="4"/>
                <w:szCs w:val="4"/>
              </w:rPr>
            </w:r>
          </w:p>
        </w:tc>
      </w:tr>
      <w:tr>
        <w:trPr/>
        <w:tc>
          <w:tcPr>
            <w:tcW w:w="7070" w:type="dxa"/>
            <w:tcBorders/>
            <w:vAlign w:val="bottom"/>
          </w:tcPr>
          <w:p>
            <w:pPr>
              <w:pStyle w:val="TableContents"/>
              <w:bidi w:val="0"/>
              <w:spacing w:before="0" w:after="0"/>
              <w:ind w:left="360" w:right="0" w:hanging="180"/>
              <w:jc w:val="left"/>
              <w:rPr>
                <w:sz w:val="20"/>
              </w:rPr>
            </w:pPr>
            <w:r>
              <w:rPr>
                <w:sz w:val="20"/>
              </w:rPr>
              <w:t>Increase in accrued expenses and other current liabilities and other long-term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23,027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5,377</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Decrease in deferred taxes,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(10,962</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(8,218</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0"/>
              <w:jc w:val="left"/>
              <w:rPr>
                <w:sz w:val="20"/>
              </w:rPr>
            </w:pPr>
            <w:r>
              <w:rPr>
                <w:sz w:val="20"/>
              </w:rPr>
              <w:t>Change in operating lease right of use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14,638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12,447</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Change in operating 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(16,091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(12,038</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180"/>
              <w:jc w:val="left"/>
              <w:rPr>
                <w:sz w:val="20"/>
              </w:rPr>
            </w:pPr>
            <w:r>
              <w:rPr>
                <w:sz w:val="20"/>
              </w:rPr>
              <w:t>Net cash provided by operating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122,396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61,581</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180" w:right="0" w:hanging="180"/>
              <w:jc w:val="left"/>
              <w:rPr>
                <w:sz w:val="20"/>
                <w:u w:val="single"/>
              </w:rPr>
            </w:pPr>
            <w:r>
              <w:rPr>
                <w:sz w:val="20"/>
                <w:u w:val="single"/>
              </w:rPr>
              <w:t>Cash flows from investing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Purchase of property and equipment, including capitalized internal-use software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(25,130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(19,839</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0"/>
              <w:jc w:val="left"/>
              <w:rPr>
                <w:sz w:val="20"/>
              </w:rPr>
            </w:pPr>
            <w:r>
              <w:rPr>
                <w:sz w:val="20"/>
              </w:rPr>
              <w:t>Business acquisition deferred payment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(719</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Investments in restricted 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(594</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0"/>
              <w:jc w:val="left"/>
              <w:rPr>
                <w:sz w:val="20"/>
              </w:rPr>
            </w:pPr>
            <w:r>
              <w:rPr>
                <w:sz w:val="20"/>
              </w:rPr>
              <w:t>Proceeds from maturities of short-term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5,765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107,669</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Purchase of short-term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(21,991</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7070" w:type="dxa"/>
            <w:tcBorders/>
            <w:vAlign w:val="bottom"/>
          </w:tcPr>
          <w:p>
            <w:pPr>
              <w:pStyle w:val="TableContents"/>
              <w:bidi w:val="0"/>
              <w:spacing w:before="0" w:after="0"/>
              <w:jc w:val="left"/>
              <w:rPr>
                <w:sz w:val="20"/>
              </w:rPr>
            </w:pPr>
            <w:r>
              <w:rPr>
                <w:sz w:val="20"/>
              </w:rPr>
              <w:t>Net cash provided by (used in) investing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(20,084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65,245</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180" w:right="0" w:hanging="180"/>
              <w:jc w:val="left"/>
              <w:rPr>
                <w:sz w:val="20"/>
                <w:u w:val="single"/>
              </w:rPr>
            </w:pPr>
            <w:r>
              <w:rPr>
                <w:sz w:val="20"/>
                <w:u w:val="single"/>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Issuance costs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(695</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180" w:right="0" w:hanging="0"/>
              <w:jc w:val="left"/>
              <w:rPr>
                <w:sz w:val="20"/>
              </w:rPr>
            </w:pPr>
            <w:r>
              <w:rPr>
                <w:sz w:val="20"/>
              </w:rPr>
              <w:t>Exercise of options and vested RSUs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5,709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5,429</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360" w:right="0" w:hanging="180"/>
              <w:jc w:val="left"/>
              <w:rPr>
                <w:sz w:val="20"/>
              </w:rPr>
            </w:pPr>
            <w:r>
              <w:rPr>
                <w:sz w:val="20"/>
              </w:rPr>
              <w:t>Payment of tax withholding for share-based compensation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(2,396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(3,213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0"/>
              <w:jc w:val="left"/>
              <w:rPr>
                <w:sz w:val="20"/>
              </w:rPr>
            </w:pPr>
            <w:r>
              <w:rPr>
                <w:sz w:val="20"/>
              </w:rPr>
              <w:t>Repurchase of Ordinary shares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sz w:val="20"/>
              </w:rPr>
            </w:pPr>
            <w:r>
              <w:rPr>
                <w:sz w:val="20"/>
              </w:rPr>
              <w:t>(64,517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sz w:val="20"/>
              </w:rPr>
            </w:pPr>
            <w:r>
              <w:rPr>
                <w:sz w:val="20"/>
              </w:rPr>
              <w:t>(23,157</w:t>
            </w:r>
          </w:p>
        </w:tc>
        <w:tc>
          <w:tcPr>
            <w:tcW w:w="80" w:type="dxa"/>
            <w:tcBorders/>
            <w:vAlign w:val="bottom"/>
          </w:tcPr>
          <w:p>
            <w:pPr>
              <w:pStyle w:val="TableContents"/>
              <w:bidi w:val="0"/>
              <w:spacing w:before="0" w:after="283"/>
              <w:jc w:val="left"/>
              <w:rPr>
                <w:sz w:val="20"/>
              </w:rPr>
            </w:pPr>
            <w:r>
              <w:rPr>
                <w:sz w:val="20"/>
              </w:rPr>
              <w:t>)</w:t>
            </w:r>
          </w:p>
        </w:tc>
      </w:tr>
      <w:tr>
        <w:trPr/>
        <w:tc>
          <w:tcPr>
            <w:tcW w:w="7070" w:type="dxa"/>
            <w:tcBorders/>
            <w:shd w:fill="CCEEFF" w:val="clear"/>
            <w:vAlign w:val="bottom"/>
          </w:tcPr>
          <w:p>
            <w:pPr>
              <w:pStyle w:val="TableContents"/>
              <w:bidi w:val="0"/>
              <w:spacing w:before="0" w:after="0"/>
              <w:ind w:left="180" w:right="0" w:hanging="0"/>
              <w:jc w:val="left"/>
              <w:rPr>
                <w:sz w:val="20"/>
              </w:rPr>
            </w:pPr>
            <w:r>
              <w:rPr>
                <w:sz w:val="20"/>
              </w:rPr>
              <w:t>Payments on account of repurchase of Ordinary shares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(422</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180" w:right="0" w:hanging="0"/>
              <w:jc w:val="left"/>
              <w:rPr>
                <w:sz w:val="20"/>
              </w:rPr>
            </w:pPr>
            <w:r>
              <w:rPr>
                <w:sz w:val="20"/>
              </w:rPr>
              <w:t>Repayment of long-term loan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(32,250</w:t>
            </w:r>
          </w:p>
        </w:tc>
        <w:tc>
          <w:tcPr>
            <w:tcW w:w="80" w:type="dxa"/>
            <w:tcBorders/>
            <w:vAlign w:val="bottom"/>
          </w:tcPr>
          <w:p>
            <w:pPr>
              <w:pStyle w:val="TableContents"/>
              <w:bidi w:val="0"/>
              <w:spacing w:before="0" w:after="0"/>
              <w:jc w:val="left"/>
              <w:rPr>
                <w:sz w:val="20"/>
              </w:rPr>
            </w:pPr>
            <w:r>
              <w:rPr>
                <w:sz w:val="20"/>
              </w:rPr>
              <w:t>)</w:t>
            </w:r>
          </w:p>
        </w:tc>
      </w:tr>
      <w:tr>
        <w:trPr/>
        <w:tc>
          <w:tcPr>
            <w:tcW w:w="7070" w:type="dxa"/>
            <w:tcBorders/>
            <w:shd w:fill="CCEEFF" w:val="clear"/>
            <w:vAlign w:val="bottom"/>
          </w:tcPr>
          <w:p>
            <w:pPr>
              <w:pStyle w:val="TableContents"/>
              <w:bidi w:val="0"/>
              <w:spacing w:before="0" w:after="0"/>
              <w:ind w:left="180" w:right="0" w:hanging="180"/>
              <w:jc w:val="left"/>
              <w:rPr>
                <w:sz w:val="20"/>
              </w:rPr>
            </w:pPr>
            <w:r>
              <w:rPr>
                <w:sz w:val="20"/>
              </w:rPr>
              <w:t>Net cash used in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(62,321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(53,191</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180"/>
              <w:jc w:val="left"/>
              <w:rPr>
                <w:sz w:val="20"/>
              </w:rPr>
            </w:pPr>
            <w:r>
              <w:rPr>
                <w:sz w:val="20"/>
              </w:rPr>
              <w:t>Exchange rate differences on balances of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(1,269</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070" w:type="dxa"/>
            <w:tcBorders/>
            <w:vAlign w:val="bottom"/>
          </w:tcPr>
          <w:p>
            <w:pPr>
              <w:pStyle w:val="TableContents"/>
              <w:bidi w:val="0"/>
              <w:spacing w:before="0" w:after="0"/>
              <w:ind w:left="180" w:right="0" w:hanging="180"/>
              <w:jc w:val="left"/>
              <w:rPr>
                <w:sz w:val="20"/>
              </w:rPr>
            </w:pPr>
            <w:r>
              <w:rPr>
                <w:sz w:val="20"/>
              </w:rPr>
              <w:t>Increase in cash and cash equivalents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41,122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72,366</w:t>
            </w:r>
          </w:p>
        </w:tc>
        <w:tc>
          <w:tcPr>
            <w:tcW w:w="80" w:type="dxa"/>
            <w:tcBorders/>
            <w:vAlign w:val="bottom"/>
          </w:tcPr>
          <w:p>
            <w:pPr>
              <w:pStyle w:val="TableContents"/>
              <w:bidi w:val="0"/>
              <w:spacing w:before="0" w:after="283"/>
              <w:jc w:val="left"/>
              <w:rPr/>
            </w:pPr>
            <w:r>
              <w:rPr/>
              <w:t> </w:t>
            </w:r>
          </w:p>
        </w:tc>
      </w:tr>
      <w:tr>
        <w:trPr/>
        <w:tc>
          <w:tcPr>
            <w:tcW w:w="7070" w:type="dxa"/>
            <w:tcBorders/>
            <w:shd w:fill="CCEEFF" w:val="clear"/>
            <w:vAlign w:val="bottom"/>
          </w:tcPr>
          <w:p>
            <w:pPr>
              <w:pStyle w:val="TableContents"/>
              <w:bidi w:val="0"/>
              <w:spacing w:before="0" w:after="0"/>
              <w:ind w:left="180" w:right="0" w:hanging="180"/>
              <w:jc w:val="left"/>
              <w:rPr>
                <w:sz w:val="20"/>
              </w:rPr>
            </w:pPr>
            <w:r>
              <w:rPr>
                <w:sz w:val="20"/>
              </w:rPr>
              <w:t>Cash and cash equivalents - at the beginning of the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176,108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165,893</w:t>
            </w:r>
          </w:p>
        </w:tc>
        <w:tc>
          <w:tcPr>
            <w:tcW w:w="80" w:type="dxa"/>
            <w:tcBorders/>
            <w:shd w:fill="CCEEFF" w:val="clear"/>
            <w:vAlign w:val="bottom"/>
          </w:tcPr>
          <w:p>
            <w:pPr>
              <w:pStyle w:val="TableContents"/>
              <w:bidi w:val="0"/>
              <w:spacing w:before="0" w:after="283"/>
              <w:jc w:val="left"/>
              <w:rPr/>
            </w:pPr>
            <w:r>
              <w:rPr/>
              <w:t> </w:t>
            </w:r>
          </w:p>
        </w:tc>
      </w:tr>
      <w:tr>
        <w:trPr/>
        <w:tc>
          <w:tcPr>
            <w:tcW w:w="7070" w:type="dxa"/>
            <w:tcBorders/>
            <w:vAlign w:val="bottom"/>
          </w:tcPr>
          <w:p>
            <w:pPr>
              <w:pStyle w:val="TableContents"/>
              <w:bidi w:val="0"/>
              <w:spacing w:before="0" w:after="0"/>
              <w:ind w:left="180" w:right="0" w:hanging="180"/>
              <w:jc w:val="left"/>
              <w:rPr>
                <w:sz w:val="20"/>
              </w:rPr>
            </w:pPr>
            <w:r>
              <w:rPr>
                <w:sz w:val="20"/>
              </w:rPr>
              <w:t>Cash and cash equivalents - at end of the period</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217,230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238,259</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(1) Includes an increase in related party trade receivables of $39,461 and $4,791, for the nine months ended September 30, 2024 and 2023, respectively.</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(2) Includes an increase in related party trade payables of $11,964 and $4,717, for the nine months ended September 30, 2024 and 2023, respectively.</w:t>
      </w:r>
    </w:p>
    <w:p>
      <w:pPr>
        <w:pStyle w:val="TextBody"/>
        <w:bidi w:val="0"/>
        <w:spacing w:before="0" w:after="0"/>
        <w:jc w:val="both"/>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- 9 -</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br/>
        <w:t>CONSOLIDATED INTERIM STATEMENTS OF CASH FLOWS</w:t>
      </w:r>
    </w:p>
    <w:p>
      <w:pPr>
        <w:pStyle w:val="HorizontalLine"/>
        <w:bidi w:val="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8226" w:type="dxa"/>
        <w:jc w:val="left"/>
        <w:tblInd w:w="0" w:type="dxa"/>
        <w:tblLayout w:type="fixed"/>
        <w:tblCellMar>
          <w:top w:w="0" w:type="dxa"/>
          <w:left w:w="0" w:type="dxa"/>
          <w:bottom w:w="0" w:type="dxa"/>
          <w:right w:w="0" w:type="dxa"/>
        </w:tblCellMar>
      </w:tblPr>
      <w:tblGrid>
        <w:gridCol w:w="6500"/>
        <w:gridCol w:w="60"/>
        <w:gridCol w:w="129"/>
        <w:gridCol w:w="612"/>
        <w:gridCol w:w="62"/>
        <w:gridCol w:w="62"/>
        <w:gridCol w:w="129"/>
        <w:gridCol w:w="612"/>
        <w:gridCol w:w="60"/>
      </w:tblGrid>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6"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Nine months ended</w:t>
            </w:r>
          </w:p>
          <w:p>
            <w:pPr>
              <w:pStyle w:val="TableContents"/>
              <w:bidi w:val="0"/>
              <w:spacing w:before="0" w:after="0"/>
              <w:jc w:val="center"/>
              <w:rPr>
                <w:b/>
                <w:sz w:val="20"/>
              </w:rPr>
            </w:pPr>
            <w:r>
              <w:rPr>
                <w:b/>
                <w:sz w:val="20"/>
              </w:rPr>
              <w:t>September 30,</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6"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r>
      <w:tr>
        <w:trPr/>
        <w:tc>
          <w:tcPr>
            <w:tcW w:w="8166" w:type="dxa"/>
            <w:gridSpan w:val="8"/>
            <w:tcBorders/>
            <w:vAlign w:val="bottom"/>
          </w:tcPr>
          <w:p>
            <w:pPr>
              <w:pStyle w:val="TableContents"/>
              <w:bidi w:val="0"/>
              <w:spacing w:before="0" w:after="0"/>
              <w:jc w:val="left"/>
              <w:rPr>
                <w:b/>
                <w:sz w:val="20"/>
              </w:rPr>
            </w:pPr>
            <w:r>
              <w:rPr>
                <w:b/>
                <w:sz w:val="20"/>
              </w:rPr>
              <w:t>Supplemental disclosures of cash flow information:</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sz w:val="20"/>
                <w:u w:val="single"/>
              </w:rPr>
            </w:pPr>
            <w:r>
              <w:rPr>
                <w:sz w:val="20"/>
                <w:u w:val="single"/>
              </w:rPr>
              <w:t>Cash paid during the year for:</w:t>
            </w:r>
          </w:p>
        </w:tc>
        <w:tc>
          <w:tcPr>
            <w:tcW w:w="60" w:type="dxa"/>
            <w:tcBorders/>
            <w:vAlign w:val="bottom"/>
          </w:tcPr>
          <w:p>
            <w:pPr>
              <w:pStyle w:val="TableContents"/>
              <w:bidi w:val="0"/>
              <w:spacing w:before="0" w:after="283"/>
              <w:jc w:val="left"/>
              <w:rPr/>
            </w:pPr>
            <w:r>
              <w:rPr/>
              <w:t> </w:t>
            </w:r>
          </w:p>
        </w:tc>
        <w:tc>
          <w:tcPr>
            <w:tcW w:w="741"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4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ind w:left="180" w:right="0" w:hanging="0"/>
              <w:jc w:val="left"/>
              <w:rPr>
                <w:sz w:val="20"/>
              </w:rPr>
            </w:pPr>
            <w:r>
              <w:rPr>
                <w:sz w:val="20"/>
              </w:rPr>
              <w:t>Income taxes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612" w:type="dxa"/>
            <w:tcBorders/>
            <w:shd w:fill="CCEEFF" w:val="clear"/>
            <w:vAlign w:val="bottom"/>
          </w:tcPr>
          <w:p>
            <w:pPr>
              <w:pStyle w:val="TableContents"/>
              <w:bidi w:val="0"/>
              <w:spacing w:before="0" w:after="0"/>
              <w:jc w:val="right"/>
              <w:rPr>
                <w:sz w:val="20"/>
              </w:rPr>
            </w:pPr>
            <w:r>
              <w:rPr>
                <w:sz w:val="20"/>
              </w:rPr>
              <w:t>13,396</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612" w:type="dxa"/>
            <w:tcBorders/>
            <w:shd w:fill="CCEEFF" w:val="clear"/>
            <w:vAlign w:val="bottom"/>
          </w:tcPr>
          <w:p>
            <w:pPr>
              <w:pStyle w:val="TableContents"/>
              <w:bidi w:val="0"/>
              <w:spacing w:before="0" w:after="0"/>
              <w:jc w:val="right"/>
              <w:rPr>
                <w:sz w:val="20"/>
              </w:rPr>
            </w:pPr>
            <w:r>
              <w:rPr>
                <w:sz w:val="20"/>
              </w:rPr>
              <w:t>9,935</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180" w:right="0" w:hanging="0"/>
              <w:jc w:val="left"/>
              <w:rPr>
                <w:sz w:val="20"/>
              </w:rPr>
            </w:pPr>
            <w:r>
              <w:rPr>
                <w:sz w:val="20"/>
              </w:rPr>
              <w:t>Interest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11,054</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14,580</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sz w:val="20"/>
                <w:u w:val="single"/>
              </w:rPr>
            </w:pPr>
            <w:r>
              <w:rPr>
                <w:sz w:val="20"/>
                <w:u w:val="single"/>
              </w:rPr>
              <w:t>Non-cash investing and financing activities: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360" w:right="0" w:hanging="180"/>
              <w:jc w:val="left"/>
              <w:rPr>
                <w:sz w:val="20"/>
              </w:rPr>
            </w:pPr>
            <w:r>
              <w:rPr>
                <w:sz w:val="20"/>
              </w:rPr>
              <w:t>Purchase of property and equipment, including capitalized internal-use software</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4,508</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5,694</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ind w:left="360" w:right="0" w:hanging="180"/>
              <w:jc w:val="left"/>
              <w:rPr>
                <w:sz w:val="20"/>
              </w:rPr>
            </w:pPr>
            <w:r>
              <w:rPr>
                <w:sz w:val="20"/>
              </w:rPr>
              <w:t>Share-based compensation included in capitalized internal-use software</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612" w:type="dxa"/>
            <w:tcBorders/>
            <w:shd w:fill="CCEEFF" w:val="clear"/>
            <w:vAlign w:val="bottom"/>
          </w:tcPr>
          <w:p>
            <w:pPr>
              <w:pStyle w:val="TableContents"/>
              <w:bidi w:val="0"/>
              <w:spacing w:before="0" w:after="0"/>
              <w:jc w:val="right"/>
              <w:rPr>
                <w:sz w:val="20"/>
              </w:rPr>
            </w:pPr>
            <w:r>
              <w:rPr>
                <w:sz w:val="20"/>
              </w:rPr>
              <w:t>1,745</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612" w:type="dxa"/>
            <w:tcBorders/>
            <w:shd w:fill="CCEEFF" w:val="clear"/>
            <w:vAlign w:val="bottom"/>
          </w:tcPr>
          <w:p>
            <w:pPr>
              <w:pStyle w:val="TableContents"/>
              <w:bidi w:val="0"/>
              <w:spacing w:before="0" w:after="0"/>
              <w:jc w:val="right"/>
              <w:rPr>
                <w:sz w:val="20"/>
              </w:rPr>
            </w:pPr>
            <w:r>
              <w:rPr>
                <w:sz w:val="20"/>
              </w:rPr>
              <w:t>1,731</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180" w:right="0" w:hanging="0"/>
              <w:jc w:val="left"/>
              <w:rPr>
                <w:sz w:val="20"/>
              </w:rPr>
            </w:pPr>
            <w:r>
              <w:rPr>
                <w:sz w:val="20"/>
              </w:rPr>
              <w:t>Creation of operating lease right-of-use assets</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13,221</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10,604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- 10 -</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bdr w:val="single" w:sz="12" w:space="1" w:color="000000"/>
          <w:shd w:fill="FFFFFF" w:val="clear"/>
        </w:rPr>
      </w:pPr>
      <w:r>
        <w:rPr>
          <w:rFonts w:ascii="Times New Roman" w:hAnsi="Times New Roman"/>
          <w:b/>
          <w:color w:val="000000"/>
          <w:sz w:val="20"/>
          <w:bdr w:val="single" w:sz="12" w:space="1" w:color="000000"/>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bdr w:val="single" w:sz="12" w:space="1" w:color="000000"/>
          <w:shd w:fill="FFFFFF" w:val="clear"/>
        </w:rPr>
      </w:pPr>
      <w:r>
        <w:rPr>
          <w:rFonts w:ascii="Times New Roman" w:hAnsi="Times New Roman"/>
          <w:b/>
          <w:color w:val="000000"/>
          <w:sz w:val="20"/>
          <w:bdr w:val="single" w:sz="12" w:space="1" w:color="000000"/>
          <w:shd w:fill="FFFFFF" w:val="clear"/>
        </w:rPr>
        <w:t xml:space="preserve">NOTES TO THE CONSOLIDATED </w:t>
      </w:r>
      <w:bookmarkStart w:id="9" w:name="NOTESTOTHECONSOLIDATEDINT"/>
      <w:bookmarkEnd w:id="9"/>
      <w:r>
        <w:rPr>
          <w:rFonts w:ascii="Times New Roman" w:hAnsi="Times New Roman"/>
          <w:b/>
          <w:color w:val="000000"/>
          <w:sz w:val="20"/>
          <w:bdr w:val="single" w:sz="12" w:space="1" w:color="000000"/>
          <w:shd w:fill="FFFFFF" w:val="clear"/>
        </w:rPr>
        <w:t>INTERIM FINANCIAL STATEMENTS</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b/>
        </w:rPr>
      </w:pPr>
      <w:r>
        <w:rPr>
          <w:b/>
        </w:rPr>
      </w:r>
    </w:p>
    <w:tbl>
      <w:tblPr>
        <w:tblW w:w="1855" w:type="dxa"/>
        <w:jc w:val="left"/>
        <w:tblInd w:w="0" w:type="dxa"/>
        <w:tblLayout w:type="fixed"/>
        <w:tblCellMar>
          <w:top w:w="0" w:type="dxa"/>
          <w:left w:w="0" w:type="dxa"/>
          <w:bottom w:w="0" w:type="dxa"/>
          <w:right w:w="0" w:type="dxa"/>
        </w:tblCellMar>
      </w:tblPr>
      <w:tblGrid>
        <w:gridCol w:w="860"/>
        <w:gridCol w:w="995"/>
      </w:tblGrid>
      <w:tr>
        <w:trPr/>
        <w:tc>
          <w:tcPr>
            <w:tcW w:w="860" w:type="dxa"/>
            <w:tcBorders/>
            <w:vAlign w:val="center"/>
          </w:tcPr>
          <w:p>
            <w:pPr>
              <w:pStyle w:val="TableContents"/>
              <w:bidi w:val="0"/>
              <w:spacing w:before="0" w:after="283"/>
              <w:jc w:val="left"/>
              <w:rPr>
                <w:b/>
                <w:sz w:val="20"/>
              </w:rPr>
            </w:pPr>
            <w:r>
              <w:rPr>
                <w:b/>
                <w:sz w:val="20"/>
              </w:rPr>
              <w:t>NOTE 1:-</w:t>
            </w:r>
          </w:p>
        </w:tc>
        <w:tc>
          <w:tcPr>
            <w:tcW w:w="995" w:type="dxa"/>
            <w:tcBorders/>
            <w:vAlign w:val="center"/>
          </w:tcPr>
          <w:p>
            <w:pPr>
              <w:pStyle w:val="TableContents"/>
              <w:bidi w:val="0"/>
              <w:spacing w:before="0" w:after="0"/>
              <w:jc w:val="both"/>
              <w:rPr>
                <w:b/>
                <w:sz w:val="20"/>
              </w:rPr>
            </w:pPr>
            <w:r>
              <w:rPr>
                <w:b/>
                <w:sz w:val="20"/>
              </w:rPr>
              <w:t>GENERAL</w:t>
            </w:r>
          </w:p>
        </w:tc>
      </w:tr>
    </w:tbl>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0"/>
              <w:jc w:val="both"/>
              <w:rPr>
                <w:sz w:val="20"/>
              </w:rPr>
            </w:pPr>
            <w:r>
              <w:rPr>
                <w:sz w:val="20"/>
              </w:rPr>
              <w:t>Taboola.com Ltd. (together with its subsidiaries, the “Company” or “Taboola”) was incorporated under the laws of the state of Israel on September 3, 2006.</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Taboola is a technology company that powers recommendations across the Open Web with an artificial intelligence-based, algorithmic engine developed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0"/>
              <w:jc w:val="both"/>
              <w:rPr>
                <w:sz w:val="20"/>
              </w:rPr>
            </w:pPr>
            <w:r>
              <w:rPr>
                <w:sz w:val="20"/>
              </w:rPr>
              <w:t>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On January 17, 2023 (the “Transaction closing date”), the Company closed the transaction related agreements, including the issuance of 39,525,691 Ordinary shares and 45,198,702 Non-voting Ordinary shares to Yahoo. Based on the closing share price, on January 17, 2023, of $3.40 per share, the aggregate fair value of the issued shares amounted to $288,063. As part of the Ordinary shares and Non-voting Ordinary shares issuance, the Company incurred $1,388 of issuance expenses.</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Non-voting Ordinary shares are not entitled to vote on or receive notices with respect to any matter pursuant to the Company’s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accounts for the consideration paid to Yahoo (the “Commercial agreement asset”) as an up-front payment for traffic acquisition costs paid to the digital property partner, which is amortized over the shorter of respective contractual terms and the economic benefit period of the digital property arrangement.</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- 11 -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2335" w:type="dxa"/>
        <w:jc w:val="left"/>
        <w:tblInd w:w="0" w:type="dxa"/>
        <w:tblLayout w:type="fixed"/>
        <w:tblCellMar>
          <w:top w:w="0" w:type="dxa"/>
          <w:left w:w="0" w:type="dxa"/>
          <w:bottom w:w="0" w:type="dxa"/>
          <w:right w:w="0" w:type="dxa"/>
        </w:tblCellMar>
      </w:tblPr>
      <w:tblGrid>
        <w:gridCol w:w="860"/>
        <w:gridCol w:w="1475"/>
      </w:tblGrid>
      <w:tr>
        <w:trPr/>
        <w:tc>
          <w:tcPr>
            <w:tcW w:w="860" w:type="dxa"/>
            <w:tcBorders/>
            <w:vAlign w:val="center"/>
          </w:tcPr>
          <w:p>
            <w:pPr>
              <w:pStyle w:val="TableContents"/>
              <w:bidi w:val="0"/>
              <w:spacing w:before="0" w:after="283"/>
              <w:jc w:val="left"/>
              <w:rPr>
                <w:b/>
                <w:sz w:val="20"/>
              </w:rPr>
            </w:pPr>
            <w:r>
              <w:rPr>
                <w:b/>
                <w:sz w:val="20"/>
              </w:rPr>
              <w:t>NOTE 1:-</w:t>
            </w:r>
          </w:p>
        </w:tc>
        <w:tc>
          <w:tcPr>
            <w:tcW w:w="1475" w:type="dxa"/>
            <w:tcBorders/>
            <w:vAlign w:val="center"/>
          </w:tcPr>
          <w:p>
            <w:pPr>
              <w:pStyle w:val="TableContents"/>
              <w:bidi w:val="0"/>
              <w:spacing w:before="0" w:after="0"/>
              <w:jc w:val="both"/>
              <w:rPr>
                <w:b/>
                <w:sz w:val="20"/>
              </w:rPr>
            </w:pPr>
            <w:r>
              <w:rPr>
                <w:b/>
                <w:sz w:val="20"/>
              </w:rPr>
              <w:t>GENRAL (Cont.)</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months ended September 30, 2024, the Company concluded it had obtained exclusivity to the extent contemplated by the Commercial agreement as currently in effect, and therefore began to record amortization expenses of the Commercial agreement asset. For the three and nine months ended September 30, 2024, the Company recorded $1,390 amortization expenses of the Commercial agreement asset. For the three and nine months ended September 30, 2023, the Company did not record amortization expenses of the Commercial agreement asset.</w:t>
      </w:r>
    </w:p>
    <w:p>
      <w:pPr>
        <w:pStyle w:val="TextBody"/>
        <w:bidi w:val="0"/>
        <w:spacing w:before="0" w:after="0"/>
        <w:jc w:val="left"/>
        <w:rPr/>
      </w:pPr>
      <w:r>
        <w:rPr/>
      </w:r>
    </w:p>
    <w:tbl>
      <w:tblPr>
        <w:tblW w:w="4510" w:type="dxa"/>
        <w:jc w:val="left"/>
        <w:tblInd w:w="0" w:type="dxa"/>
        <w:tblLayout w:type="fixed"/>
        <w:tblCellMar>
          <w:top w:w="0" w:type="dxa"/>
          <w:left w:w="0" w:type="dxa"/>
          <w:bottom w:w="0" w:type="dxa"/>
          <w:right w:w="0" w:type="dxa"/>
        </w:tblCellMar>
      </w:tblPr>
      <w:tblGrid>
        <w:gridCol w:w="860"/>
        <w:gridCol w:w="3650"/>
      </w:tblGrid>
      <w:tr>
        <w:trPr/>
        <w:tc>
          <w:tcPr>
            <w:tcW w:w="860" w:type="dxa"/>
            <w:tcBorders/>
            <w:vAlign w:val="center"/>
          </w:tcPr>
          <w:p>
            <w:pPr>
              <w:pStyle w:val="TableContents"/>
              <w:bidi w:val="0"/>
              <w:spacing w:before="0" w:after="283"/>
              <w:jc w:val="left"/>
              <w:rPr>
                <w:b/>
                <w:color w:val="000000"/>
                <w:sz w:val="20"/>
              </w:rPr>
            </w:pPr>
            <w:r>
              <w:rPr>
                <w:b/>
                <w:color w:val="000000"/>
                <w:sz w:val="20"/>
              </w:rPr>
              <w:t>NOTE 2:-</w:t>
            </w:r>
          </w:p>
        </w:tc>
        <w:tc>
          <w:tcPr>
            <w:tcW w:w="3650" w:type="dxa"/>
            <w:tcBorders/>
            <w:vAlign w:val="center"/>
          </w:tcPr>
          <w:p>
            <w:pPr>
              <w:pStyle w:val="TableContents"/>
              <w:bidi w:val="0"/>
              <w:spacing w:before="0" w:after="0"/>
              <w:jc w:val="both"/>
              <w:rPr>
                <w:b/>
                <w:color w:val="000000"/>
                <w:sz w:val="20"/>
              </w:rPr>
            </w:pPr>
            <w:r>
              <w:rPr>
                <w:b/>
                <w:color w:val="000000"/>
                <w:sz w:val="20"/>
              </w:rPr>
              <w:t>SIGNIFICANT ACCOUNTING POLICIES</w:t>
            </w:r>
          </w:p>
        </w:tc>
      </w:tr>
    </w:tbl>
    <w:p>
      <w:pPr>
        <w:pStyle w:val="TextBody"/>
        <w:bidi w:val="0"/>
        <w:spacing w:before="0" w:after="0"/>
        <w:ind w:left="0" w:right="0" w:hanging="0"/>
        <w:jc w:val="left"/>
        <w:rPr/>
      </w:pPr>
      <w:r>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Basis of Presentation</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accompanying unaudited consolidated interim financial statements have been prepared in accordance with Generally Accepted Accounting Principles in the United States (“GAAP”), and applicable rules and regulations of the Securities and Exchange Commission (“SEC”) regarding interim financial reporting and include the accounts of Taboola.com Ltd. and its wholly-owned subsidiaries. All intercompany balances and transactions have been eliminated in consolidation.</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consolidated balance sheet as of December 31, 2023, included herein, was derived from the audited consolidated financial statements as of that date,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Therefore, these unaudited consolidated interim financial statements should be read in conjunction with the audited consolidated financial statements and the related notes thereto included in the Company’s Annual Report on Form 10-K as of and for the year ended December 31, 2023, filed with the SEC on February 28, 2024.</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the opinion of the Company’s management, the unaudited consolidated interim financial statements have been prepared on a basis consistent with the annual consolidated financial statements and reflect all adjustments, which include only normal recurring adjustments necessary for the fair presentation of the Company’s unaudited interim consolidated financial statements. The results of operations for the three and nine months ended September 30, 2024, are not necessarily indicative of the results to be expected for the full year ending December 31, 2024, or any other future interim or annual period.</w:t>
      </w:r>
      <w:r>
        <w:rPr>
          <w:rFonts w:ascii="Times New Roman" w:hAnsi="Times New Roman"/>
          <w:caps w:val="false"/>
          <w:smallCaps w:val="false"/>
          <w:color w:val="000000"/>
          <w:sz w:val="20"/>
          <w:shd w:fill="FFFFFF" w:val="clear"/>
        </w:rPr>
        <w:t xml:space="preserve"> </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Use of Estimates</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preparation of the interim consolidated financial statements in conformity with U.S. GAAP requires management to make estimates and assumptions that affect the reported amounts of assets and liabilities and disclosure of contingent assets and liabilities at the dates of the interim consolidated financial statements, and the reported amounts of revenues and expenses during the reporting period and accompanying notes. Actual results could differ from those estimates.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pStyle w:val="TextBody"/>
        <w:bidi w:val="0"/>
        <w:spacing w:before="0" w:after="0"/>
        <w:jc w:val="both"/>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- 12 -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left"/>
              <w:rPr>
                <w:b/>
                <w:color w:val="000000"/>
                <w:sz w:val="20"/>
              </w:rPr>
            </w:pPr>
            <w:r>
              <w:rPr>
                <w:b/>
                <w:color w:val="000000"/>
                <w:sz w:val="20"/>
              </w:rPr>
              <w:t>NOTE 2:-</w:t>
            </w:r>
          </w:p>
        </w:tc>
        <w:tc>
          <w:tcPr>
            <w:tcW w:w="4265" w:type="dxa"/>
            <w:tcBorders/>
            <w:vAlign w:val="center"/>
          </w:tcPr>
          <w:p>
            <w:pPr>
              <w:pStyle w:val="TableContents"/>
              <w:bidi w:val="0"/>
              <w:spacing w:before="0" w:after="0"/>
              <w:jc w:val="both"/>
              <w:rPr>
                <w:b/>
                <w:color w:val="000000"/>
                <w:sz w:val="20"/>
              </w:rPr>
            </w:pPr>
            <w:r>
              <w:rPr>
                <w:b/>
                <w:color w:val="000000"/>
                <w:sz w:val="20"/>
              </w:rPr>
              <w:t>SIGNIFICANT ACCOUNTING POLICIES (Cont.)</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September 30, 2024, the impacts to the Company’s business due to geopolitical developments</w:t>
      </w:r>
      <w:r>
        <w:rPr>
          <w:rFonts w:ascii="Times New Roman" w:hAnsi="Times New Roman"/>
          <w:b w:val="false"/>
          <w:i w:val="false"/>
          <w:caps w:val="false"/>
          <w:smallCaps w:val="false"/>
          <w:color w:val="000000"/>
          <w:spacing w:val="0"/>
          <w:sz w:val="20"/>
          <w:shd w:fill="FFFFFF" w:val="clear"/>
        </w:rPr>
        <w:t>, such as the wars in Israel and Ukraine and other active or possible hostilities,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a</w:t>
      </w:r>
      <w:r>
        <w:rPr>
          <w:rFonts w:ascii="Times New Roman" w:hAnsi="Times New Roman"/>
          <w:caps w:val="false"/>
          <w:smallCaps w:val="false"/>
          <w:color w:val="000000"/>
          <w:sz w:val="20"/>
          <w:shd w:fill="FFFFFF" w:val="clear"/>
        </w:rPr>
        <w:t>nd macroeconomic factors, such as rising interest rates, inflation and changes in foreign currency exchange rates, continue to evolve. As events continue to evolve and additional information becomes available, the Company’s estimates may change materially in future periods.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Concentrations of Credit Risk</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Company’s trade receivables are geographically diversified and derived mainly from sales in the United States, Israel, Germany and United Kingdom. Concentration of credit risk with respect to trade receivables is limited by credit limits, ongoing credit evaluation and account monitoring procedures. The Company performs ongoing credit evaluations of its accounts receivables and establishes an allowance for expected losses as necessary.</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September 30, 2024, the Company had a single customer representing 17.4% of the trade receivables balance. For the three and nine months ended September 30, 2024, the same customer accounted for 10.4% and 12.3% of total revenues, respectively (see Note 12).</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December 31, 2023, no single customer represented 10% or more of trade receivables. No single customer accounted for more than 10% of total revenue for the three and nine months ended September 30, 2023.</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Significant Accounting Policies</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Company’s significant accounting policies are discussed in Note 2, </w:t>
      </w:r>
      <w:r>
        <w:rPr>
          <w:rFonts w:ascii="Times New Roman" w:hAnsi="Times New Roman"/>
          <w:b w:val="false"/>
          <w:i/>
          <w:caps w:val="false"/>
          <w:smallCaps w:val="false"/>
          <w:color w:val="000000"/>
          <w:sz w:val="20"/>
          <w:shd w:fill="FFFFFF" w:val="clear"/>
        </w:rPr>
        <w:t>Summary of Significant Accounting Policies,</w:t>
      </w:r>
      <w:r>
        <w:rPr>
          <w:rFonts w:ascii="Times New Roman" w:hAnsi="Times New Roman"/>
          <w:b w:val="false"/>
          <w:i w:val="false"/>
          <w:caps w:val="false"/>
          <w:smallCaps w:val="false"/>
          <w:color w:val="000000"/>
          <w:sz w:val="20"/>
          <w:shd w:fill="FFFFFF" w:val="clear"/>
        </w:rPr>
        <w:t xml:space="preserve"> in the Company’s Annual Report on Form 10-K as of and for the year ended December 31, 2023, as filed with the SEC on February 28, 2024. There have been no significant changes to these policies during the nine months ended September 30, 2024.</w:t>
      </w:r>
      <w:r>
        <w:rPr>
          <w:rFonts w:ascii="Times New Roman" w:hAnsi="Times New Roman"/>
          <w:color w:val="000000"/>
          <w:sz w:val="20"/>
          <w:shd w:fill="FFFFFF" w:val="clear"/>
        </w:rPr>
        <w:t xml:space="preserve"> </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Reclassification</w:t>
      </w:r>
    </w:p>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Certain amounts in the corresponding prior periods have been reclassified to conform with the current period presentation. Such reclassifications did not affect net loss, changes in the shareholders’ equity or cash flows.</w:t>
      </w:r>
    </w:p>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Recently Issued Accounting Pronouncements</w:t>
      </w:r>
    </w:p>
    <w:p>
      <w:pPr>
        <w:pStyle w:val="TextBody"/>
        <w:bidi w:val="0"/>
        <w:spacing w:before="0" w:after="0"/>
        <w:ind w:left="1170" w:right="0" w:hanging="0"/>
        <w:jc w:val="both"/>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r>
    </w:p>
    <w:p>
      <w:pPr>
        <w:pStyle w:val="TextBody"/>
        <w:bidi w:val="0"/>
        <w:spacing w:before="0" w:after="0"/>
        <w:ind w:left="117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In December 2023, the FASB issued ASU 2023-09, </w:t>
      </w:r>
      <w:r>
        <w:rPr>
          <w:rFonts w:ascii="Times New Roman" w:hAnsi="Times New Roman"/>
          <w:b w:val="false"/>
          <w:i/>
          <w:caps w:val="false"/>
          <w:smallCaps w:val="false"/>
          <w:color w:val="000000"/>
          <w:spacing w:val="0"/>
          <w:sz w:val="20"/>
          <w:shd w:fill="FFFFFF" w:val="clear"/>
        </w:rPr>
        <w:t>Income Taxes (Topics 740): Improvements to Income Tax Disclosures</w:t>
      </w:r>
      <w:r>
        <w:rPr>
          <w:rFonts w:ascii="Times New Roman" w:hAnsi="Times New Roman"/>
          <w:b w:val="false"/>
          <w:i w:val="false"/>
          <w:caps w:val="false"/>
          <w:smallCaps w:val="false"/>
          <w:color w:val="000000"/>
          <w:spacing w:val="0"/>
          <w:sz w:val="20"/>
          <w:shd w:fill="FFFFFF" w:val="clear"/>
        </w:rPr>
        <w:t>, which expands the disclosure requirements for income taxes, primarily related to the rate reconciliation and income taxes paid. This ASU is effective for the fiscal years beginning after December 15, 2024. Early adoption permitted. The Company is currently evaluating the impact of this guidance on its consolidated financial statement and related disclosures and will adopt the guidance effective January 1, 2025.</w:t>
      </w:r>
    </w:p>
    <w:p>
      <w:pPr>
        <w:pStyle w:val="TextBody"/>
        <w:bidi w:val="0"/>
        <w:spacing w:before="0" w:after="0"/>
        <w:ind w:left="1170" w:right="0" w:hanging="0"/>
        <w:jc w:val="both"/>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r>
    </w:p>
    <w:p>
      <w:pPr>
        <w:pStyle w:val="TextBody"/>
        <w:bidi w:val="0"/>
        <w:spacing w:before="200" w:after="200"/>
        <w:ind w:left="0" w:right="0" w:hanging="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- 13 -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left"/>
              <w:rPr>
                <w:b/>
                <w:color w:val="000000"/>
                <w:sz w:val="20"/>
              </w:rPr>
            </w:pPr>
            <w:r>
              <w:rPr>
                <w:b/>
                <w:color w:val="000000"/>
                <w:sz w:val="20"/>
              </w:rPr>
              <w:t>NOTE 2:-</w:t>
            </w:r>
          </w:p>
        </w:tc>
        <w:tc>
          <w:tcPr>
            <w:tcW w:w="4265" w:type="dxa"/>
            <w:tcBorders/>
            <w:vAlign w:val="center"/>
          </w:tcPr>
          <w:p>
            <w:pPr>
              <w:pStyle w:val="TableContents"/>
              <w:bidi w:val="0"/>
              <w:spacing w:before="0" w:after="0"/>
              <w:jc w:val="both"/>
              <w:rPr>
                <w:b/>
                <w:color w:val="000000"/>
                <w:sz w:val="20"/>
              </w:rPr>
            </w:pPr>
            <w:r>
              <w:rPr>
                <w:b/>
                <w:color w:val="000000"/>
                <w:sz w:val="20"/>
              </w:rPr>
              <w:t>SIGNIFICANT ACCOUNTING POLICIES (Cont.)</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In November 2023, the FASB issued ASU 2023-07, </w:t>
      </w:r>
      <w:r>
        <w:rPr>
          <w:rFonts w:ascii="Times New Roman" w:hAnsi="Times New Roman"/>
          <w:b w:val="false"/>
          <w:i/>
          <w:caps w:val="false"/>
          <w:smallCaps w:val="false"/>
          <w:color w:val="000000"/>
          <w:spacing w:val="0"/>
          <w:sz w:val="20"/>
          <w:shd w:fill="FFFFFF" w:val="clear"/>
        </w:rPr>
        <w:t>Segment Reporting (Topic 280): Improvements to Reportable Segment Disclosures</w:t>
      </w:r>
      <w:r>
        <w:rPr>
          <w:rFonts w:ascii="Times New Roman" w:hAnsi="Times New Roman"/>
          <w:b w:val="false"/>
          <w:i w:val="false"/>
          <w:caps w:val="false"/>
          <w:smallCaps w:val="false"/>
          <w:color w:val="000000"/>
          <w:spacing w:val="0"/>
          <w:sz w:val="20"/>
          <w:shd w:fill="FFFFFF" w:val="clear"/>
        </w:rPr>
        <w:t>, which expands the annual and interim disclosure requirements for public company reportable segments, primarily through enhanced information about the significant expenses. This ASU is effective for fiscal years beginning after December 15, 2023, and for interim periods within fiscal years beginning after December 15, 2024. Early adoption permitted. The Company is currently evaluating the impact of this guidance on its consolidated financial statements and related disclosures.</w:t>
      </w:r>
    </w:p>
    <w:p>
      <w:pPr>
        <w:pStyle w:val="TextBody"/>
        <w:bidi w:val="0"/>
        <w:spacing w:before="0" w:after="0"/>
        <w:ind w:left="117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3895" w:type="dxa"/>
        <w:jc w:val="left"/>
        <w:tblInd w:w="0" w:type="dxa"/>
        <w:tblLayout w:type="fixed"/>
        <w:tblCellMar>
          <w:top w:w="0" w:type="dxa"/>
          <w:left w:w="0" w:type="dxa"/>
          <w:bottom w:w="0" w:type="dxa"/>
          <w:right w:w="0" w:type="dxa"/>
        </w:tblCellMar>
      </w:tblPr>
      <w:tblGrid>
        <w:gridCol w:w="860"/>
        <w:gridCol w:w="3035"/>
      </w:tblGrid>
      <w:tr>
        <w:trPr/>
        <w:tc>
          <w:tcPr>
            <w:tcW w:w="860" w:type="dxa"/>
            <w:tcBorders/>
            <w:vAlign w:val="center"/>
          </w:tcPr>
          <w:p>
            <w:pPr>
              <w:pStyle w:val="TableContents"/>
              <w:bidi w:val="0"/>
              <w:spacing w:before="0" w:after="283"/>
              <w:jc w:val="left"/>
              <w:rPr>
                <w:b/>
                <w:sz w:val="20"/>
              </w:rPr>
            </w:pPr>
            <w:r>
              <w:rPr>
                <w:b/>
                <w:sz w:val="20"/>
              </w:rPr>
              <w:t>NOTE 3:-</w:t>
            </w:r>
          </w:p>
        </w:tc>
        <w:tc>
          <w:tcPr>
            <w:tcW w:w="3035" w:type="dxa"/>
            <w:tcBorders/>
            <w:vAlign w:val="center"/>
          </w:tcPr>
          <w:p>
            <w:pPr>
              <w:pStyle w:val="TableContents"/>
              <w:bidi w:val="0"/>
              <w:spacing w:before="0" w:after="0"/>
              <w:jc w:val="both"/>
              <w:rPr>
                <w:b/>
                <w:sz w:val="20"/>
              </w:rPr>
            </w:pPr>
            <w:r>
              <w:rPr>
                <w:b/>
                <w:sz w:val="20"/>
              </w:rPr>
              <w:t>CASH AND CASH EQUIVALENTS</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for each reported period, the breakdown of cash and cash equivalents:</w:t>
      </w:r>
    </w:p>
    <w:p>
      <w:pPr>
        <w:pStyle w:val="TextBody"/>
        <w:bidi w:val="0"/>
        <w:spacing w:before="0" w:after="0"/>
        <w:jc w:val="left"/>
        <w:rPr>
          <w:sz w:val="20"/>
        </w:rPr>
      </w:pPr>
      <w:r>
        <w:rPr>
          <w:sz w:val="20"/>
        </w:rPr>
      </w:r>
    </w:p>
    <w:tbl>
      <w:tblPr>
        <w:tblW w:w="5273" w:type="dxa"/>
        <w:jc w:val="left"/>
        <w:tblInd w:w="1170" w:type="dxa"/>
        <w:tblLayout w:type="fixed"/>
        <w:tblCellMar>
          <w:top w:w="0" w:type="dxa"/>
          <w:left w:w="0" w:type="dxa"/>
          <w:bottom w:w="0" w:type="dxa"/>
          <w:right w:w="0" w:type="dxa"/>
        </w:tblCellMar>
      </w:tblPr>
      <w:tblGrid>
        <w:gridCol w:w="2600"/>
        <w:gridCol w:w="60"/>
        <w:gridCol w:w="185"/>
        <w:gridCol w:w="1034"/>
        <w:gridCol w:w="60"/>
        <w:gridCol w:w="60"/>
        <w:gridCol w:w="184"/>
        <w:gridCol w:w="1030"/>
        <w:gridCol w:w="60"/>
      </w:tblGrid>
      <w:tr>
        <w:trPr/>
        <w:tc>
          <w:tcPr>
            <w:tcW w:w="2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0"/>
              <w:ind w:left="0" w:right="0" w:hanging="0"/>
              <w:jc w:val="center"/>
              <w:rPr>
                <w:b/>
                <w:sz w:val="20"/>
              </w:rPr>
            </w:pPr>
            <w:r>
              <w:rPr>
                <w:b/>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0"/>
              <w:ind w:left="0" w:right="0" w:firstLine="40"/>
              <w:jc w:val="center"/>
              <w:rPr>
                <w:b/>
                <w:sz w:val="20"/>
              </w:rPr>
            </w:pPr>
            <w:r>
              <w:rPr>
                <w:b/>
                <w:sz w:val="20"/>
              </w:rPr>
              <w:t>December 31,</w:t>
            </w:r>
          </w:p>
        </w:tc>
        <w:tc>
          <w:tcPr>
            <w:tcW w:w="60"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2023</w:t>
            </w:r>
          </w:p>
        </w:tc>
        <w:tc>
          <w:tcPr>
            <w:tcW w:w="60"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jc w:val="both"/>
              <w:rPr>
                <w:sz w:val="20"/>
              </w:rPr>
            </w:pPr>
            <w:r>
              <w:rPr>
                <w:sz w:val="20"/>
              </w:rPr>
              <w:t>Cash</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sz w:val="20"/>
              </w:rPr>
            </w:pPr>
            <w:r>
              <w:rPr>
                <w:sz w:val="20"/>
              </w:rPr>
              <w:t>$</w:t>
            </w:r>
          </w:p>
        </w:tc>
        <w:tc>
          <w:tcPr>
            <w:tcW w:w="1034" w:type="dxa"/>
            <w:tcBorders/>
            <w:shd w:fill="CCEEFF" w:val="clear"/>
            <w:vAlign w:val="bottom"/>
          </w:tcPr>
          <w:p>
            <w:pPr>
              <w:pStyle w:val="TableContents"/>
              <w:bidi w:val="0"/>
              <w:spacing w:before="0" w:after="0"/>
              <w:jc w:val="right"/>
              <w:rPr>
                <w:sz w:val="20"/>
              </w:rPr>
            </w:pPr>
            <w:r>
              <w:rPr>
                <w:sz w:val="20"/>
              </w:rPr>
              <w:t>146,761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sz w:val="20"/>
              </w:rPr>
            </w:pPr>
            <w:r>
              <w:rPr>
                <w:sz w:val="20"/>
              </w:rPr>
              <w:t>$</w:t>
            </w:r>
          </w:p>
        </w:tc>
        <w:tc>
          <w:tcPr>
            <w:tcW w:w="1030" w:type="dxa"/>
            <w:tcBorders/>
            <w:shd w:fill="CCEEFF" w:val="clear"/>
            <w:vAlign w:val="bottom"/>
          </w:tcPr>
          <w:p>
            <w:pPr>
              <w:pStyle w:val="TableContents"/>
              <w:bidi w:val="0"/>
              <w:spacing w:before="0" w:after="0"/>
              <w:jc w:val="right"/>
              <w:rPr>
                <w:sz w:val="20"/>
              </w:rPr>
            </w:pPr>
            <w:r>
              <w:rPr>
                <w:sz w:val="20"/>
              </w:rPr>
              <w:t>99,811</w:t>
            </w:r>
          </w:p>
        </w:tc>
        <w:tc>
          <w:tcPr>
            <w:tcW w:w="60"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jc w:val="both"/>
              <w:rPr>
                <w:sz w:val="20"/>
              </w:rPr>
            </w:pPr>
            <w:r>
              <w:rPr>
                <w:sz w:val="20"/>
              </w:rPr>
              <w:t>Money market funds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sz w:val="20"/>
              </w:rPr>
            </w:pPr>
            <w:r>
              <w:rPr>
                <w:sz w:val="20"/>
              </w:rPr>
              <w:t>70,078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sz w:val="20"/>
              </w:rPr>
            </w:pPr>
            <w:r>
              <w:rPr>
                <w:sz w:val="20"/>
              </w:rPr>
              <w:t>72,510</w:t>
            </w:r>
          </w:p>
        </w:tc>
        <w:tc>
          <w:tcPr>
            <w:tcW w:w="60"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jc w:val="both"/>
              <w:rPr>
                <w:sz w:val="20"/>
              </w:rPr>
            </w:pPr>
            <w:r>
              <w:rPr>
                <w:sz w:val="20"/>
              </w:rPr>
              <w:t>Time deposits</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3,787</w:t>
            </w:r>
          </w:p>
        </w:tc>
        <w:tc>
          <w:tcPr>
            <w:tcW w:w="60"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jc w:val="both"/>
              <w:rPr>
                <w:sz w:val="20"/>
              </w:rPr>
            </w:pPr>
            <w:r>
              <w:rPr>
                <w:sz w:val="20"/>
              </w:rPr>
              <w:t>Total cash and cash equivalents</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1034" w:type="dxa"/>
            <w:tcBorders>
              <w:bottom w:val="single" w:sz="12" w:space="0" w:color="000000"/>
            </w:tcBorders>
            <w:tcMar>
              <w:bottom w:w="28" w:type="dxa"/>
            </w:tcMar>
            <w:vAlign w:val="bottom"/>
          </w:tcPr>
          <w:p>
            <w:pPr>
              <w:pStyle w:val="TableContents"/>
              <w:bidi w:val="0"/>
              <w:spacing w:before="0" w:after="0"/>
              <w:jc w:val="right"/>
              <w:rPr>
                <w:sz w:val="20"/>
              </w:rPr>
            </w:pPr>
            <w:r>
              <w:rPr>
                <w:sz w:val="20"/>
              </w:rPr>
              <w:t>217,230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1030" w:type="dxa"/>
            <w:tcBorders>
              <w:bottom w:val="single" w:sz="12" w:space="0" w:color="000000"/>
            </w:tcBorders>
            <w:tcMar>
              <w:bottom w:w="28" w:type="dxa"/>
            </w:tcMar>
            <w:vAlign w:val="bottom"/>
          </w:tcPr>
          <w:p>
            <w:pPr>
              <w:pStyle w:val="TableContents"/>
              <w:bidi w:val="0"/>
              <w:spacing w:before="0" w:after="0"/>
              <w:jc w:val="right"/>
              <w:rPr>
                <w:sz w:val="20"/>
              </w:rPr>
            </w:pPr>
            <w:r>
              <w:rPr>
                <w:sz w:val="20"/>
              </w:rPr>
              <w:t>176,108</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20"/>
        </w:rPr>
      </w:pPr>
      <w:r>
        <w:rPr>
          <w:sz w:val="20"/>
        </w:rPr>
      </w:r>
    </w:p>
    <w:tbl>
      <w:tblPr>
        <w:tblW w:w="4585" w:type="dxa"/>
        <w:jc w:val="left"/>
        <w:tblInd w:w="0" w:type="dxa"/>
        <w:tblLayout w:type="fixed"/>
        <w:tblCellMar>
          <w:top w:w="0" w:type="dxa"/>
          <w:left w:w="0" w:type="dxa"/>
          <w:bottom w:w="0" w:type="dxa"/>
          <w:right w:w="0" w:type="dxa"/>
        </w:tblCellMar>
      </w:tblPr>
      <w:tblGrid>
        <w:gridCol w:w="860"/>
        <w:gridCol w:w="3725"/>
      </w:tblGrid>
      <w:tr>
        <w:trPr/>
        <w:tc>
          <w:tcPr>
            <w:tcW w:w="860" w:type="dxa"/>
            <w:tcBorders/>
            <w:vAlign w:val="center"/>
          </w:tcPr>
          <w:p>
            <w:pPr>
              <w:pStyle w:val="TableContents"/>
              <w:bidi w:val="0"/>
              <w:spacing w:before="0" w:after="0"/>
              <w:jc w:val="left"/>
              <w:rPr>
                <w:b/>
                <w:color w:val="000000"/>
                <w:sz w:val="20"/>
              </w:rPr>
            </w:pPr>
            <w:r>
              <w:rPr>
                <w:b/>
                <w:color w:val="000000"/>
                <w:sz w:val="20"/>
              </w:rPr>
              <w:t>NOTE 4:-</w:t>
            </w:r>
          </w:p>
        </w:tc>
        <w:tc>
          <w:tcPr>
            <w:tcW w:w="3725" w:type="dxa"/>
            <w:tcBorders/>
            <w:vAlign w:val="center"/>
          </w:tcPr>
          <w:p>
            <w:pPr>
              <w:pStyle w:val="TableContents"/>
              <w:bidi w:val="0"/>
              <w:spacing w:before="0" w:after="0"/>
              <w:jc w:val="left"/>
              <w:rPr>
                <w:b/>
                <w:color w:val="000000"/>
              </w:rPr>
            </w:pPr>
            <w:r>
              <w:rPr>
                <w:b/>
                <w:color w:val="000000"/>
              </w:rPr>
              <w:t>FAIR VALUE MEASUREMENTS</w:t>
            </w:r>
          </w:p>
        </w:tc>
      </w:tr>
    </w:tbl>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evaluates assets and liabilities subject to fair value measurements on a recurring basis to determine the appropriate level to classify them for each reporting period. The Company did not have any transfers between fair value measurements levels during the nine months ended September 30, 2024.</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sets forth the Company’s assets and liabilities that were measured at fair value as of September 30, 2024 and December 31, 2023, by level within the fair value hierarchy:</w:t>
      </w:r>
    </w:p>
    <w:p>
      <w:pPr>
        <w:pStyle w:val="TextBody"/>
        <w:bidi w:val="0"/>
        <w:spacing w:before="0" w:after="0"/>
        <w:jc w:val="left"/>
        <w:rPr>
          <w:sz w:val="20"/>
        </w:rPr>
      </w:pPr>
      <w:r>
        <w:rPr>
          <w:sz w:val="20"/>
        </w:rPr>
      </w:r>
    </w:p>
    <w:tbl>
      <w:tblPr>
        <w:tblW w:w="9035" w:type="dxa"/>
        <w:jc w:val="left"/>
        <w:tblInd w:w="1170" w:type="dxa"/>
        <w:tblLayout w:type="fixed"/>
        <w:tblCellMar>
          <w:top w:w="0" w:type="dxa"/>
          <w:left w:w="0" w:type="dxa"/>
          <w:bottom w:w="0" w:type="dxa"/>
          <w:right w:w="0" w:type="dxa"/>
        </w:tblCellMar>
      </w:tblPr>
      <w:tblGrid>
        <w:gridCol w:w="5266"/>
        <w:gridCol w:w="60"/>
        <w:gridCol w:w="975"/>
        <w:gridCol w:w="60"/>
        <w:gridCol w:w="210"/>
        <w:gridCol w:w="992"/>
        <w:gridCol w:w="110"/>
        <w:gridCol w:w="82"/>
        <w:gridCol w:w="208"/>
        <w:gridCol w:w="988"/>
        <w:gridCol w:w="84"/>
      </w:tblGrid>
      <w:tr>
        <w:trPr/>
        <w:tc>
          <w:tcPr>
            <w:tcW w:w="5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Fair value measurements</w:t>
            </w:r>
          </w:p>
          <w:p>
            <w:pPr>
              <w:pStyle w:val="TableContents"/>
              <w:bidi w:val="0"/>
              <w:spacing w:before="0" w:after="0"/>
              <w:ind w:left="0" w:right="0" w:firstLine="40"/>
              <w:jc w:val="center"/>
              <w:rPr>
                <w:b/>
                <w:sz w:val="20"/>
              </w:rPr>
            </w:pPr>
            <w:r>
              <w:rPr>
                <w:b/>
                <w:sz w:val="20"/>
              </w:rPr>
              <w:t>as of</w:t>
            </w:r>
          </w:p>
        </w:tc>
        <w:tc>
          <w:tcPr>
            <w:tcW w:w="84" w:type="dxa"/>
            <w:tcBorders/>
            <w:vAlign w:val="bottom"/>
          </w:tcPr>
          <w:p>
            <w:pPr>
              <w:pStyle w:val="TableContents"/>
              <w:bidi w:val="0"/>
              <w:spacing w:before="0" w:after="283"/>
              <w:jc w:val="left"/>
              <w:rPr/>
            </w:pPr>
            <w:r>
              <w:rPr/>
              <w:t> </w:t>
            </w:r>
          </w:p>
        </w:tc>
      </w:tr>
      <w:tr>
        <w:trPr/>
        <w:tc>
          <w:tcPr>
            <w:tcW w:w="5266" w:type="dxa"/>
            <w:tcBorders>
              <w:bottom w:val="single" w:sz="12" w:space="0" w:color="000000"/>
            </w:tcBorders>
            <w:tcMar>
              <w:bottom w:w="28" w:type="dxa"/>
            </w:tcMar>
            <w:vAlign w:val="bottom"/>
          </w:tcPr>
          <w:p>
            <w:pPr>
              <w:pStyle w:val="TableContents"/>
              <w:bidi w:val="0"/>
              <w:spacing w:before="0" w:after="0"/>
              <w:ind w:left="90" w:right="0" w:hanging="0"/>
              <w:jc w:val="center"/>
              <w:rPr>
                <w:b/>
                <w:sz w:val="20"/>
              </w:rPr>
            </w:pPr>
            <w:r>
              <w:rPr>
                <w:b/>
                <w:sz w:val="20"/>
              </w:rPr>
              <w:t>Description</w:t>
            </w:r>
          </w:p>
        </w:tc>
        <w:tc>
          <w:tcPr>
            <w:tcW w:w="60" w:type="dxa"/>
            <w:tcBorders/>
            <w:vAlign w:val="bottom"/>
          </w:tcPr>
          <w:p>
            <w:pPr>
              <w:pStyle w:val="TableContents"/>
              <w:bidi w:val="0"/>
              <w:spacing w:before="0" w:after="283"/>
              <w:jc w:val="left"/>
              <w:rPr/>
            </w:pPr>
            <w:r>
              <w:rPr/>
              <w:t> </w:t>
            </w:r>
          </w:p>
        </w:tc>
        <w:tc>
          <w:tcPr>
            <w:tcW w:w="975" w:type="dxa"/>
            <w:tcBorders>
              <w:bottom w:val="single" w:sz="12" w:space="0" w:color="000000"/>
            </w:tcBorders>
            <w:tcMar>
              <w:bottom w:w="28" w:type="dxa"/>
            </w:tcMar>
            <w:vAlign w:val="bottom"/>
          </w:tcPr>
          <w:p>
            <w:pPr>
              <w:pStyle w:val="TableContents"/>
              <w:bidi w:val="0"/>
              <w:spacing w:before="0" w:after="0"/>
              <w:jc w:val="center"/>
              <w:rPr>
                <w:b/>
                <w:sz w:val="20"/>
              </w:rPr>
            </w:pPr>
            <w:r>
              <w:rPr>
                <w:b/>
                <w:sz w:val="20"/>
              </w:rPr>
              <w:t xml:space="preserve">Fair Value </w:t>
            </w:r>
          </w:p>
          <w:p>
            <w:pPr>
              <w:pStyle w:val="TableContents"/>
              <w:bidi w:val="0"/>
              <w:spacing w:before="0" w:after="0"/>
              <w:jc w:val="center"/>
              <w:rPr>
                <w:b/>
                <w:sz w:val="20"/>
              </w:rPr>
            </w:pPr>
            <w:r>
              <w:rPr>
                <w:b/>
                <w:sz w:val="20"/>
              </w:rPr>
              <w:t>Hierarchy</w:t>
            </w:r>
          </w:p>
        </w:tc>
        <w:tc>
          <w:tcPr>
            <w:tcW w:w="60" w:type="dxa"/>
            <w:tcBorders/>
            <w:vAlign w:val="bottom"/>
          </w:tcPr>
          <w:p>
            <w:pPr>
              <w:pStyle w:val="TableContents"/>
              <w:bidi w:val="0"/>
              <w:spacing w:before="0" w:after="283"/>
              <w:jc w:val="left"/>
              <w:rPr/>
            </w:pPr>
            <w:r>
              <w:rPr/>
              <w:t> </w:t>
            </w:r>
          </w:p>
        </w:tc>
        <w:tc>
          <w:tcPr>
            <w:tcW w:w="1202"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September 30,</w:t>
            </w:r>
          </w:p>
          <w:p>
            <w:pPr>
              <w:pStyle w:val="TableContents"/>
              <w:bidi w:val="0"/>
              <w:spacing w:before="0" w:after="0"/>
              <w:ind w:left="0" w:right="0" w:hanging="0"/>
              <w:jc w:val="center"/>
              <w:rPr>
                <w:b/>
                <w:sz w:val="20"/>
              </w:rPr>
            </w:pPr>
            <w:r>
              <w:rPr>
                <w:b/>
                <w:sz w:val="20"/>
              </w:rPr>
              <w:t>2024</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December 31,</w:t>
            </w:r>
          </w:p>
          <w:p>
            <w:pPr>
              <w:pStyle w:val="TableContents"/>
              <w:bidi w:val="0"/>
              <w:spacing w:before="0" w:after="0"/>
              <w:ind w:left="0" w:right="0" w:hanging="0"/>
              <w:jc w:val="center"/>
              <w:rPr>
                <w:b/>
                <w:sz w:val="20"/>
              </w:rPr>
            </w:pPr>
            <w:r>
              <w:rPr>
                <w:b/>
                <w:sz w:val="20"/>
              </w:rPr>
              <w:t>2023</w:t>
            </w:r>
          </w:p>
        </w:tc>
        <w:tc>
          <w:tcPr>
            <w:tcW w:w="84" w:type="dxa"/>
            <w:tcBorders/>
            <w:vAlign w:val="bottom"/>
          </w:tcPr>
          <w:p>
            <w:pPr>
              <w:pStyle w:val="TableContents"/>
              <w:bidi w:val="0"/>
              <w:spacing w:before="0" w:after="283"/>
              <w:jc w:val="left"/>
              <w:rPr/>
            </w:pPr>
            <w:r>
              <w:rPr/>
              <w:t> </w:t>
            </w:r>
          </w:p>
        </w:tc>
      </w:tr>
      <w:tr>
        <w:trPr/>
        <w:tc>
          <w:tcPr>
            <w:tcW w:w="5266"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2"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Unaudited</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266" w:type="dxa"/>
            <w:tcBorders/>
            <w:vAlign w:val="bottom"/>
          </w:tcPr>
          <w:p>
            <w:pPr>
              <w:pStyle w:val="TableContents"/>
              <w:bidi w:val="0"/>
              <w:spacing w:before="0" w:after="0"/>
              <w:ind w:left="180" w:right="0" w:hanging="180"/>
              <w:jc w:val="both"/>
              <w:rPr>
                <w:b/>
                <w:sz w:val="20"/>
              </w:rPr>
            </w:pPr>
            <w:r>
              <w:rPr>
                <w:b/>
                <w:sz w:val="20"/>
              </w:rPr>
              <w:t>Assets:</w:t>
            </w:r>
          </w:p>
        </w:tc>
        <w:tc>
          <w:tcPr>
            <w:tcW w:w="6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266" w:type="dxa"/>
            <w:tcBorders/>
            <w:vAlign w:val="bottom"/>
          </w:tcPr>
          <w:p>
            <w:pPr>
              <w:pStyle w:val="TableContents"/>
              <w:bidi w:val="0"/>
              <w:spacing w:before="0" w:after="0"/>
              <w:ind w:left="180" w:right="0" w:hanging="180"/>
              <w:jc w:val="both"/>
              <w:rPr>
                <w:sz w:val="20"/>
                <w:u w:val="single"/>
              </w:rPr>
            </w:pPr>
            <w:r>
              <w:rPr>
                <w:sz w:val="20"/>
                <w:u w:val="single"/>
              </w:rPr>
              <w:t>Cash equivalents:</w:t>
            </w:r>
          </w:p>
        </w:tc>
        <w:tc>
          <w:tcPr>
            <w:tcW w:w="6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266" w:type="dxa"/>
            <w:tcBorders/>
            <w:shd w:fill="CCEEFF" w:val="clear"/>
            <w:vAlign w:val="bottom"/>
          </w:tcPr>
          <w:p>
            <w:pPr>
              <w:pStyle w:val="TableContents"/>
              <w:bidi w:val="0"/>
              <w:spacing w:before="0" w:after="0"/>
              <w:ind w:left="180" w:right="0" w:hanging="180"/>
              <w:jc w:val="both"/>
              <w:rPr>
                <w:sz w:val="20"/>
              </w:rPr>
            </w:pPr>
            <w:r>
              <w:rPr>
                <w:sz w:val="20"/>
              </w:rPr>
              <w:t>Money market funds</w:t>
            </w:r>
          </w:p>
        </w:tc>
        <w:tc>
          <w:tcPr>
            <w:tcW w:w="6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ind w:left="0" w:right="15" w:hanging="0"/>
              <w:jc w:val="right"/>
              <w:rPr>
                <w:sz w:val="20"/>
              </w:rPr>
            </w:pPr>
            <w:r>
              <w:rPr>
                <w:sz w:val="20"/>
              </w:rPr>
              <w:t>Level 1</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sz w:val="20"/>
              </w:rPr>
            </w:pPr>
            <w:r>
              <w:rPr>
                <w:sz w:val="20"/>
              </w:rPr>
              <w:t>$</w:t>
            </w:r>
          </w:p>
        </w:tc>
        <w:tc>
          <w:tcPr>
            <w:tcW w:w="992" w:type="dxa"/>
            <w:tcBorders/>
            <w:shd w:fill="CCEEFF" w:val="clear"/>
            <w:vAlign w:val="bottom"/>
          </w:tcPr>
          <w:p>
            <w:pPr>
              <w:pStyle w:val="TableContents"/>
              <w:bidi w:val="0"/>
              <w:spacing w:before="0" w:after="0"/>
              <w:jc w:val="right"/>
              <w:rPr>
                <w:sz w:val="20"/>
              </w:rPr>
            </w:pPr>
            <w:r>
              <w:rPr>
                <w:sz w:val="20"/>
              </w:rPr>
              <w:t>70,078</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sz w:val="20"/>
              </w:rPr>
            </w:pPr>
            <w:r>
              <w:rPr>
                <w:sz w:val="20"/>
              </w:rPr>
              <w:t>$</w:t>
            </w:r>
          </w:p>
        </w:tc>
        <w:tc>
          <w:tcPr>
            <w:tcW w:w="988" w:type="dxa"/>
            <w:tcBorders/>
            <w:shd w:fill="CCEEFF" w:val="clear"/>
            <w:vAlign w:val="bottom"/>
          </w:tcPr>
          <w:p>
            <w:pPr>
              <w:pStyle w:val="TableContents"/>
              <w:bidi w:val="0"/>
              <w:spacing w:before="0" w:after="0"/>
              <w:jc w:val="right"/>
              <w:rPr>
                <w:sz w:val="20"/>
              </w:rPr>
            </w:pPr>
            <w:r>
              <w:rPr>
                <w:sz w:val="20"/>
              </w:rPr>
              <w:t>72,510</w:t>
            </w:r>
          </w:p>
        </w:tc>
        <w:tc>
          <w:tcPr>
            <w:tcW w:w="84" w:type="dxa"/>
            <w:tcBorders/>
            <w:shd w:fill="CCEEFF" w:val="clear"/>
            <w:vAlign w:val="bottom"/>
          </w:tcPr>
          <w:p>
            <w:pPr>
              <w:pStyle w:val="TableContents"/>
              <w:bidi w:val="0"/>
              <w:spacing w:before="0" w:after="283"/>
              <w:jc w:val="left"/>
              <w:rPr/>
            </w:pPr>
            <w:r>
              <w:rPr/>
              <w:t> </w:t>
            </w:r>
          </w:p>
        </w:tc>
      </w:tr>
      <w:tr>
        <w:trPr/>
        <w:tc>
          <w:tcPr>
            <w:tcW w:w="5266" w:type="dxa"/>
            <w:tcBorders/>
            <w:vAlign w:val="bottom"/>
          </w:tcPr>
          <w:p>
            <w:pPr>
              <w:pStyle w:val="TableContents"/>
              <w:bidi w:val="0"/>
              <w:spacing w:before="0" w:after="0"/>
              <w:ind w:left="180" w:right="0" w:hanging="180"/>
              <w:jc w:val="both"/>
              <w:rPr>
                <w:sz w:val="20"/>
                <w:u w:val="single"/>
              </w:rPr>
            </w:pPr>
            <w:r>
              <w:rPr>
                <w:sz w:val="20"/>
                <w:u w:val="single"/>
              </w:rPr>
              <w:t>Short-term investments:</w:t>
            </w:r>
          </w:p>
        </w:tc>
        <w:tc>
          <w:tcPr>
            <w:tcW w:w="6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5266" w:type="dxa"/>
            <w:tcBorders/>
            <w:shd w:fill="CCEEFF" w:val="clear"/>
            <w:vAlign w:val="bottom"/>
          </w:tcPr>
          <w:p>
            <w:pPr>
              <w:pStyle w:val="TableContents"/>
              <w:bidi w:val="0"/>
              <w:spacing w:before="0" w:after="0"/>
              <w:ind w:left="180" w:right="0" w:hanging="180"/>
              <w:jc w:val="both"/>
              <w:rPr>
                <w:sz w:val="20"/>
              </w:rPr>
            </w:pPr>
            <w:r>
              <w:rPr>
                <w:sz w:val="20"/>
              </w:rPr>
              <w:t>Corporate debt securities</w:t>
            </w:r>
          </w:p>
        </w:tc>
        <w:tc>
          <w:tcPr>
            <w:tcW w:w="6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ind w:left="0" w:right="15" w:hanging="0"/>
              <w:jc w:val="right"/>
              <w:rPr>
                <w:sz w:val="20"/>
              </w:rPr>
            </w:pPr>
            <w:r>
              <w:rPr>
                <w:sz w:val="20"/>
              </w:rPr>
              <w:t>Level 2</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sz w:val="20"/>
              </w:rPr>
            </w:pPr>
            <w:r>
              <w:rPr>
                <w:sz w:val="20"/>
              </w:rPr>
              <w:t>$</w:t>
            </w:r>
          </w:p>
        </w:tc>
        <w:tc>
          <w:tcPr>
            <w:tcW w:w="992" w:type="dxa"/>
            <w:tcBorders/>
            <w:shd w:fill="CCEEFF" w:val="clear"/>
            <w:vAlign w:val="bottom"/>
          </w:tcPr>
          <w:p>
            <w:pPr>
              <w:pStyle w:val="TableContents"/>
              <w:bidi w:val="0"/>
              <w:spacing w:before="0" w:after="0"/>
              <w:jc w:val="right"/>
              <w:rPr/>
            </w:pPr>
            <w:r>
              <w:rPr/>
              <w:t>—</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sz w:val="20"/>
              </w:rPr>
            </w:pPr>
            <w:r>
              <w:rPr>
                <w:sz w:val="20"/>
              </w:rPr>
              <w:t>$</w:t>
            </w:r>
          </w:p>
        </w:tc>
        <w:tc>
          <w:tcPr>
            <w:tcW w:w="988" w:type="dxa"/>
            <w:tcBorders/>
            <w:shd w:fill="CCEEFF" w:val="clear"/>
            <w:vAlign w:val="bottom"/>
          </w:tcPr>
          <w:p>
            <w:pPr>
              <w:pStyle w:val="TableContents"/>
              <w:bidi w:val="0"/>
              <w:spacing w:before="0" w:after="0"/>
              <w:jc w:val="right"/>
              <w:rPr>
                <w:sz w:val="20"/>
              </w:rPr>
            </w:pPr>
            <w:r>
              <w:rPr>
                <w:sz w:val="20"/>
              </w:rPr>
              <w:t>3,651</w:t>
            </w:r>
          </w:p>
        </w:tc>
        <w:tc>
          <w:tcPr>
            <w:tcW w:w="84" w:type="dxa"/>
            <w:tcBorders/>
            <w:shd w:fill="CCEEFF" w:val="clear"/>
            <w:vAlign w:val="bottom"/>
          </w:tcPr>
          <w:p>
            <w:pPr>
              <w:pStyle w:val="TableContents"/>
              <w:bidi w:val="0"/>
              <w:spacing w:before="0" w:after="283"/>
              <w:jc w:val="left"/>
              <w:rPr/>
            </w:pPr>
            <w:r>
              <w:rPr/>
              <w:t> </w:t>
            </w:r>
          </w:p>
        </w:tc>
      </w:tr>
      <w:tr>
        <w:trPr/>
        <w:tc>
          <w:tcPr>
            <w:tcW w:w="5266" w:type="dxa"/>
            <w:tcBorders/>
            <w:vAlign w:val="bottom"/>
          </w:tcPr>
          <w:p>
            <w:pPr>
              <w:pStyle w:val="TableContents"/>
              <w:bidi w:val="0"/>
              <w:spacing w:before="0" w:after="0"/>
              <w:ind w:left="180" w:right="0" w:hanging="180"/>
              <w:jc w:val="both"/>
              <w:rPr>
                <w:sz w:val="20"/>
              </w:rPr>
            </w:pPr>
            <w:r>
              <w:rPr>
                <w:sz w:val="20"/>
              </w:rPr>
              <w:t>Commercial paper</w:t>
            </w:r>
          </w:p>
        </w:tc>
        <w:tc>
          <w:tcPr>
            <w:tcW w:w="6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0"/>
              <w:ind w:left="0" w:right="15" w:hanging="0"/>
              <w:jc w:val="right"/>
              <w:rPr>
                <w:sz w:val="20"/>
              </w:rPr>
            </w:pPr>
            <w:r>
              <w:rPr>
                <w:sz w:val="20"/>
              </w:rPr>
              <w:t>Level 2</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0"/>
              <w:jc w:val="left"/>
              <w:rPr>
                <w:sz w:val="20"/>
              </w:rPr>
            </w:pPr>
            <w:r>
              <w:rPr>
                <w:sz w:val="20"/>
              </w:rPr>
              <w:t>$</w:t>
            </w:r>
          </w:p>
        </w:tc>
        <w:tc>
          <w:tcPr>
            <w:tcW w:w="992" w:type="dxa"/>
            <w:tcBorders/>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0"/>
              <w:jc w:val="left"/>
              <w:rPr>
                <w:sz w:val="20"/>
              </w:rPr>
            </w:pPr>
            <w:r>
              <w:rPr>
                <w:sz w:val="20"/>
              </w:rPr>
              <w:t>$</w:t>
            </w:r>
          </w:p>
        </w:tc>
        <w:tc>
          <w:tcPr>
            <w:tcW w:w="988" w:type="dxa"/>
            <w:tcBorders/>
            <w:vAlign w:val="bottom"/>
          </w:tcPr>
          <w:p>
            <w:pPr>
              <w:pStyle w:val="TableContents"/>
              <w:bidi w:val="0"/>
              <w:spacing w:before="0" w:after="0"/>
              <w:jc w:val="right"/>
              <w:rPr>
                <w:sz w:val="20"/>
              </w:rPr>
            </w:pPr>
            <w:r>
              <w:rPr>
                <w:sz w:val="20"/>
              </w:rPr>
              <w:t>2,074</w:t>
            </w:r>
          </w:p>
        </w:tc>
        <w:tc>
          <w:tcPr>
            <w:tcW w:w="84" w:type="dxa"/>
            <w:tcBorders/>
            <w:vAlign w:val="bottom"/>
          </w:tcPr>
          <w:p>
            <w:pPr>
              <w:pStyle w:val="TableContents"/>
              <w:bidi w:val="0"/>
              <w:spacing w:before="0" w:after="283"/>
              <w:jc w:val="left"/>
              <w:rPr/>
            </w:pPr>
            <w:r>
              <w:rPr/>
              <w:t> </w:t>
            </w:r>
          </w:p>
        </w:tc>
      </w:tr>
      <w:tr>
        <w:trPr/>
        <w:tc>
          <w:tcPr>
            <w:tcW w:w="5266" w:type="dxa"/>
            <w:tcBorders/>
            <w:shd w:fill="CCEEFF" w:val="clear"/>
            <w:vAlign w:val="bottom"/>
          </w:tcPr>
          <w:p>
            <w:pPr>
              <w:pStyle w:val="TableContents"/>
              <w:bidi w:val="0"/>
              <w:spacing w:before="0" w:after="283"/>
              <w:jc w:val="left"/>
              <w:rPr>
                <w:sz w:val="20"/>
                <w:u w:val="single"/>
              </w:rPr>
            </w:pPr>
            <w:r>
              <w:rPr>
                <w:sz w:val="20"/>
                <w:u w:val="single"/>
              </w:rPr>
              <w:t>Derivative instruments asset:</w:t>
            </w:r>
          </w:p>
        </w:tc>
        <w:tc>
          <w:tcPr>
            <w:tcW w:w="6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5266" w:type="dxa"/>
            <w:tcBorders/>
            <w:vAlign w:val="bottom"/>
          </w:tcPr>
          <w:p>
            <w:pPr>
              <w:pStyle w:val="TableContents"/>
              <w:bidi w:val="0"/>
              <w:spacing w:before="0" w:after="0"/>
              <w:ind w:left="180" w:right="0" w:hanging="180"/>
              <w:jc w:val="left"/>
              <w:rPr>
                <w:sz w:val="20"/>
              </w:rPr>
            </w:pPr>
            <w:r>
              <w:rPr>
                <w:sz w:val="20"/>
              </w:rPr>
              <w:t>Derivative instruments designated as cash flow hedging instruments</w:t>
            </w:r>
          </w:p>
        </w:tc>
        <w:tc>
          <w:tcPr>
            <w:tcW w:w="60"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right"/>
              <w:rPr>
                <w:sz w:val="20"/>
              </w:rPr>
            </w:pPr>
            <w:r>
              <w:rPr>
                <w:sz w:val="20"/>
              </w:rPr>
              <w:t>Level 2</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sz w:val="20"/>
              </w:rPr>
            </w:pPr>
            <w:r>
              <w:rPr>
                <w:sz w:val="20"/>
              </w:rPr>
              <w:t>$</w:t>
            </w:r>
          </w:p>
        </w:tc>
        <w:tc>
          <w:tcPr>
            <w:tcW w:w="992" w:type="dxa"/>
            <w:tcBorders/>
            <w:vAlign w:val="bottom"/>
          </w:tcPr>
          <w:p>
            <w:pPr>
              <w:pStyle w:val="TableContents"/>
              <w:bidi w:val="0"/>
              <w:spacing w:before="0" w:after="283"/>
              <w:jc w:val="right"/>
              <w:rPr>
                <w:sz w:val="20"/>
              </w:rPr>
            </w:pPr>
            <w:r>
              <w:rPr>
                <w:sz w:val="20"/>
              </w:rPr>
              <w:t>165</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sz w:val="20"/>
              </w:rPr>
            </w:pPr>
            <w:r>
              <w:rPr>
                <w:sz w:val="20"/>
              </w:rPr>
              <w:t>$</w:t>
            </w:r>
          </w:p>
        </w:tc>
        <w:tc>
          <w:tcPr>
            <w:tcW w:w="988" w:type="dxa"/>
            <w:tcBorders/>
            <w:vAlign w:val="bottom"/>
          </w:tcPr>
          <w:p>
            <w:pPr>
              <w:pStyle w:val="TableContents"/>
              <w:bidi w:val="0"/>
              <w:spacing w:before="0" w:after="283"/>
              <w:jc w:val="right"/>
              <w:rPr>
                <w:sz w:val="20"/>
              </w:rPr>
            </w:pPr>
            <w:r>
              <w:rPr>
                <w:sz w:val="20"/>
              </w:rPr>
              <w:t>948</w:t>
            </w:r>
          </w:p>
        </w:tc>
        <w:tc>
          <w:tcPr>
            <w:tcW w:w="84" w:type="dxa"/>
            <w:tcBorders/>
            <w:vAlign w:val="bottom"/>
          </w:tcPr>
          <w:p>
            <w:pPr>
              <w:pStyle w:val="TableContents"/>
              <w:bidi w:val="0"/>
              <w:spacing w:before="0" w:after="283"/>
              <w:jc w:val="left"/>
              <w:rPr/>
            </w:pPr>
            <w:r>
              <w:rPr/>
              <w:t> </w:t>
            </w:r>
          </w:p>
        </w:tc>
      </w:tr>
      <w:tr>
        <w:trPr/>
        <w:tc>
          <w:tcPr>
            <w:tcW w:w="5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5266" w:type="dxa"/>
            <w:tcBorders/>
            <w:vAlign w:val="bottom"/>
          </w:tcPr>
          <w:p>
            <w:pPr>
              <w:pStyle w:val="TableContents"/>
              <w:bidi w:val="0"/>
              <w:spacing w:before="0" w:after="0"/>
              <w:ind w:left="180" w:right="0" w:hanging="180"/>
              <w:jc w:val="both"/>
              <w:rPr>
                <w:b/>
                <w:sz w:val="20"/>
              </w:rPr>
            </w:pPr>
            <w:r>
              <w:rPr>
                <w:b/>
                <w:sz w:val="20"/>
              </w:rPr>
              <w:t>Liabilities:</w:t>
            </w:r>
          </w:p>
        </w:tc>
        <w:tc>
          <w:tcPr>
            <w:tcW w:w="6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5266" w:type="dxa"/>
            <w:tcBorders/>
            <w:shd w:fill="CCEEFF" w:val="clear"/>
            <w:vAlign w:val="bottom"/>
          </w:tcPr>
          <w:p>
            <w:pPr>
              <w:pStyle w:val="TableContents"/>
              <w:bidi w:val="0"/>
              <w:spacing w:before="0" w:after="0"/>
              <w:ind w:left="180" w:right="0" w:hanging="180"/>
              <w:jc w:val="both"/>
              <w:rPr>
                <w:sz w:val="20"/>
                <w:u w:val="single"/>
              </w:rPr>
            </w:pPr>
            <w:r>
              <w:rPr>
                <w:sz w:val="20"/>
                <w:u w:val="single"/>
              </w:rPr>
              <w:t>Warrants liability:</w:t>
            </w:r>
          </w:p>
        </w:tc>
        <w:tc>
          <w:tcPr>
            <w:tcW w:w="6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5266" w:type="dxa"/>
            <w:tcBorders/>
            <w:vAlign w:val="bottom"/>
          </w:tcPr>
          <w:p>
            <w:pPr>
              <w:pStyle w:val="TableContents"/>
              <w:bidi w:val="0"/>
              <w:spacing w:before="0" w:after="0"/>
              <w:ind w:left="180" w:right="0" w:hanging="180"/>
              <w:jc w:val="both"/>
              <w:rPr>
                <w:sz w:val="20"/>
              </w:rPr>
            </w:pPr>
            <w:r>
              <w:rPr>
                <w:sz w:val="20"/>
              </w:rPr>
              <w:t>Public Warrants</w:t>
            </w:r>
          </w:p>
        </w:tc>
        <w:tc>
          <w:tcPr>
            <w:tcW w:w="6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0"/>
              <w:ind w:left="0" w:right="15" w:hanging="0"/>
              <w:jc w:val="right"/>
              <w:rPr>
                <w:sz w:val="20"/>
              </w:rPr>
            </w:pPr>
            <w:r>
              <w:rPr>
                <w:sz w:val="20"/>
              </w:rPr>
              <w:t>Level 1</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0"/>
              <w:jc w:val="left"/>
              <w:rPr>
                <w:sz w:val="20"/>
              </w:rPr>
            </w:pPr>
            <w:r>
              <w:rPr>
                <w:sz w:val="20"/>
              </w:rPr>
              <w:t>$</w:t>
            </w:r>
          </w:p>
        </w:tc>
        <w:tc>
          <w:tcPr>
            <w:tcW w:w="992" w:type="dxa"/>
            <w:tcBorders/>
            <w:vAlign w:val="bottom"/>
          </w:tcPr>
          <w:p>
            <w:pPr>
              <w:pStyle w:val="TableContents"/>
              <w:bidi w:val="0"/>
              <w:spacing w:before="0" w:after="0"/>
              <w:jc w:val="right"/>
              <w:rPr>
                <w:sz w:val="20"/>
              </w:rPr>
            </w:pPr>
            <w:r>
              <w:rPr>
                <w:sz w:val="20"/>
              </w:rPr>
              <w:t>(1,269</w:t>
            </w:r>
          </w:p>
        </w:tc>
        <w:tc>
          <w:tcPr>
            <w:tcW w:w="110" w:type="dxa"/>
            <w:tcBorders/>
            <w:vAlign w:val="bottom"/>
          </w:tcPr>
          <w:p>
            <w:pPr>
              <w:pStyle w:val="TableContents"/>
              <w:bidi w:val="0"/>
              <w:spacing w:before="0" w:after="0"/>
              <w:jc w:val="left"/>
              <w:rPr>
                <w:sz w:val="20"/>
              </w:rPr>
            </w:pPr>
            <w:r>
              <w:rPr>
                <w:sz w:val="20"/>
              </w:rPr>
              <w:t>)</w:t>
            </w:r>
          </w:p>
        </w:tc>
        <w:tc>
          <w:tcPr>
            <w:tcW w:w="82"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0"/>
              <w:jc w:val="left"/>
              <w:rPr>
                <w:sz w:val="20"/>
              </w:rPr>
            </w:pPr>
            <w:r>
              <w:rPr>
                <w:sz w:val="20"/>
              </w:rPr>
              <w:t>$</w:t>
            </w:r>
          </w:p>
        </w:tc>
        <w:tc>
          <w:tcPr>
            <w:tcW w:w="988" w:type="dxa"/>
            <w:tcBorders/>
            <w:vAlign w:val="bottom"/>
          </w:tcPr>
          <w:p>
            <w:pPr>
              <w:pStyle w:val="TableContents"/>
              <w:bidi w:val="0"/>
              <w:spacing w:before="0" w:after="0"/>
              <w:jc w:val="right"/>
              <w:rPr>
                <w:sz w:val="20"/>
              </w:rPr>
            </w:pPr>
            <w:r>
              <w:rPr>
                <w:sz w:val="20"/>
              </w:rPr>
              <w:t>(4,253</w:t>
            </w:r>
          </w:p>
        </w:tc>
        <w:tc>
          <w:tcPr>
            <w:tcW w:w="84" w:type="dxa"/>
            <w:tcBorders/>
            <w:vAlign w:val="bottom"/>
          </w:tcPr>
          <w:p>
            <w:pPr>
              <w:pStyle w:val="TableContents"/>
              <w:bidi w:val="0"/>
              <w:spacing w:before="0" w:after="0"/>
              <w:jc w:val="left"/>
              <w:rPr>
                <w:sz w:val="20"/>
              </w:rPr>
            </w:pPr>
            <w:r>
              <w:rPr>
                <w:sz w:val="20"/>
              </w:rPr>
              <w:t>)</w:t>
            </w:r>
          </w:p>
        </w:tc>
      </w:tr>
      <w:tr>
        <w:trPr/>
        <w:tc>
          <w:tcPr>
            <w:tcW w:w="5266" w:type="dxa"/>
            <w:tcBorders/>
            <w:shd w:fill="CCEEFF" w:val="clear"/>
            <w:vAlign w:val="bottom"/>
          </w:tcPr>
          <w:p>
            <w:pPr>
              <w:pStyle w:val="TableContents"/>
              <w:bidi w:val="0"/>
              <w:spacing w:before="0" w:after="0"/>
              <w:ind w:left="180" w:right="0" w:hanging="180"/>
              <w:jc w:val="both"/>
              <w:rPr>
                <w:sz w:val="20"/>
              </w:rPr>
            </w:pPr>
            <w:r>
              <w:rPr>
                <w:sz w:val="20"/>
              </w:rPr>
              <w:t>Private Warrants</w:t>
            </w:r>
          </w:p>
        </w:tc>
        <w:tc>
          <w:tcPr>
            <w:tcW w:w="6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ind w:left="0" w:right="15" w:hanging="0"/>
              <w:jc w:val="right"/>
              <w:rPr>
                <w:sz w:val="20"/>
              </w:rPr>
            </w:pPr>
            <w:r>
              <w:rPr>
                <w:sz w:val="20"/>
              </w:rPr>
              <w:t>Level 3</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sz w:val="20"/>
              </w:rPr>
            </w:pPr>
            <w:r>
              <w:rPr>
                <w:sz w:val="20"/>
              </w:rPr>
              <w:t>$</w:t>
            </w:r>
          </w:p>
        </w:tc>
        <w:tc>
          <w:tcPr>
            <w:tcW w:w="992" w:type="dxa"/>
            <w:tcBorders/>
            <w:shd w:fill="CCEEFF" w:val="clear"/>
            <w:vAlign w:val="bottom"/>
          </w:tcPr>
          <w:p>
            <w:pPr>
              <w:pStyle w:val="TableContents"/>
              <w:bidi w:val="0"/>
              <w:spacing w:before="0" w:after="0"/>
              <w:jc w:val="right"/>
              <w:rPr>
                <w:sz w:val="20"/>
              </w:rPr>
            </w:pPr>
            <w:r>
              <w:rPr>
                <w:sz w:val="20"/>
              </w:rPr>
              <w:t>(235</w:t>
            </w:r>
          </w:p>
        </w:tc>
        <w:tc>
          <w:tcPr>
            <w:tcW w:w="110" w:type="dxa"/>
            <w:tcBorders/>
            <w:shd w:fill="CCEEFF" w:val="clear"/>
            <w:vAlign w:val="bottom"/>
          </w:tcPr>
          <w:p>
            <w:pPr>
              <w:pStyle w:val="TableContents"/>
              <w:bidi w:val="0"/>
              <w:spacing w:before="0" w:after="0"/>
              <w:jc w:val="left"/>
              <w:rPr>
                <w:sz w:val="20"/>
              </w:rPr>
            </w:pPr>
            <w:r>
              <w:rPr>
                <w:sz w:val="20"/>
              </w:rPr>
              <w:t>)</w:t>
            </w:r>
          </w:p>
        </w:tc>
        <w:tc>
          <w:tcPr>
            <w:tcW w:w="8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sz w:val="20"/>
              </w:rPr>
            </w:pPr>
            <w:r>
              <w:rPr>
                <w:sz w:val="20"/>
              </w:rPr>
              <w:t>$</w:t>
            </w:r>
          </w:p>
        </w:tc>
        <w:tc>
          <w:tcPr>
            <w:tcW w:w="988" w:type="dxa"/>
            <w:tcBorders/>
            <w:shd w:fill="CCEEFF" w:val="clear"/>
            <w:vAlign w:val="bottom"/>
          </w:tcPr>
          <w:p>
            <w:pPr>
              <w:pStyle w:val="TableContents"/>
              <w:bidi w:val="0"/>
              <w:spacing w:before="0" w:after="0"/>
              <w:jc w:val="right"/>
              <w:rPr>
                <w:sz w:val="20"/>
              </w:rPr>
            </w:pPr>
            <w:r>
              <w:rPr>
                <w:sz w:val="20"/>
              </w:rPr>
              <w:t>(1,876</w:t>
            </w:r>
          </w:p>
        </w:tc>
        <w:tc>
          <w:tcPr>
            <w:tcW w:w="84" w:type="dxa"/>
            <w:tcBorders/>
            <w:shd w:fill="CCEEFF" w:val="clear"/>
            <w:vAlign w:val="bottom"/>
          </w:tcPr>
          <w:p>
            <w:pPr>
              <w:pStyle w:val="TableContents"/>
              <w:bidi w:val="0"/>
              <w:spacing w:before="0" w:after="0"/>
              <w:jc w:val="left"/>
              <w:rPr>
                <w:sz w:val="20"/>
              </w:rPr>
            </w:pPr>
            <w:r>
              <w:rPr>
                <w:sz w:val="20"/>
              </w:rPr>
              <w:t>)</w:t>
            </w:r>
          </w:p>
        </w:tc>
      </w:tr>
    </w:tbl>
    <w:p>
      <w:pPr>
        <w:pStyle w:val="TextBody"/>
        <w:bidi w:val="0"/>
        <w:spacing w:before="0" w:after="0"/>
        <w:ind w:left="117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- 14 -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4390" w:type="dxa"/>
        <w:jc w:val="left"/>
        <w:tblInd w:w="0" w:type="dxa"/>
        <w:tblLayout w:type="fixed"/>
        <w:tblCellMar>
          <w:top w:w="0" w:type="dxa"/>
          <w:left w:w="0" w:type="dxa"/>
          <w:bottom w:w="0" w:type="dxa"/>
          <w:right w:w="0" w:type="dxa"/>
        </w:tblCellMar>
      </w:tblPr>
      <w:tblGrid>
        <w:gridCol w:w="860"/>
        <w:gridCol w:w="353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4:-</w:t>
            </w:r>
          </w:p>
        </w:tc>
        <w:tc>
          <w:tcPr>
            <w:tcW w:w="3530" w:type="dxa"/>
            <w:tcBorders/>
            <w:vAlign w:val="center"/>
          </w:tcPr>
          <w:p>
            <w:pPr>
              <w:pStyle w:val="TableContents"/>
              <w:bidi w:val="0"/>
              <w:spacing w:before="0" w:after="283"/>
              <w:jc w:val="both"/>
              <w:rPr>
                <w:b/>
                <w:sz w:val="20"/>
              </w:rPr>
            </w:pPr>
            <w:r>
              <w:rPr>
                <w:b/>
                <w:sz w:val="20"/>
              </w:rPr>
              <w:t>FAIR VALUE MEASUREMENTS (Cont.)</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classifies its money market funds as Level 1 based on quoted market prices in active markets.</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classifies its short-term investments and derivative instruments within Level 2 as they are valued using inputs other than quoted prices which are directly or indirectly observable in the market, including readily-available pricing sources for the identical underlying security which may not be actively traded.</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1188" w:right="0" w:hanging="17"/>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key inputs into the Black-Scholes model for the Private Warrants were as follows:</w:t>
      </w:r>
    </w:p>
    <w:p>
      <w:pPr>
        <w:pStyle w:val="TextBody"/>
        <w:bidi w:val="0"/>
        <w:spacing w:before="0" w:after="0"/>
        <w:jc w:val="left"/>
        <w:rPr>
          <w:sz w:val="20"/>
        </w:rPr>
      </w:pPr>
      <w:r>
        <w:rPr>
          <w:sz w:val="20"/>
        </w:rPr>
      </w:r>
    </w:p>
    <w:tbl>
      <w:tblPr>
        <w:tblW w:w="4788" w:type="dxa"/>
        <w:jc w:val="left"/>
        <w:tblInd w:w="1170" w:type="dxa"/>
        <w:tblLayout w:type="fixed"/>
        <w:tblCellMar>
          <w:top w:w="0" w:type="dxa"/>
          <w:left w:w="0" w:type="dxa"/>
          <w:bottom w:w="0" w:type="dxa"/>
          <w:right w:w="0" w:type="dxa"/>
        </w:tblCellMar>
      </w:tblPr>
      <w:tblGrid>
        <w:gridCol w:w="1865"/>
        <w:gridCol w:w="60"/>
        <w:gridCol w:w="129"/>
        <w:gridCol w:w="1090"/>
        <w:gridCol w:w="185"/>
        <w:gridCol w:w="60"/>
        <w:gridCol w:w="128"/>
        <w:gridCol w:w="1086"/>
        <w:gridCol w:w="185"/>
      </w:tblGrid>
      <w:tr>
        <w:trPr/>
        <w:tc>
          <w:tcPr>
            <w:tcW w:w="1865" w:type="dxa"/>
            <w:tcBorders/>
            <w:vAlign w:val="bottom"/>
          </w:tcPr>
          <w:p>
            <w:pPr>
              <w:pStyle w:val="TableContents"/>
              <w:bidi w:val="0"/>
              <w:spacing w:before="0" w:after="0"/>
              <w:jc w:val="both"/>
              <w:rPr>
                <w:b/>
                <w:sz w:val="20"/>
                <w:u w:val="single"/>
              </w:rPr>
            </w:pPr>
            <w:r>
              <w:rPr>
                <w:b/>
                <w:sz w:val="20"/>
                <w:u w:val="single"/>
              </w:rPr>
              <w:t>Input</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September 30,</w:t>
            </w:r>
          </w:p>
          <w:p>
            <w:pPr>
              <w:pStyle w:val="TableContents"/>
              <w:bidi w:val="0"/>
              <w:spacing w:before="0" w:after="0"/>
              <w:ind w:left="0" w:right="0" w:hanging="0"/>
              <w:jc w:val="center"/>
              <w:rPr>
                <w:b/>
                <w:sz w:val="20"/>
              </w:rPr>
            </w:pPr>
            <w:r>
              <w:rPr>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December 31,</w:t>
            </w:r>
          </w:p>
          <w:p>
            <w:pPr>
              <w:pStyle w:val="TableContents"/>
              <w:bidi w:val="0"/>
              <w:spacing w:before="0" w:after="0"/>
              <w:ind w:left="0" w:right="0" w:hanging="0"/>
              <w:jc w:val="center"/>
              <w:rPr>
                <w:b/>
                <w:sz w:val="20"/>
              </w:rPr>
            </w:pPr>
            <w:r>
              <w:rPr>
                <w:b/>
                <w:sz w:val="20"/>
              </w:rPr>
              <w:t>2023</w:t>
            </w:r>
          </w:p>
        </w:tc>
        <w:tc>
          <w:tcPr>
            <w:tcW w:w="185" w:type="dxa"/>
            <w:tcBorders/>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283"/>
              <w:jc w:val="center"/>
              <w:rPr>
                <w:sz w:val="20"/>
              </w:rPr>
            </w:pPr>
            <w:r>
              <w:rPr>
                <w:b/>
                <w:sz w:val="20"/>
              </w:rPr>
              <w:t>Unaudited</w:t>
            </w:r>
            <w:r>
              <w:rPr>
                <w:sz w:val="20"/>
              </w:rPr>
              <w:t xml:space="preserve">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Risk-free interest rate</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sz w:val="20"/>
              </w:rPr>
            </w:pPr>
            <w:r>
              <w:rPr>
                <w:sz w:val="20"/>
              </w:rPr>
              <w:t>3.67% - 3.90</w:t>
            </w:r>
          </w:p>
        </w:tc>
        <w:tc>
          <w:tcPr>
            <w:tcW w:w="185"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sz w:val="20"/>
              </w:rPr>
            </w:pPr>
            <w:r>
              <w:rPr>
                <w:sz w:val="20"/>
              </w:rPr>
              <w:t>4.04% - 4.28</w:t>
            </w:r>
          </w:p>
        </w:tc>
        <w:tc>
          <w:tcPr>
            <w:tcW w:w="185" w:type="dxa"/>
            <w:tcBorders/>
            <w:shd w:fill="CCEEFF" w:val="clear"/>
            <w:vAlign w:val="bottom"/>
          </w:tcPr>
          <w:p>
            <w:pPr>
              <w:pStyle w:val="TableContents"/>
              <w:bidi w:val="0"/>
              <w:spacing w:before="0" w:after="0"/>
              <w:jc w:val="left"/>
              <w:rPr>
                <w:sz w:val="20"/>
              </w:rPr>
            </w:pPr>
            <w:r>
              <w:rPr>
                <w:sz w:val="20"/>
              </w:rPr>
              <w:t>%</w:t>
            </w:r>
          </w:p>
        </w:tc>
      </w:tr>
      <w:tr>
        <w:trPr/>
        <w:tc>
          <w:tcPr>
            <w:tcW w:w="1865" w:type="dxa"/>
            <w:tcBorders/>
            <w:vAlign w:val="bottom"/>
          </w:tcPr>
          <w:p>
            <w:pPr>
              <w:pStyle w:val="TableContents"/>
              <w:bidi w:val="0"/>
              <w:spacing w:before="0" w:after="0"/>
              <w:jc w:val="both"/>
              <w:rPr>
                <w:sz w:val="20"/>
              </w:rPr>
            </w:pPr>
            <w:r>
              <w:rPr>
                <w:sz w:val="20"/>
              </w:rPr>
              <w:t>Expected term (years)</w:t>
            </w:r>
          </w:p>
        </w:tc>
        <w:tc>
          <w:tcPr>
            <w:tcW w:w="60"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sz w:val="20"/>
              </w:rPr>
            </w:pPr>
            <w:r>
              <w:rPr>
                <w:sz w:val="20"/>
              </w:rPr>
              <w:t>1.00 - 1.75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sz w:val="20"/>
              </w:rPr>
            </w:pPr>
            <w:r>
              <w:rPr>
                <w:sz w:val="20"/>
              </w:rPr>
              <w:t>1.75 - 2.50</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Expected volatility</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sz w:val="20"/>
              </w:rPr>
            </w:pPr>
            <w:r>
              <w:rPr>
                <w:sz w:val="20"/>
              </w:rPr>
              <w:t>44.2% - 54.2</w:t>
            </w:r>
          </w:p>
        </w:tc>
        <w:tc>
          <w:tcPr>
            <w:tcW w:w="185"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sz w:val="20"/>
              </w:rPr>
            </w:pPr>
            <w:r>
              <w:rPr>
                <w:sz w:val="20"/>
              </w:rPr>
              <w:t>61.1% - 63.9</w:t>
            </w:r>
          </w:p>
        </w:tc>
        <w:tc>
          <w:tcPr>
            <w:tcW w:w="185" w:type="dxa"/>
            <w:tcBorders/>
            <w:shd w:fill="CCEEFF" w:val="clear"/>
            <w:vAlign w:val="bottom"/>
          </w:tcPr>
          <w:p>
            <w:pPr>
              <w:pStyle w:val="TableContents"/>
              <w:bidi w:val="0"/>
              <w:spacing w:before="0" w:after="0"/>
              <w:jc w:val="left"/>
              <w:rPr>
                <w:sz w:val="20"/>
              </w:rPr>
            </w:pPr>
            <w:r>
              <w:rPr>
                <w:sz w:val="20"/>
              </w:rPr>
              <w:t>%</w:t>
            </w:r>
          </w:p>
        </w:tc>
      </w:tr>
      <w:tr>
        <w:trPr/>
        <w:tc>
          <w:tcPr>
            <w:tcW w:w="1865" w:type="dxa"/>
            <w:tcBorders/>
            <w:vAlign w:val="bottom"/>
          </w:tcPr>
          <w:p>
            <w:pPr>
              <w:pStyle w:val="TableContents"/>
              <w:bidi w:val="0"/>
              <w:spacing w:before="0" w:after="0"/>
              <w:jc w:val="both"/>
              <w:rPr>
                <w:sz w:val="20"/>
              </w:rPr>
            </w:pPr>
            <w:r>
              <w:rPr>
                <w:sz w:val="20"/>
              </w:rPr>
              <w:t>Exercise price</w:t>
            </w:r>
          </w:p>
        </w:tc>
        <w:tc>
          <w:tcPr>
            <w:tcW w:w="60"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0"/>
              <w:jc w:val="left"/>
              <w:rPr>
                <w:sz w:val="20"/>
              </w:rPr>
            </w:pPr>
            <w:r>
              <w:rPr>
                <w:sz w:val="20"/>
              </w:rPr>
              <w:t>$</w:t>
            </w:r>
          </w:p>
        </w:tc>
        <w:tc>
          <w:tcPr>
            <w:tcW w:w="1090" w:type="dxa"/>
            <w:tcBorders/>
            <w:vAlign w:val="bottom"/>
          </w:tcPr>
          <w:p>
            <w:pPr>
              <w:pStyle w:val="TableContents"/>
              <w:bidi w:val="0"/>
              <w:spacing w:before="0" w:after="0"/>
              <w:jc w:val="right"/>
              <w:rPr>
                <w:sz w:val="20"/>
              </w:rPr>
            </w:pPr>
            <w:r>
              <w:rPr>
                <w:sz w:val="20"/>
              </w:rPr>
              <w:t>11.50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sz w:val="20"/>
              </w:rPr>
            </w:pPr>
            <w:r>
              <w:rPr>
                <w:sz w:val="20"/>
              </w:rPr>
              <w:t>$</w:t>
            </w:r>
          </w:p>
        </w:tc>
        <w:tc>
          <w:tcPr>
            <w:tcW w:w="1086" w:type="dxa"/>
            <w:tcBorders/>
            <w:vAlign w:val="bottom"/>
          </w:tcPr>
          <w:p>
            <w:pPr>
              <w:pStyle w:val="TableContents"/>
              <w:bidi w:val="0"/>
              <w:spacing w:before="0" w:after="0"/>
              <w:jc w:val="right"/>
              <w:rPr>
                <w:sz w:val="20"/>
              </w:rPr>
            </w:pPr>
            <w:r>
              <w:rPr>
                <w:sz w:val="20"/>
              </w:rPr>
              <w:t>11.50</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Underlying share price</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1090" w:type="dxa"/>
            <w:tcBorders/>
            <w:shd w:fill="CCEEFF" w:val="clear"/>
            <w:vAlign w:val="bottom"/>
          </w:tcPr>
          <w:p>
            <w:pPr>
              <w:pStyle w:val="TableContents"/>
              <w:bidi w:val="0"/>
              <w:spacing w:before="0" w:after="0"/>
              <w:jc w:val="right"/>
              <w:rPr>
                <w:sz w:val="20"/>
              </w:rPr>
            </w:pPr>
            <w:r>
              <w:rPr>
                <w:sz w:val="20"/>
              </w:rPr>
              <w:t>3.36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sz w:val="20"/>
              </w:rPr>
            </w:pPr>
            <w:r>
              <w:rPr>
                <w:sz w:val="20"/>
              </w:rPr>
              <w:t>$</w:t>
            </w:r>
          </w:p>
        </w:tc>
        <w:tc>
          <w:tcPr>
            <w:tcW w:w="1086" w:type="dxa"/>
            <w:tcBorders/>
            <w:shd w:fill="CCEEFF" w:val="clear"/>
            <w:vAlign w:val="bottom"/>
          </w:tcPr>
          <w:p>
            <w:pPr>
              <w:pStyle w:val="TableContents"/>
              <w:bidi w:val="0"/>
              <w:spacing w:before="0" w:after="0"/>
              <w:jc w:val="right"/>
              <w:rPr>
                <w:sz w:val="20"/>
              </w:rPr>
            </w:pPr>
            <w:r>
              <w:rPr>
                <w:sz w:val="20"/>
              </w:rPr>
              <w:t>4.33</w:t>
            </w:r>
          </w:p>
        </w:tc>
        <w:tc>
          <w:tcPr>
            <w:tcW w:w="18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18"/>
        </w:rPr>
      </w:pPr>
      <w:r>
        <w:rPr>
          <w:sz w:val="18"/>
        </w:rPr>
      </w:r>
    </w:p>
    <w:p>
      <w:pPr>
        <w:pStyle w:val="TextBody"/>
        <w:bidi w:val="0"/>
        <w:spacing w:before="0" w:after="24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use of a Black-Scholes model required the use of subjective assumptions: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risk-free interest rate assumption was interpolated based on constant maturity U.S. Treasury rates over a term commensurate with the expected term of the Private Warrants.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expected term was based on the maturity of the Private Warrants of five years following June 29, 2021, the Business Combination date, and for certain Private Warrants the maturity was determined to be five years from the date of the October 1, 2020, ION initial public offering effective 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expected volatility is based on the Company’s share price volatility. For periods prior January 1, 2024, the expected share volatility assumption was based on the implied volatility from a set of comparable publicly-traded companies as determined based on size and proximity, as the Company did not have sufficient trading history</w:t>
            </w:r>
          </w:p>
        </w:tc>
      </w:tr>
    </w:tbl>
    <w:p>
      <w:pPr>
        <w:pStyle w:val="TextBody"/>
        <w:bidi w:val="0"/>
        <w:spacing w:before="0" w:after="0"/>
        <w:jc w:val="left"/>
        <w:rPr>
          <w:sz w:val="20"/>
        </w:rPr>
      </w:pPr>
      <w:r>
        <w:rPr>
          <w:sz w:val="20"/>
        </w:rPr>
      </w:r>
    </w:p>
    <w:p>
      <w:pPr>
        <w:pStyle w:val="TextBody"/>
        <w:bidi w:val="0"/>
        <w:spacing w:before="0" w:after="0"/>
        <w:ind w:left="117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the changes in the fair value of Warrants liability:</w:t>
      </w:r>
    </w:p>
    <w:p>
      <w:pPr>
        <w:pStyle w:val="TextBody"/>
        <w:bidi w:val="0"/>
        <w:spacing w:before="0" w:after="0"/>
        <w:jc w:val="left"/>
        <w:rPr>
          <w:sz w:val="20"/>
        </w:rPr>
      </w:pPr>
      <w:r>
        <w:rPr>
          <w:sz w:val="20"/>
        </w:rPr>
      </w:r>
    </w:p>
    <w:tbl>
      <w:tblPr>
        <w:tblW w:w="6980" w:type="dxa"/>
        <w:jc w:val="left"/>
        <w:tblInd w:w="1170" w:type="dxa"/>
        <w:tblLayout w:type="fixed"/>
        <w:tblCellMar>
          <w:top w:w="0" w:type="dxa"/>
          <w:left w:w="0" w:type="dxa"/>
          <w:bottom w:w="0" w:type="dxa"/>
          <w:right w:w="0" w:type="dxa"/>
        </w:tblCellMar>
      </w:tblPr>
      <w:tblGrid>
        <w:gridCol w:w="3905"/>
        <w:gridCol w:w="60"/>
        <w:gridCol w:w="164"/>
        <w:gridCol w:w="721"/>
        <w:gridCol w:w="80"/>
        <w:gridCol w:w="60"/>
        <w:gridCol w:w="165"/>
        <w:gridCol w:w="720"/>
        <w:gridCol w:w="80"/>
        <w:gridCol w:w="60"/>
        <w:gridCol w:w="165"/>
        <w:gridCol w:w="720"/>
        <w:gridCol w:w="80"/>
      </w:tblGrid>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Private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Public</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Total</w:t>
            </w:r>
          </w:p>
        </w:tc>
        <w:tc>
          <w:tcPr>
            <w:tcW w:w="80"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both"/>
              <w:rPr>
                <w:b/>
                <w:sz w:val="20"/>
                <w:u w:val="single"/>
              </w:rPr>
            </w:pPr>
            <w:r>
              <w:rPr>
                <w:b/>
                <w:sz w:val="20"/>
                <w:u w:val="single"/>
              </w:rPr>
              <w:t>Input</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8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0"/>
              <w:jc w:val="both"/>
              <w:rPr>
                <w:sz w:val="20"/>
              </w:rPr>
            </w:pPr>
            <w:r>
              <w:rPr>
                <w:sz w:val="20"/>
              </w:rPr>
              <w:t>Fair value as of December 31, 2023</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sz w:val="20"/>
              </w:rPr>
            </w:pPr>
            <w:r>
              <w:rPr>
                <w:sz w:val="20"/>
              </w:rPr>
              <w:t>$</w:t>
            </w:r>
          </w:p>
        </w:tc>
        <w:tc>
          <w:tcPr>
            <w:tcW w:w="721" w:type="dxa"/>
            <w:tcBorders/>
            <w:shd w:fill="CCEEFF" w:val="clear"/>
            <w:vAlign w:val="bottom"/>
          </w:tcPr>
          <w:p>
            <w:pPr>
              <w:pStyle w:val="TableContents"/>
              <w:bidi w:val="0"/>
              <w:spacing w:before="0" w:after="0"/>
              <w:jc w:val="right"/>
              <w:rPr>
                <w:sz w:val="20"/>
              </w:rPr>
            </w:pPr>
            <w:r>
              <w:rPr>
                <w:sz w:val="20"/>
              </w:rPr>
              <w:t>1,876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sz w:val="20"/>
              </w:rPr>
            </w:pPr>
            <w:r>
              <w:rPr>
                <w:sz w:val="20"/>
              </w:rPr>
              <w:t>$</w:t>
            </w:r>
          </w:p>
        </w:tc>
        <w:tc>
          <w:tcPr>
            <w:tcW w:w="720" w:type="dxa"/>
            <w:tcBorders/>
            <w:shd w:fill="CCEEFF" w:val="clear"/>
            <w:vAlign w:val="bottom"/>
          </w:tcPr>
          <w:p>
            <w:pPr>
              <w:pStyle w:val="TableContents"/>
              <w:bidi w:val="0"/>
              <w:spacing w:before="0" w:after="0"/>
              <w:jc w:val="right"/>
              <w:rPr>
                <w:sz w:val="20"/>
              </w:rPr>
            </w:pPr>
            <w:r>
              <w:rPr>
                <w:sz w:val="20"/>
              </w:rPr>
              <w:t>4,253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sz w:val="20"/>
              </w:rPr>
            </w:pPr>
            <w:r>
              <w:rPr>
                <w:sz w:val="20"/>
              </w:rPr>
              <w:t>$</w:t>
            </w:r>
          </w:p>
        </w:tc>
        <w:tc>
          <w:tcPr>
            <w:tcW w:w="720" w:type="dxa"/>
            <w:tcBorders/>
            <w:shd w:fill="CCEEFF" w:val="clear"/>
            <w:vAlign w:val="bottom"/>
          </w:tcPr>
          <w:p>
            <w:pPr>
              <w:pStyle w:val="TableContents"/>
              <w:bidi w:val="0"/>
              <w:spacing w:before="0" w:after="0"/>
              <w:jc w:val="right"/>
              <w:rPr>
                <w:sz w:val="20"/>
              </w:rPr>
            </w:pPr>
            <w:r>
              <w:rPr>
                <w:sz w:val="20"/>
              </w:rPr>
              <w:t>6,129</w:t>
            </w:r>
          </w:p>
        </w:tc>
        <w:tc>
          <w:tcPr>
            <w:tcW w:w="8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Change from private to public holdings</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sz w:val="20"/>
              </w:rPr>
            </w:pPr>
            <w:r>
              <w:rPr>
                <w:sz w:val="20"/>
              </w:rPr>
              <w:t>(87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sz w:val="20"/>
              </w:rPr>
            </w:pPr>
            <w:r>
              <w:rPr>
                <w:sz w:val="20"/>
              </w:rPr>
              <w:t>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both"/>
              <w:rPr>
                <w:sz w:val="20"/>
              </w:rPr>
            </w:pPr>
            <w:r>
              <w:rPr>
                <w:sz w:val="20"/>
              </w:rPr>
              <w:t>Change in fair value</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(1,554</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(3,071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(4,625</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3905" w:type="dxa"/>
            <w:tcBorders/>
            <w:vAlign w:val="bottom"/>
          </w:tcPr>
          <w:p>
            <w:pPr>
              <w:pStyle w:val="TableContents"/>
              <w:bidi w:val="0"/>
              <w:spacing w:before="0" w:after="0"/>
              <w:ind w:left="180" w:right="0" w:hanging="0"/>
              <w:jc w:val="both"/>
              <w:rPr>
                <w:sz w:val="20"/>
              </w:rPr>
            </w:pPr>
            <w:r>
              <w:rPr>
                <w:sz w:val="20"/>
              </w:rPr>
              <w:t>Fair value as of September 30, 2024 (unaudited)</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21" w:type="dxa"/>
            <w:tcBorders>
              <w:bottom w:val="single" w:sz="12" w:space="0" w:color="000000"/>
            </w:tcBorders>
            <w:tcMar>
              <w:bottom w:w="28" w:type="dxa"/>
            </w:tcMar>
            <w:vAlign w:val="bottom"/>
          </w:tcPr>
          <w:p>
            <w:pPr>
              <w:pStyle w:val="TableContents"/>
              <w:bidi w:val="0"/>
              <w:spacing w:before="0" w:after="0"/>
              <w:jc w:val="right"/>
              <w:rPr>
                <w:sz w:val="20"/>
              </w:rPr>
            </w:pPr>
            <w:r>
              <w:rPr>
                <w:sz w:val="20"/>
              </w:rPr>
              <w:t>235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20" w:type="dxa"/>
            <w:tcBorders>
              <w:bottom w:val="single" w:sz="12" w:space="0" w:color="000000"/>
            </w:tcBorders>
            <w:tcMar>
              <w:bottom w:w="28" w:type="dxa"/>
            </w:tcMar>
            <w:vAlign w:val="bottom"/>
          </w:tcPr>
          <w:p>
            <w:pPr>
              <w:pStyle w:val="TableContents"/>
              <w:bidi w:val="0"/>
              <w:spacing w:before="0" w:after="0"/>
              <w:jc w:val="right"/>
              <w:rPr>
                <w:sz w:val="20"/>
              </w:rPr>
            </w:pPr>
            <w:r>
              <w:rPr>
                <w:sz w:val="20"/>
              </w:rPr>
              <w:t>1,269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20" w:type="dxa"/>
            <w:tcBorders>
              <w:bottom w:val="single" w:sz="12" w:space="0" w:color="000000"/>
            </w:tcBorders>
            <w:tcMar>
              <w:bottom w:w="28" w:type="dxa"/>
            </w:tcMar>
            <w:vAlign w:val="bottom"/>
          </w:tcPr>
          <w:p>
            <w:pPr>
              <w:pStyle w:val="TableContents"/>
              <w:bidi w:val="0"/>
              <w:spacing w:before="0" w:after="0"/>
              <w:jc w:val="right"/>
              <w:rPr>
                <w:sz w:val="20"/>
              </w:rPr>
            </w:pPr>
            <w:r>
              <w:rPr>
                <w:sz w:val="20"/>
              </w:rPr>
              <w:t>1,504</w:t>
            </w:r>
          </w:p>
        </w:tc>
        <w:tc>
          <w:tcPr>
            <w:tcW w:w="8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- 15 -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3670" w:type="dxa"/>
        <w:jc w:val="left"/>
        <w:tblInd w:w="0" w:type="dxa"/>
        <w:tblLayout w:type="fixed"/>
        <w:tblCellMar>
          <w:top w:w="0" w:type="dxa"/>
          <w:left w:w="0" w:type="dxa"/>
          <w:bottom w:w="0" w:type="dxa"/>
          <w:right w:w="0" w:type="dxa"/>
        </w:tblCellMar>
      </w:tblPr>
      <w:tblGrid>
        <w:gridCol w:w="860"/>
        <w:gridCol w:w="281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5:-</w:t>
            </w:r>
          </w:p>
        </w:tc>
        <w:tc>
          <w:tcPr>
            <w:tcW w:w="28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SHORT-TERM INVESTMENTS</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As of September 30, 2024, the Company did not hold available-for-sale marketable securities.</w:t>
      </w:r>
      <w:r>
        <w:rPr>
          <w:rFonts w:ascii="Times New Roman" w:hAnsi="Times New Roman"/>
          <w:color w:val="000000"/>
          <w:sz w:val="20"/>
          <w:shd w:fill="FFFFFF" w:val="clear"/>
        </w:rPr>
        <w:t xml:space="preserve"> </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available-for-sale marketable securities as of December 31, 2023:</w:t>
      </w:r>
    </w:p>
    <w:p>
      <w:pPr>
        <w:pStyle w:val="TextBody"/>
        <w:bidi w:val="0"/>
        <w:spacing w:before="0" w:after="0"/>
        <w:jc w:val="left"/>
        <w:rPr>
          <w:rFonts w:ascii="Times New Roman" w:hAnsi="Times New Roman"/>
          <w:sz w:val="20"/>
        </w:rPr>
      </w:pPr>
      <w:r>
        <w:rPr>
          <w:rFonts w:ascii="Times New Roman" w:hAnsi="Times New Roman"/>
          <w:sz w:val="20"/>
        </w:rPr>
      </w:r>
    </w:p>
    <w:tbl>
      <w:tblPr>
        <w:tblW w:w="6272" w:type="dxa"/>
        <w:jc w:val="left"/>
        <w:tblInd w:w="1170" w:type="dxa"/>
        <w:tblLayout w:type="fixed"/>
        <w:tblCellMar>
          <w:top w:w="0" w:type="dxa"/>
          <w:left w:w="0" w:type="dxa"/>
          <w:bottom w:w="0" w:type="dxa"/>
          <w:right w:w="0" w:type="dxa"/>
        </w:tblCellMar>
      </w:tblPr>
      <w:tblGrid>
        <w:gridCol w:w="2045"/>
        <w:gridCol w:w="60"/>
        <w:gridCol w:w="205"/>
        <w:gridCol w:w="799"/>
        <w:gridCol w:w="60"/>
        <w:gridCol w:w="60"/>
        <w:gridCol w:w="335"/>
        <w:gridCol w:w="699"/>
        <w:gridCol w:w="60"/>
        <w:gridCol w:w="60"/>
        <w:gridCol w:w="417"/>
        <w:gridCol w:w="617"/>
        <w:gridCol w:w="80"/>
        <w:gridCol w:w="60"/>
        <w:gridCol w:w="170"/>
        <w:gridCol w:w="485"/>
        <w:gridCol w:w="60"/>
      </w:tblGrid>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Amortized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Gross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Unrealized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Gross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Unrealized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Fair</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Corporate debt securities</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7"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3,651</w:t>
            </w:r>
          </w:p>
        </w:tc>
        <w:tc>
          <w:tcPr>
            <w:tcW w:w="60"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Commercial paper</w:t>
            </w:r>
          </w:p>
        </w:tc>
        <w:tc>
          <w:tcPr>
            <w:tcW w:w="60" w:type="dxa"/>
            <w:tcBorders/>
            <w:vAlign w:val="bottom"/>
          </w:tcPr>
          <w:p>
            <w:pPr>
              <w:pStyle w:val="TableContents"/>
              <w:bidi w:val="0"/>
              <w:spacing w:before="0" w:after="283"/>
              <w:jc w:val="right"/>
              <w:rPr/>
            </w:pPr>
            <w:r>
              <w:rPr/>
              <w:t> </w:t>
            </w:r>
          </w:p>
        </w:tc>
        <w:tc>
          <w:tcPr>
            <w:tcW w:w="205" w:type="dxa"/>
            <w:tcBorders>
              <w:bottom w:val="single" w:sz="12" w:space="0" w:color="000000"/>
            </w:tcBorders>
            <w:tcMar>
              <w:bottom w:w="28" w:type="dxa"/>
            </w:tcMar>
            <w:vAlign w:val="bottom"/>
          </w:tcPr>
          <w:p>
            <w:pPr>
              <w:pStyle w:val="TableContents"/>
              <w:bidi w:val="0"/>
              <w:spacing w:before="0" w:after="283"/>
              <w:jc w:val="left"/>
              <w:rPr/>
            </w:pPr>
            <w:r>
              <w:rPr/>
              <w:t> </w:t>
            </w:r>
          </w:p>
        </w:tc>
        <w:tc>
          <w:tcPr>
            <w:tcW w:w="7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17" w:type="dxa"/>
            <w:tcBorders>
              <w:bottom w:val="single" w:sz="12" w:space="0" w:color="000000"/>
            </w:tcBorders>
            <w:tcMar>
              <w:bottom w:w="28" w:type="dxa"/>
            </w:tcMar>
            <w:vAlign w:val="bottom"/>
          </w:tcPr>
          <w:p>
            <w:pPr>
              <w:pStyle w:val="TableContents"/>
              <w:bidi w:val="0"/>
              <w:spacing w:before="0" w:after="283"/>
              <w:jc w:val="left"/>
              <w:rPr/>
            </w:pPr>
            <w:r>
              <w:rPr/>
              <w:t> </w:t>
            </w:r>
          </w:p>
        </w:tc>
        <w:tc>
          <w:tcPr>
            <w:tcW w:w="6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2,074</w:t>
            </w:r>
          </w:p>
        </w:tc>
        <w:tc>
          <w:tcPr>
            <w:tcW w:w="6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20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c>
          <w:tcPr>
            <w:tcW w:w="485"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5,725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tbl>
      <w:tblPr>
        <w:tblW w:w="6190" w:type="dxa"/>
        <w:jc w:val="left"/>
        <w:tblInd w:w="0" w:type="dxa"/>
        <w:tblLayout w:type="fixed"/>
        <w:tblCellMar>
          <w:top w:w="0" w:type="dxa"/>
          <w:left w:w="0" w:type="dxa"/>
          <w:bottom w:w="0" w:type="dxa"/>
          <w:right w:w="0" w:type="dxa"/>
        </w:tblCellMar>
      </w:tblPr>
      <w:tblGrid>
        <w:gridCol w:w="860"/>
        <w:gridCol w:w="5330"/>
      </w:tblGrid>
      <w:tr>
        <w:trPr/>
        <w:tc>
          <w:tcPr>
            <w:tcW w:w="860" w:type="dxa"/>
            <w:tcBorders/>
            <w:vAlign w:val="center"/>
          </w:tcPr>
          <w:p>
            <w:pPr>
              <w:pStyle w:val="TableContents"/>
              <w:bidi w:val="0"/>
              <w:spacing w:before="0" w:after="283"/>
              <w:jc w:val="left"/>
              <w:rPr>
                <w:b/>
                <w:sz w:val="20"/>
              </w:rPr>
            </w:pPr>
            <w:r>
              <w:rPr>
                <w:b/>
                <w:sz w:val="20"/>
              </w:rPr>
              <w:t>NOTE 6:-</w:t>
            </w:r>
          </w:p>
        </w:tc>
        <w:tc>
          <w:tcPr>
            <w:tcW w:w="5330" w:type="dxa"/>
            <w:tcBorders/>
            <w:vAlign w:val="center"/>
          </w:tcPr>
          <w:p>
            <w:pPr>
              <w:pStyle w:val="TableContents"/>
              <w:bidi w:val="0"/>
              <w:spacing w:before="0" w:after="0"/>
              <w:jc w:val="both"/>
              <w:rPr>
                <w:b/>
                <w:sz w:val="20"/>
              </w:rPr>
            </w:pPr>
            <w:r>
              <w:rPr>
                <w:b/>
                <w:sz w:val="20"/>
              </w:rPr>
              <w:t>DERIVATIVE INSTRUMENTS AND HEDGING ACTIVITIES</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enters into foreign currency forward contracts and put and call options with financial institution</w:t>
      </w:r>
      <w:r>
        <w:rPr>
          <w:rFonts w:ascii="Times New Roman" w:hAnsi="Times New Roman"/>
          <w:b/>
          <w:color w:val="000000"/>
          <w:sz w:val="20"/>
          <w:shd w:fill="FFFFFF" w:val="clear"/>
        </w:rPr>
        <w:t xml:space="preserve">s </w:t>
      </w:r>
      <w:r>
        <w:rPr>
          <w:rFonts w:ascii="Times New Roman" w:hAnsi="Times New Roman"/>
          <w:color w:val="000000"/>
          <w:sz w:val="20"/>
          <w:shd w:fill="FFFFFF" w:val="clear"/>
        </w:rPr>
        <w:t>to protect itself against the foreign exchange risks, mainly exposure to changes in the exchange rate of the New Israeli Shekel (“NIS”) against the U.S dollar that are associated with forecasted future cash flows for up to twelve months. The Company’s risk management strategy includes the use of derivative financial instruments to reduce the volatility of earnings and cash flows associated with changes in foreign currency exchange rates; these derivative instruments are designated as cash flow hedges. The Company does not enter into derivative transactions for trading or speculative purposes.</w:t>
      </w:r>
    </w:p>
    <w:p>
      <w:pPr>
        <w:pStyle w:val="TextBody"/>
        <w:bidi w:val="0"/>
        <w:spacing w:before="0" w:after="0"/>
        <w:jc w:val="left"/>
        <w:rPr>
          <w:sz w:val="20"/>
        </w:rPr>
      </w:pPr>
      <w:r>
        <w:rPr>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and December 31, 2023, the notional amounts of the Company’s derivative instruments designated as cash flow hedging instruments outstanding in U.S. dollars amounted to $38,253 and $39,347, respectively.</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Gross notional amounts do not quantify risk or represent assets or liabilities of the Company but are used in the calculation of settlements under the contracts.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records all cash flow hedging instruments on the consolidated balance sheets at fair value. The fair values of outstanding derivative instruments designated as cash flow hedging instruments and recorded as assets were $165 and $948 as of September 30, 2024 and December 31, 2023, respectively, which were recorded in prepaid expenses and other current assets in the consolidated interim balance sheet.</w:t>
      </w:r>
    </w:p>
    <w:p>
      <w:pPr>
        <w:pStyle w:val="TextBody"/>
        <w:widowControl/>
        <w:bidi w:val="0"/>
        <w:spacing w:before="0" w:after="0"/>
        <w:ind w:left="117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gains (losses) related to cash flow hedging instruments, recorded in the consolidated interim statements of loss, for the three and nine months ended September 30, 2024 and 2023, were as follows:</w:t>
      </w:r>
    </w:p>
    <w:p>
      <w:pPr>
        <w:pStyle w:val="TextBody"/>
        <w:bidi w:val="0"/>
        <w:spacing w:before="0" w:after="0"/>
        <w:ind w:left="1170" w:right="0" w:hanging="0"/>
        <w:jc w:val="left"/>
        <w:rPr/>
      </w:pPr>
      <w:r>
        <w:rPr/>
      </w:r>
    </w:p>
    <w:tbl>
      <w:tblPr>
        <w:tblW w:w="9035" w:type="dxa"/>
        <w:jc w:val="left"/>
        <w:tblInd w:w="1170" w:type="dxa"/>
        <w:tblLayout w:type="fixed"/>
        <w:tblCellMar>
          <w:top w:w="0" w:type="dxa"/>
          <w:left w:w="0" w:type="dxa"/>
          <w:bottom w:w="0" w:type="dxa"/>
          <w:right w:w="0" w:type="dxa"/>
        </w:tblCellMar>
      </w:tblPr>
      <w:tblGrid>
        <w:gridCol w:w="5599"/>
        <w:gridCol w:w="60"/>
        <w:gridCol w:w="203"/>
        <w:gridCol w:w="396"/>
        <w:gridCol w:w="91"/>
        <w:gridCol w:w="91"/>
        <w:gridCol w:w="190"/>
        <w:gridCol w:w="603"/>
        <w:gridCol w:w="80"/>
        <w:gridCol w:w="60"/>
        <w:gridCol w:w="154"/>
        <w:gridCol w:w="420"/>
        <w:gridCol w:w="66"/>
        <w:gridCol w:w="66"/>
        <w:gridCol w:w="154"/>
        <w:gridCol w:w="701"/>
        <w:gridCol w:w="101"/>
      </w:tblGrid>
      <w:tr>
        <w:trPr/>
        <w:tc>
          <w:tcPr>
            <w:tcW w:w="55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101"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5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9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57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center"/>
              <w:rPr/>
            </w:pPr>
            <w:r>
              <w:rPr/>
              <w:t> </w:t>
            </w:r>
          </w:p>
        </w:tc>
        <w:tc>
          <w:tcPr>
            <w:tcW w:w="85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101"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275" w:type="dxa"/>
            <w:gridSpan w:val="14"/>
            <w:tcBorders>
              <w:bottom w:val="single" w:sz="12" w:space="0" w:color="000000"/>
            </w:tcBorders>
            <w:tcMar>
              <w:bottom w:w="28" w:type="dxa"/>
            </w:tcMar>
            <w:vAlign w:val="bottom"/>
          </w:tcPr>
          <w:p>
            <w:pPr>
              <w:pStyle w:val="TableContents"/>
              <w:bidi w:val="0"/>
              <w:spacing w:before="0" w:after="283"/>
              <w:jc w:val="center"/>
              <w:rPr>
                <w:b/>
              </w:rPr>
            </w:pPr>
            <w:r>
              <w:rPr>
                <w:b/>
              </w:rPr>
              <w:t>Unaudited</w:t>
            </w:r>
          </w:p>
        </w:tc>
        <w:tc>
          <w:tcPr>
            <w:tcW w:w="101"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283"/>
              <w:jc w:val="left"/>
              <w:rPr/>
            </w:pPr>
            <w:r>
              <w:rPr/>
              <w:t>Cost of revenues</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96" w:type="dxa"/>
            <w:tcBorders/>
            <w:shd w:fill="CCEEFF" w:val="clear"/>
            <w:vAlign w:val="bottom"/>
          </w:tcPr>
          <w:p>
            <w:pPr>
              <w:pStyle w:val="TableContents"/>
              <w:bidi w:val="0"/>
              <w:spacing w:before="0" w:after="0"/>
              <w:jc w:val="right"/>
              <w:rPr>
                <w:color w:val="000000"/>
              </w:rPr>
            </w:pPr>
            <w:r>
              <w:rPr>
                <w:color w:val="000000"/>
              </w:rPr>
              <w:t>—</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w:t>
            </w:r>
          </w:p>
        </w:tc>
        <w:tc>
          <w:tcPr>
            <w:tcW w:w="420" w:type="dxa"/>
            <w:tcBorders/>
            <w:shd w:fill="CCEEFF" w:val="clear"/>
            <w:vAlign w:val="bottom"/>
          </w:tcPr>
          <w:p>
            <w:pPr>
              <w:pStyle w:val="TableContents"/>
              <w:bidi w:val="0"/>
              <w:spacing w:before="0" w:after="283"/>
              <w:jc w:val="right"/>
              <w:rPr/>
            </w:pPr>
            <w:r>
              <w:rPr/>
              <w:t>15</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(142</w:t>
            </w:r>
          </w:p>
        </w:tc>
        <w:tc>
          <w:tcPr>
            <w:tcW w:w="101" w:type="dxa"/>
            <w:tcBorders/>
            <w:shd w:fill="CCEEFF" w:val="clear"/>
            <w:vAlign w:val="bottom"/>
          </w:tcPr>
          <w:p>
            <w:pPr>
              <w:pStyle w:val="TableContents"/>
              <w:bidi w:val="0"/>
              <w:spacing w:before="0" w:after="283"/>
              <w:jc w:val="left"/>
              <w:rPr/>
            </w:pPr>
            <w:r>
              <w:rPr/>
              <w:t>)</w:t>
            </w:r>
          </w:p>
        </w:tc>
      </w:tr>
      <w:tr>
        <w:trPr/>
        <w:tc>
          <w:tcPr>
            <w:tcW w:w="5599" w:type="dxa"/>
            <w:tcBorders/>
            <w:vAlign w:val="bottom"/>
          </w:tcPr>
          <w:p>
            <w:pPr>
              <w:pStyle w:val="TableContents"/>
              <w:bidi w:val="0"/>
              <w:spacing w:before="0" w:after="283"/>
              <w:jc w:val="left"/>
              <w:rPr/>
            </w:pPr>
            <w:r>
              <w:rPr/>
              <w:t>Research and development</w:t>
            </w:r>
          </w:p>
        </w:tc>
        <w:tc>
          <w:tcPr>
            <w:tcW w:w="6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0"/>
              <w:jc w:val="right"/>
              <w:rPr>
                <w:color w:val="000000"/>
              </w:rPr>
            </w:pPr>
            <w:r>
              <w:rPr>
                <w:color w:val="000000"/>
              </w:rPr>
              <w:t>—</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174</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(1,478</w:t>
            </w:r>
          </w:p>
        </w:tc>
        <w:tc>
          <w:tcPr>
            <w:tcW w:w="101" w:type="dxa"/>
            <w:tcBorders/>
            <w:vAlign w:val="bottom"/>
          </w:tcPr>
          <w:p>
            <w:pPr>
              <w:pStyle w:val="TableContents"/>
              <w:bidi w:val="0"/>
              <w:spacing w:before="0" w:after="283"/>
              <w:jc w:val="left"/>
              <w:rPr/>
            </w:pPr>
            <w:r>
              <w:rPr/>
              <w:t>)</w:t>
            </w:r>
          </w:p>
        </w:tc>
      </w:tr>
      <w:tr>
        <w:trPr/>
        <w:tc>
          <w:tcPr>
            <w:tcW w:w="5599" w:type="dxa"/>
            <w:tcBorders/>
            <w:shd w:fill="CCEEFF" w:val="clear"/>
            <w:vAlign w:val="bottom"/>
          </w:tcPr>
          <w:p>
            <w:pPr>
              <w:pStyle w:val="TableContents"/>
              <w:bidi w:val="0"/>
              <w:spacing w:before="0" w:after="283"/>
              <w:jc w:val="left"/>
              <w:rPr/>
            </w:pPr>
            <w:r>
              <w:rPr/>
              <w:t>Sales and marketing</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0"/>
              <w:jc w:val="right"/>
              <w:rPr>
                <w:color w:val="000000"/>
              </w:rPr>
            </w:pPr>
            <w:r>
              <w:rPr>
                <w:color w:val="000000"/>
              </w:rPr>
              <w:t>—</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right"/>
              <w:rPr/>
            </w:pPr>
            <w:r>
              <w:rPr/>
              <w:t>43</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(270</w:t>
            </w:r>
          </w:p>
        </w:tc>
        <w:tc>
          <w:tcPr>
            <w:tcW w:w="101" w:type="dxa"/>
            <w:tcBorders/>
            <w:shd w:fill="CCEEFF" w:val="clear"/>
            <w:vAlign w:val="bottom"/>
          </w:tcPr>
          <w:p>
            <w:pPr>
              <w:pStyle w:val="TableContents"/>
              <w:bidi w:val="0"/>
              <w:spacing w:before="0" w:after="283"/>
              <w:jc w:val="left"/>
              <w:rPr/>
            </w:pPr>
            <w:r>
              <w:rPr/>
              <w:t>)</w:t>
            </w:r>
          </w:p>
        </w:tc>
      </w:tr>
      <w:tr>
        <w:trPr/>
        <w:tc>
          <w:tcPr>
            <w:tcW w:w="5599" w:type="dxa"/>
            <w:tcBorders/>
            <w:vAlign w:val="bottom"/>
          </w:tcPr>
          <w:p>
            <w:pPr>
              <w:pStyle w:val="TableContents"/>
              <w:bidi w:val="0"/>
              <w:spacing w:before="0" w:after="283"/>
              <w:jc w:val="left"/>
              <w:rPr/>
            </w:pPr>
            <w:r>
              <w:rPr/>
              <w:t>General and administrative</w:t>
            </w:r>
          </w:p>
        </w:tc>
        <w:tc>
          <w:tcPr>
            <w:tcW w:w="60" w:type="dxa"/>
            <w:tcBorders/>
            <w:vAlign w:val="bottom"/>
          </w:tcPr>
          <w:p>
            <w:pPr>
              <w:pStyle w:val="TableContents"/>
              <w:bidi w:val="0"/>
              <w:spacing w:before="0" w:after="283"/>
              <w:jc w:val="righ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39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420" w:type="dxa"/>
            <w:tcBorders>
              <w:bottom w:val="single" w:sz="12" w:space="0" w:color="000000"/>
            </w:tcBorders>
            <w:tcMar>
              <w:bottom w:w="28" w:type="dxa"/>
            </w:tcMar>
            <w:vAlign w:val="bottom"/>
          </w:tcPr>
          <w:p>
            <w:pPr>
              <w:pStyle w:val="TableContents"/>
              <w:bidi w:val="0"/>
              <w:spacing w:before="0" w:after="283"/>
              <w:jc w:val="right"/>
              <w:rPr/>
            </w:pPr>
            <w:r>
              <w:rPr/>
              <w:t>35</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701" w:type="dxa"/>
            <w:tcBorders>
              <w:bottom w:val="single" w:sz="12" w:space="0" w:color="000000"/>
            </w:tcBorders>
            <w:tcMar>
              <w:bottom w:w="28" w:type="dxa"/>
            </w:tcMar>
            <w:vAlign w:val="bottom"/>
          </w:tcPr>
          <w:p>
            <w:pPr>
              <w:pStyle w:val="TableContents"/>
              <w:bidi w:val="0"/>
              <w:spacing w:before="0" w:after="283"/>
              <w:jc w:val="right"/>
              <w:rPr/>
            </w:pPr>
            <w:r>
              <w:rPr/>
              <w:t>(270</w:t>
            </w:r>
          </w:p>
        </w:tc>
        <w:tc>
          <w:tcPr>
            <w:tcW w:w="101" w:type="dxa"/>
            <w:tcBorders/>
            <w:vAlign w:val="bottom"/>
          </w:tcPr>
          <w:p>
            <w:pPr>
              <w:pStyle w:val="TableContents"/>
              <w:bidi w:val="0"/>
              <w:spacing w:before="0" w:after="283"/>
              <w:jc w:val="left"/>
              <w:rPr/>
            </w:pPr>
            <w:r>
              <w:rPr/>
              <w:t>)</w:t>
            </w:r>
          </w:p>
        </w:tc>
      </w:tr>
      <w:tr>
        <w:trPr/>
        <w:tc>
          <w:tcPr>
            <w:tcW w:w="5599" w:type="dxa"/>
            <w:tcBorders/>
            <w:shd w:fill="CCEEFF" w:val="clear"/>
            <w:vAlign w:val="bottom"/>
          </w:tcPr>
          <w:p>
            <w:pPr>
              <w:pStyle w:val="TableContents"/>
              <w:bidi w:val="0"/>
              <w:spacing w:before="0" w:after="283"/>
              <w:jc w:val="left"/>
              <w:rPr/>
            </w:pPr>
            <w:r>
              <w:rPr/>
              <w:t>Total gains (losses) recognized in the consolidated statements of loss, net</w:t>
            </w:r>
          </w:p>
        </w:tc>
        <w:tc>
          <w:tcPr>
            <w:tcW w:w="60" w:type="dxa"/>
            <w:tcBorders/>
            <w:shd w:fill="CCEEFF" w:val="clear"/>
            <w:vAlign w:val="bottom"/>
          </w:tcPr>
          <w:p>
            <w:pPr>
              <w:pStyle w:val="TableContents"/>
              <w:bidi w:val="0"/>
              <w:spacing w:before="0" w:after="283"/>
              <w:jc w:val="righ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9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420" w:type="dxa"/>
            <w:tcBorders>
              <w:bottom w:val="single" w:sz="12" w:space="0" w:color="000000"/>
            </w:tcBorders>
            <w:shd w:fill="CCEEFF" w:val="clear"/>
            <w:tcMar>
              <w:bottom w:w="28" w:type="dxa"/>
            </w:tcMar>
            <w:vAlign w:val="bottom"/>
          </w:tcPr>
          <w:p>
            <w:pPr>
              <w:pStyle w:val="TableContents"/>
              <w:bidi w:val="0"/>
              <w:spacing w:before="0" w:after="283"/>
              <w:jc w:val="right"/>
              <w:rPr/>
            </w:pPr>
            <w:r>
              <w:rPr/>
              <w:t>267</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01" w:type="dxa"/>
            <w:tcBorders>
              <w:bottom w:val="single" w:sz="12" w:space="0" w:color="000000"/>
            </w:tcBorders>
            <w:shd w:fill="CCEEFF" w:val="clear"/>
            <w:tcMar>
              <w:bottom w:w="28" w:type="dxa"/>
            </w:tcMar>
            <w:vAlign w:val="bottom"/>
          </w:tcPr>
          <w:p>
            <w:pPr>
              <w:pStyle w:val="TableContents"/>
              <w:bidi w:val="0"/>
              <w:spacing w:before="0" w:after="283"/>
              <w:jc w:val="right"/>
              <w:rPr/>
            </w:pPr>
            <w:r>
              <w:rPr/>
              <w:t>(2,160</w:t>
            </w:r>
          </w:p>
        </w:tc>
        <w:tc>
          <w:tcPr>
            <w:tcW w:w="101" w:type="dxa"/>
            <w:tcBorders/>
            <w:shd w:fill="CCEEFF" w:val="clear"/>
            <w:vAlign w:val="bottom"/>
          </w:tcPr>
          <w:p>
            <w:pPr>
              <w:pStyle w:val="TableContents"/>
              <w:bidi w:val="0"/>
              <w:spacing w:before="0" w:after="283"/>
              <w:jc w:val="left"/>
              <w:rPr/>
            </w:pPr>
            <w:r>
              <w:rPr/>
              <w:t>)</w:t>
            </w:r>
          </w:p>
        </w:tc>
      </w:tr>
    </w:tbl>
    <w:p>
      <w:pPr>
        <w:pStyle w:val="TextBody"/>
        <w:bidi w:val="0"/>
        <w:spacing w:before="0" w:after="0"/>
        <w:ind w:left="1170" w:right="0" w:hanging="0"/>
        <w:jc w:val="both"/>
        <w:rPr>
          <w:rFonts w:ascii="Times New Roman" w:hAnsi="Times New Roman"/>
          <w:b/>
          <w:i/>
          <w:sz w:val="20"/>
        </w:rPr>
      </w:pPr>
      <w:r>
        <w:rPr>
          <w:rFonts w:ascii="Times New Roman" w:hAnsi="Times New Roman"/>
          <w:b/>
          <w:i/>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- 16 -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6805" w:type="dxa"/>
        <w:jc w:val="left"/>
        <w:tblInd w:w="0" w:type="dxa"/>
        <w:tblLayout w:type="fixed"/>
        <w:tblCellMar>
          <w:top w:w="0" w:type="dxa"/>
          <w:left w:w="0" w:type="dxa"/>
          <w:bottom w:w="0" w:type="dxa"/>
          <w:right w:w="0" w:type="dxa"/>
        </w:tblCellMar>
      </w:tblPr>
      <w:tblGrid>
        <w:gridCol w:w="860"/>
        <w:gridCol w:w="5945"/>
      </w:tblGrid>
      <w:tr>
        <w:trPr/>
        <w:tc>
          <w:tcPr>
            <w:tcW w:w="860" w:type="dxa"/>
            <w:tcBorders/>
            <w:vAlign w:val="center"/>
          </w:tcPr>
          <w:p>
            <w:pPr>
              <w:pStyle w:val="TableContents"/>
              <w:bidi w:val="0"/>
              <w:spacing w:before="0" w:after="283"/>
              <w:jc w:val="left"/>
              <w:rPr>
                <w:b/>
                <w:sz w:val="20"/>
              </w:rPr>
            </w:pPr>
            <w:r>
              <w:rPr>
                <w:b/>
                <w:sz w:val="20"/>
              </w:rPr>
              <w:t>NOTE 6:-</w:t>
            </w:r>
          </w:p>
        </w:tc>
        <w:tc>
          <w:tcPr>
            <w:tcW w:w="5945" w:type="dxa"/>
            <w:tcBorders/>
            <w:vAlign w:val="center"/>
          </w:tcPr>
          <w:p>
            <w:pPr>
              <w:pStyle w:val="TableContents"/>
              <w:bidi w:val="0"/>
              <w:spacing w:before="0" w:after="0"/>
              <w:jc w:val="both"/>
              <w:rPr>
                <w:b/>
                <w:sz w:val="20"/>
              </w:rPr>
            </w:pPr>
            <w:r>
              <w:rPr>
                <w:b/>
                <w:sz w:val="20"/>
              </w:rPr>
              <w:t>DERIVATIVE INSTRUMENTS AND HEDGING ACTIVITIES (Cont.)</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i/>
          <w:caps w:val="false"/>
          <w:smallCaps w:val="false"/>
          <w:color w:val="000000"/>
          <w:sz w:val="20"/>
          <w:shd w:fill="FFFFFF" w:val="clear"/>
        </w:rPr>
        <w:t>Effect of Foreign Currency Contracts on Accumulated Other Comprehensive Income (Loss)</w:t>
      </w:r>
      <w:r>
        <w:rPr>
          <w:rFonts w:ascii="Times New Roman" w:hAnsi="Times New Roman"/>
          <w:b w:val="false"/>
          <w:i w:val="false"/>
          <w:caps w:val="false"/>
          <w:smallCaps w:val="false"/>
          <w:color w:val="000000"/>
          <w:sz w:val="20"/>
          <w:shd w:fill="FFFFFF" w:val="clear"/>
        </w:rPr>
        <w:br/>
        <w:br/>
        <w:t xml:space="preserve">Net unrealized gains (losses) of foreign currency contracts designated as cash flow hedging instruments are recorded in accumulated other comprehensive income (loss). </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changes in unrealized gains (losses) on the Company’s derivative instruments recorded in accumulated other comprehensive income (loss) were as follows:</w:t>
      </w:r>
    </w:p>
    <w:p>
      <w:pPr>
        <w:pStyle w:val="TextBody"/>
        <w:bidi w:val="0"/>
        <w:spacing w:before="0" w:after="0"/>
        <w:jc w:val="left"/>
        <w:rPr/>
      </w:pPr>
      <w:r>
        <w:rPr/>
      </w:r>
    </w:p>
    <w:tbl>
      <w:tblPr>
        <w:tblW w:w="9035" w:type="dxa"/>
        <w:jc w:val="left"/>
        <w:tblInd w:w="1170" w:type="dxa"/>
        <w:tblLayout w:type="fixed"/>
        <w:tblCellMar>
          <w:top w:w="0" w:type="dxa"/>
          <w:left w:w="0" w:type="dxa"/>
          <w:bottom w:w="0" w:type="dxa"/>
          <w:right w:w="0" w:type="dxa"/>
        </w:tblCellMar>
      </w:tblPr>
      <w:tblGrid>
        <w:gridCol w:w="7376"/>
        <w:gridCol w:w="60"/>
        <w:gridCol w:w="142"/>
        <w:gridCol w:w="451"/>
        <w:gridCol w:w="91"/>
        <w:gridCol w:w="68"/>
        <w:gridCol w:w="142"/>
        <w:gridCol w:w="622"/>
        <w:gridCol w:w="83"/>
      </w:tblGrid>
      <w:tr>
        <w:trPr/>
        <w:tc>
          <w:tcPr>
            <w:tcW w:w="73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6"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Nine months ended</w:t>
            </w:r>
          </w:p>
          <w:p>
            <w:pPr>
              <w:pStyle w:val="TableContents"/>
              <w:bidi w:val="0"/>
              <w:spacing w:before="0" w:after="0"/>
              <w:ind w:left="0" w:right="0" w:firstLine="40"/>
              <w:jc w:val="center"/>
              <w:rPr>
                <w:b/>
                <w:color w:val="000000"/>
                <w:sz w:val="20"/>
              </w:rPr>
            </w:pPr>
            <w:r>
              <w:rPr>
                <w:b/>
                <w:color w:val="000000"/>
                <w:sz w:val="20"/>
              </w:rPr>
              <w:t>September 30,</w:t>
            </w:r>
          </w:p>
        </w:tc>
        <w:tc>
          <w:tcPr>
            <w:tcW w:w="83"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2024</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64"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2023</w:t>
            </w:r>
          </w:p>
        </w:tc>
        <w:tc>
          <w:tcPr>
            <w:tcW w:w="83"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6"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Unaudited</w:t>
            </w:r>
          </w:p>
        </w:tc>
        <w:tc>
          <w:tcPr>
            <w:tcW w:w="83" w:type="dxa"/>
            <w:tcBorders/>
            <w:vAlign w:val="bottom"/>
          </w:tcPr>
          <w:p>
            <w:pPr>
              <w:pStyle w:val="TableContents"/>
              <w:bidi w:val="0"/>
              <w:spacing w:before="0" w:after="283"/>
              <w:jc w:val="left"/>
              <w:rPr/>
            </w:pPr>
            <w:r>
              <w:rPr/>
              <w:t> </w:t>
            </w:r>
          </w:p>
        </w:tc>
      </w:tr>
      <w:tr>
        <w:trPr/>
        <w:tc>
          <w:tcPr>
            <w:tcW w:w="7376" w:type="dxa"/>
            <w:tcBorders/>
            <w:shd w:fill="CCEEFF" w:val="clear"/>
            <w:vAlign w:val="bottom"/>
          </w:tcPr>
          <w:p>
            <w:pPr>
              <w:pStyle w:val="TableContents"/>
              <w:bidi w:val="0"/>
              <w:spacing w:before="0" w:after="283"/>
              <w:jc w:val="left"/>
              <w:rPr>
                <w:sz w:val="20"/>
              </w:rPr>
            </w:pPr>
            <w:r>
              <w:rPr>
                <w:sz w:val="20"/>
              </w:rPr>
              <w:t>Unrealized gains (losses) on derivative instruments at the beginning of the period</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sz w:val="20"/>
              </w:rPr>
            </w:pPr>
            <w:r>
              <w:rPr>
                <w:sz w:val="20"/>
              </w:rPr>
              <w:t>$</w:t>
            </w:r>
          </w:p>
        </w:tc>
        <w:tc>
          <w:tcPr>
            <w:tcW w:w="451" w:type="dxa"/>
            <w:tcBorders/>
            <w:shd w:fill="CCEEFF" w:val="clear"/>
            <w:vAlign w:val="bottom"/>
          </w:tcPr>
          <w:p>
            <w:pPr>
              <w:pStyle w:val="TableContents"/>
              <w:bidi w:val="0"/>
              <w:spacing w:before="0" w:after="283"/>
              <w:jc w:val="right"/>
              <w:rPr>
                <w:sz w:val="20"/>
              </w:rPr>
            </w:pPr>
            <w:r>
              <w:rPr>
                <w:sz w:val="20"/>
              </w:rPr>
              <w:t>948</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sz w:val="20"/>
              </w:rPr>
            </w:pPr>
            <w:r>
              <w:rPr>
                <w:sz w:val="20"/>
              </w:rPr>
              <w:t>$</w:t>
            </w:r>
          </w:p>
        </w:tc>
        <w:tc>
          <w:tcPr>
            <w:tcW w:w="622" w:type="dxa"/>
            <w:tcBorders/>
            <w:shd w:fill="CCEEFF" w:val="clear"/>
            <w:vAlign w:val="bottom"/>
          </w:tcPr>
          <w:p>
            <w:pPr>
              <w:pStyle w:val="TableContents"/>
              <w:bidi w:val="0"/>
              <w:spacing w:before="0" w:after="283"/>
              <w:jc w:val="right"/>
              <w:rPr>
                <w:sz w:val="20"/>
              </w:rPr>
            </w:pPr>
            <w:r>
              <w:rPr>
                <w:sz w:val="20"/>
              </w:rPr>
              <w:t>(313</w:t>
            </w:r>
          </w:p>
        </w:tc>
        <w:tc>
          <w:tcPr>
            <w:tcW w:w="83" w:type="dxa"/>
            <w:tcBorders/>
            <w:shd w:fill="CCEEFF" w:val="clear"/>
            <w:vAlign w:val="bottom"/>
          </w:tcPr>
          <w:p>
            <w:pPr>
              <w:pStyle w:val="TableContents"/>
              <w:bidi w:val="0"/>
              <w:spacing w:before="0" w:after="283"/>
              <w:jc w:val="left"/>
              <w:rPr>
                <w:sz w:val="20"/>
              </w:rPr>
            </w:pPr>
            <w:r>
              <w:rPr>
                <w:sz w:val="20"/>
              </w:rPr>
              <w:t>)</w:t>
            </w:r>
          </w:p>
        </w:tc>
      </w:tr>
      <w:tr>
        <w:trPr/>
        <w:tc>
          <w:tcPr>
            <w:tcW w:w="7376" w:type="dxa"/>
            <w:tcBorders/>
            <w:vAlign w:val="bottom"/>
          </w:tcPr>
          <w:p>
            <w:pPr>
              <w:pStyle w:val="TableContents"/>
              <w:bidi w:val="0"/>
              <w:spacing w:before="0" w:after="283"/>
              <w:jc w:val="left"/>
              <w:rPr>
                <w:sz w:val="20"/>
              </w:rPr>
            </w:pPr>
            <w:r>
              <w:rPr>
                <w:sz w:val="20"/>
              </w:rPr>
              <w:t>Changes in fair value of derivative instruments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sz w:val="20"/>
              </w:rPr>
            </w:pPr>
            <w:r>
              <w:rPr>
                <w:sz w:val="20"/>
              </w:rPr>
              <w:t>(516</w:t>
            </w:r>
          </w:p>
        </w:tc>
        <w:tc>
          <w:tcPr>
            <w:tcW w:w="91" w:type="dxa"/>
            <w:tcBorders/>
            <w:vAlign w:val="bottom"/>
          </w:tcPr>
          <w:p>
            <w:pPr>
              <w:pStyle w:val="TableContents"/>
              <w:bidi w:val="0"/>
              <w:spacing w:before="0" w:after="283"/>
              <w:jc w:val="left"/>
              <w:rPr>
                <w:sz w:val="20"/>
              </w:rPr>
            </w:pPr>
            <w:r>
              <w:rPr>
                <w:sz w:val="20"/>
              </w:rPr>
              <w:t>)</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sz w:val="20"/>
              </w:rPr>
            </w:pPr>
            <w:r>
              <w:rPr>
                <w:sz w:val="20"/>
              </w:rPr>
              <w:t>(2,047</w:t>
            </w:r>
          </w:p>
        </w:tc>
        <w:tc>
          <w:tcPr>
            <w:tcW w:w="83" w:type="dxa"/>
            <w:tcBorders/>
            <w:vAlign w:val="bottom"/>
          </w:tcPr>
          <w:p>
            <w:pPr>
              <w:pStyle w:val="TableContents"/>
              <w:bidi w:val="0"/>
              <w:spacing w:before="0" w:after="283"/>
              <w:jc w:val="left"/>
              <w:rPr>
                <w:sz w:val="20"/>
              </w:rPr>
            </w:pPr>
            <w:r>
              <w:rPr>
                <w:sz w:val="20"/>
              </w:rPr>
              <w:t>)</w:t>
            </w:r>
          </w:p>
        </w:tc>
      </w:tr>
      <w:tr>
        <w:trPr/>
        <w:tc>
          <w:tcPr>
            <w:tcW w:w="7376"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Reclassification of losses (gains) recognized in the consolidated interim statements of loss from accumulated other comprehensive income (loss)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(267</w:t>
            </w:r>
          </w:p>
        </w:tc>
        <w:tc>
          <w:tcPr>
            <w:tcW w:w="91" w:type="dxa"/>
            <w:tcBorders/>
            <w:shd w:fill="CCEEFF" w:val="clear"/>
            <w:vAlign w:val="bottom"/>
          </w:tcPr>
          <w:p>
            <w:pPr>
              <w:pStyle w:val="TableContents"/>
              <w:bidi w:val="0"/>
              <w:spacing w:before="0" w:after="283"/>
              <w:jc w:val="left"/>
              <w:rPr>
                <w:sz w:val="20"/>
              </w:rPr>
            </w:pPr>
            <w:r>
              <w:rPr>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2,160</w:t>
            </w:r>
          </w:p>
        </w:tc>
        <w:tc>
          <w:tcPr>
            <w:tcW w:w="83"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0"/>
              <w:ind w:left="180" w:right="0" w:hanging="180"/>
              <w:jc w:val="left"/>
              <w:rPr>
                <w:color w:val="000000"/>
                <w:sz w:val="20"/>
              </w:rPr>
            </w:pPr>
            <w:r>
              <w:rPr>
                <w:color w:val="000000"/>
                <w:sz w:val="20"/>
              </w:rPr>
              <w:t>Unrealized gains (losses) on derivative instruments at the end of the period (unaudited)</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451"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165</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622"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(200</w:t>
            </w:r>
          </w:p>
        </w:tc>
        <w:tc>
          <w:tcPr>
            <w:tcW w:w="83" w:type="dxa"/>
            <w:tcBorders/>
            <w:vAlign w:val="bottom"/>
          </w:tcPr>
          <w:p>
            <w:pPr>
              <w:pStyle w:val="TableContents"/>
              <w:bidi w:val="0"/>
              <w:spacing w:before="0" w:after="283"/>
              <w:jc w:val="left"/>
              <w:rPr>
                <w:sz w:val="20"/>
              </w:rPr>
            </w:pPr>
            <w:r>
              <w:rPr>
                <w:sz w:val="20"/>
              </w:rPr>
              <w:t>)</w:t>
            </w:r>
          </w:p>
        </w:tc>
      </w:tr>
    </w:tbl>
    <w:p>
      <w:pPr>
        <w:pStyle w:val="TextBody"/>
        <w:bidi w:val="0"/>
        <w:spacing w:before="22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All net deferred gains in accumulated other comprehensive income as of September 30, 2024, are expected to be recognized over the next twelve months as operating expenses in the same financial statement line item in the consolidated interim statements of loss to which the derivative relates.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tbl>
      <w:tblPr>
        <w:tblW w:w="5020" w:type="dxa"/>
        <w:jc w:val="left"/>
        <w:tblInd w:w="0" w:type="dxa"/>
        <w:tblLayout w:type="fixed"/>
        <w:tblCellMar>
          <w:top w:w="0" w:type="dxa"/>
          <w:left w:w="0" w:type="dxa"/>
          <w:bottom w:w="0" w:type="dxa"/>
          <w:right w:w="0" w:type="dxa"/>
        </w:tblCellMar>
      </w:tblPr>
      <w:tblGrid>
        <w:gridCol w:w="860"/>
        <w:gridCol w:w="4160"/>
      </w:tblGrid>
      <w:tr>
        <w:trPr/>
        <w:tc>
          <w:tcPr>
            <w:tcW w:w="860"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7</w:t>
            </w:r>
            <w:r>
              <w:rPr>
                <w:rFonts w:ascii="Times New Roman" w:hAnsi="Times New Roman"/>
                <w:b/>
                <w:color w:val="000000"/>
                <w:sz w:val="20"/>
              </w:rPr>
              <w:t>:-</w:t>
            </w:r>
          </w:p>
        </w:tc>
        <w:tc>
          <w:tcPr>
            <w:tcW w:w="41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GOODWILL AND INTANGIBLE</w:t>
            </w:r>
            <w:r>
              <w:rPr>
                <w:rFonts w:ascii="Times New Roman" w:hAnsi="Times New Roman"/>
                <w:b/>
                <w:color w:val="000000"/>
                <w:sz w:val="20"/>
              </w:rPr>
              <w:t xml:space="preserve"> ASSETS, NET</w:t>
            </w:r>
          </w:p>
        </w:tc>
      </w:tr>
    </w:tbl>
    <w:p>
      <w:pPr>
        <w:pStyle w:val="TextBody"/>
        <w:bidi w:val="0"/>
        <w:spacing w:before="0" w:after="0"/>
        <w:jc w:val="left"/>
        <w:rPr/>
      </w:pPr>
      <w:r>
        <w:rPr/>
      </w:r>
    </w:p>
    <w:p>
      <w:pPr>
        <w:pStyle w:val="TextBody"/>
        <w:bidi w:val="0"/>
        <w:spacing w:before="0" w:after="0"/>
        <w:ind w:left="1170" w:right="0" w:hanging="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Goodwill</w:t>
      </w:r>
    </w:p>
    <w:p>
      <w:pPr>
        <w:pStyle w:val="TextBody"/>
        <w:bidi w:val="0"/>
        <w:spacing w:before="0" w:after="0"/>
        <w:ind w:left="1170" w:right="0" w:hanging="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r>
    </w:p>
    <w:p>
      <w:pPr>
        <w:pStyle w:val="TextBody"/>
        <w:bidi w:val="0"/>
        <w:spacing w:before="0" w:after="0"/>
        <w:ind w:left="117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There was no impairment or additions to goodwill during the three and nine months ended September 30, 2024.</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Intangible Assets, Net</w:t>
      </w:r>
    </w:p>
    <w:p>
      <w:pPr>
        <w:pStyle w:val="TextBody"/>
        <w:bidi w:val="0"/>
        <w:spacing w:before="0" w:after="0"/>
        <w:ind w:left="1170" w:right="0" w:hanging="0"/>
        <w:jc w:val="both"/>
        <w:rPr>
          <w:rFonts w:ascii="Times New Roman" w:hAnsi="Times New Roman"/>
          <w:b/>
          <w:i/>
          <w:sz w:val="20"/>
        </w:rPr>
      </w:pPr>
      <w:r>
        <w:rPr>
          <w:rFonts w:ascii="Times New Roman" w:hAnsi="Times New Roman"/>
          <w:b/>
          <w:i/>
          <w:sz w:val="20"/>
        </w:rPr>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Definite-lived intangible assets, net consist of the following:</w:t>
      </w:r>
    </w:p>
    <w:tbl>
      <w:tblPr>
        <w:tblW w:w="6713" w:type="dxa"/>
        <w:jc w:val="left"/>
        <w:tblInd w:w="1170" w:type="dxa"/>
        <w:tblLayout w:type="fixed"/>
        <w:tblCellMar>
          <w:top w:w="0" w:type="dxa"/>
          <w:left w:w="0" w:type="dxa"/>
          <w:bottom w:w="0" w:type="dxa"/>
          <w:right w:w="0" w:type="dxa"/>
        </w:tblCellMar>
      </w:tblPr>
      <w:tblGrid>
        <w:gridCol w:w="3320"/>
        <w:gridCol w:w="60"/>
        <w:gridCol w:w="148"/>
        <w:gridCol w:w="826"/>
        <w:gridCol w:w="60"/>
        <w:gridCol w:w="60"/>
        <w:gridCol w:w="170"/>
        <w:gridCol w:w="1030"/>
        <w:gridCol w:w="80"/>
        <w:gridCol w:w="60"/>
        <w:gridCol w:w="146"/>
        <w:gridCol w:w="693"/>
        <w:gridCol w:w="60"/>
      </w:tblGrid>
      <w:tr>
        <w:trPr/>
        <w:tc>
          <w:tcPr>
            <w:tcW w:w="3320" w:type="dxa"/>
            <w:tcBorders/>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September 30, 2024</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Gross Fair</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Net Book</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Merchant/Network affiliate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sz w:val="20"/>
              </w:rPr>
            </w:pPr>
            <w:r>
              <w:rPr>
                <w:sz w:val="20"/>
              </w:rPr>
              <w:t>$</w:t>
            </w:r>
          </w:p>
        </w:tc>
        <w:tc>
          <w:tcPr>
            <w:tcW w:w="826" w:type="dxa"/>
            <w:tcBorders/>
            <w:shd w:fill="CCEEFF" w:val="clear"/>
            <w:vAlign w:val="bottom"/>
          </w:tcPr>
          <w:p>
            <w:pPr>
              <w:pStyle w:val="TableContents"/>
              <w:bidi w:val="0"/>
              <w:spacing w:before="0" w:after="283"/>
              <w:jc w:val="right"/>
              <w:rPr>
                <w:sz w:val="20"/>
              </w:rPr>
            </w:pPr>
            <w:r>
              <w:rPr>
                <w:sz w:val="20"/>
              </w:rPr>
              <w:t>146,547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sz w:val="20"/>
              </w:rPr>
            </w:pPr>
            <w:r>
              <w:rPr>
                <w:sz w:val="20"/>
              </w:rPr>
              <w:t>$</w:t>
            </w:r>
          </w:p>
        </w:tc>
        <w:tc>
          <w:tcPr>
            <w:tcW w:w="1030" w:type="dxa"/>
            <w:tcBorders/>
            <w:shd w:fill="CCEEFF" w:val="clear"/>
            <w:vAlign w:val="bottom"/>
          </w:tcPr>
          <w:p>
            <w:pPr>
              <w:pStyle w:val="TableContents"/>
              <w:bidi w:val="0"/>
              <w:spacing w:before="0" w:after="283"/>
              <w:jc w:val="right"/>
              <w:rPr>
                <w:sz w:val="20"/>
              </w:rPr>
            </w:pPr>
            <w:r>
              <w:rPr>
                <w:sz w:val="20"/>
              </w:rPr>
              <w:t>(100,412</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sz w:val="20"/>
              </w:rPr>
            </w:pPr>
            <w:r>
              <w:rPr>
                <w:sz w:val="20"/>
              </w:rPr>
              <w:t>$</w:t>
            </w:r>
          </w:p>
        </w:tc>
        <w:tc>
          <w:tcPr>
            <w:tcW w:w="693" w:type="dxa"/>
            <w:tcBorders/>
            <w:shd w:fill="CCEEFF" w:val="clear"/>
            <w:vAlign w:val="bottom"/>
          </w:tcPr>
          <w:p>
            <w:pPr>
              <w:pStyle w:val="TableContents"/>
              <w:bidi w:val="0"/>
              <w:spacing w:before="0" w:after="283"/>
              <w:jc w:val="right"/>
              <w:rPr>
                <w:sz w:val="20"/>
              </w:rPr>
            </w:pPr>
            <w:r>
              <w:rPr>
                <w:sz w:val="20"/>
              </w:rPr>
              <w:t>46,135</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Technology</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sz w:val="20"/>
              </w:rPr>
            </w:pPr>
            <w:r>
              <w:rPr>
                <w:sz w:val="20"/>
              </w:rPr>
              <w:t>74,193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sz w:val="20"/>
              </w:rPr>
            </w:pPr>
            <w:r>
              <w:rPr>
                <w:sz w:val="20"/>
              </w:rPr>
              <w:t>(52,162</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sz w:val="20"/>
              </w:rPr>
            </w:pPr>
            <w:r>
              <w:rPr>
                <w:sz w:val="20"/>
              </w:rPr>
              <w:t>22,031</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Publisher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sz w:val="20"/>
              </w:rPr>
            </w:pPr>
            <w:r>
              <w:rPr>
                <w:sz w:val="20"/>
              </w:rPr>
              <w:t>42,933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sz w:val="20"/>
              </w:rPr>
            </w:pPr>
            <w:r>
              <w:rPr>
                <w:sz w:val="20"/>
              </w:rPr>
              <w:t>(33,094</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sz w:val="20"/>
              </w:rPr>
            </w:pPr>
            <w:r>
              <w:rPr>
                <w:sz w:val="20"/>
              </w:rPr>
              <w:t>9,839</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Tradenames</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sz w:val="20"/>
              </w:rPr>
            </w:pPr>
            <w:r>
              <w:rPr>
                <w:sz w:val="20"/>
              </w:rPr>
              <w:t>24,097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sz w:val="20"/>
              </w:rPr>
            </w:pPr>
            <w:r>
              <w:rPr>
                <w:sz w:val="20"/>
              </w:rPr>
              <w:t>(24,097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relationship</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13,146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(12,666</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480</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(unaudited)</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826"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300,916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103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(222,431</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693" w:type="dxa"/>
            <w:tcBorders>
              <w:bottom w:val="single" w:sz="12" w:space="0" w:color="000000"/>
            </w:tcBorders>
            <w:tcMar>
              <w:bottom w:w="28" w:type="dxa"/>
            </w:tcMar>
            <w:vAlign w:val="bottom"/>
          </w:tcPr>
          <w:p>
            <w:pPr>
              <w:pStyle w:val="TableContents"/>
              <w:bidi w:val="0"/>
              <w:spacing w:before="0" w:after="283"/>
              <w:jc w:val="right"/>
              <w:rPr>
                <w:sz w:val="20"/>
              </w:rPr>
            </w:pPr>
            <w:r>
              <w:rPr>
                <w:sz w:val="20"/>
              </w:rPr>
              <w:t>78,485</w:t>
            </w:r>
          </w:p>
        </w:tc>
        <w:tc>
          <w:tcPr>
            <w:tcW w:w="60" w:type="dxa"/>
            <w:tcBorders/>
            <w:vAlign w:val="bottom"/>
          </w:tcPr>
          <w:p>
            <w:pPr>
              <w:pStyle w:val="TableContents"/>
              <w:bidi w:val="0"/>
              <w:spacing w:before="0" w:after="283"/>
              <w:jc w:val="left"/>
              <w:rPr/>
            </w:pPr>
            <w:r>
              <w:rPr/>
              <w:t> </w:t>
            </w:r>
          </w:p>
        </w:tc>
      </w:tr>
    </w:tbl>
    <w:tbl>
      <w:tblPr>
        <w:tblW w:w="6713" w:type="dxa"/>
        <w:jc w:val="left"/>
        <w:tblInd w:w="1170" w:type="dxa"/>
        <w:tblLayout w:type="fixed"/>
        <w:tblCellMar>
          <w:top w:w="0" w:type="dxa"/>
          <w:left w:w="0" w:type="dxa"/>
          <w:bottom w:w="0" w:type="dxa"/>
          <w:right w:w="0" w:type="dxa"/>
        </w:tblCellMar>
      </w:tblPr>
      <w:tblGrid>
        <w:gridCol w:w="3320"/>
        <w:gridCol w:w="60"/>
        <w:gridCol w:w="148"/>
        <w:gridCol w:w="826"/>
        <w:gridCol w:w="60"/>
        <w:gridCol w:w="60"/>
        <w:gridCol w:w="170"/>
        <w:gridCol w:w="1030"/>
        <w:gridCol w:w="80"/>
        <w:gridCol w:w="60"/>
        <w:gridCol w:w="128"/>
        <w:gridCol w:w="711"/>
        <w:gridCol w:w="60"/>
      </w:tblGrid>
      <w:tr>
        <w:trPr/>
        <w:tc>
          <w:tcPr>
            <w:tcW w:w="332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December 31, 2023</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Gross Fair</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Net Book</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Merchant/Network affiliate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(75,987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70,560</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Technology</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(43,535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30,658</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Publisher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(25,044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17,889</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Tradenames</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(18,739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5,358</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(12,353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793</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300,916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(175,658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125,258</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- 17 -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5635" w:type="dxa"/>
        <w:jc w:val="left"/>
        <w:tblInd w:w="0" w:type="dxa"/>
        <w:tblLayout w:type="fixed"/>
        <w:tblCellMar>
          <w:top w:w="0" w:type="dxa"/>
          <w:left w:w="0" w:type="dxa"/>
          <w:bottom w:w="0" w:type="dxa"/>
          <w:right w:w="0" w:type="dxa"/>
        </w:tblCellMar>
      </w:tblPr>
      <w:tblGrid>
        <w:gridCol w:w="860"/>
        <w:gridCol w:w="4775"/>
      </w:tblGrid>
      <w:tr>
        <w:trPr/>
        <w:tc>
          <w:tcPr>
            <w:tcW w:w="860"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7</w:t>
            </w:r>
            <w:r>
              <w:rPr>
                <w:rFonts w:ascii="Times New Roman" w:hAnsi="Times New Roman"/>
                <w:b/>
                <w:color w:val="000000"/>
                <w:sz w:val="20"/>
              </w:rPr>
              <w:t>:-</w:t>
            </w:r>
          </w:p>
        </w:tc>
        <w:tc>
          <w:tcPr>
            <w:tcW w:w="477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GOODWILL AND INTANGIBLE</w:t>
            </w:r>
            <w:r>
              <w:rPr>
                <w:rFonts w:ascii="Times New Roman" w:hAnsi="Times New Roman"/>
                <w:b/>
                <w:color w:val="000000"/>
                <w:sz w:val="20"/>
              </w:rPr>
              <w:t xml:space="preserve"> ASSETS, NET (Cont.)</w:t>
            </w:r>
          </w:p>
        </w:tc>
      </w:tr>
    </w:tbl>
    <w:p>
      <w:pPr>
        <w:pStyle w:val="TextBody"/>
        <w:bidi w:val="0"/>
        <w:spacing w:before="0" w:after="0"/>
        <w:jc w:val="left"/>
        <w:rPr/>
      </w:pPr>
      <w:r>
        <w:rPr/>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Amortization expenses for intangible assets were $15,080 and $15,980, for the three months ended September 30, 2024 and 2023, respectively, and $46,773 and $47,911, for the nine months ended September 30, 2024 and 2023, respectively.</w:t>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estimated future amortization expense of definite-lived intangible assets as of September 30, 2024, is as follows (unaudited):</w:t>
      </w:r>
    </w:p>
    <w:tbl>
      <w:tblPr>
        <w:tblW w:w="3135" w:type="dxa"/>
        <w:jc w:val="left"/>
        <w:tblInd w:w="1170" w:type="dxa"/>
        <w:tblLayout w:type="fixed"/>
        <w:tblCellMar>
          <w:top w:w="0" w:type="dxa"/>
          <w:left w:w="0" w:type="dxa"/>
          <w:bottom w:w="0" w:type="dxa"/>
          <w:right w:w="0" w:type="dxa"/>
        </w:tblCellMar>
      </w:tblPr>
      <w:tblGrid>
        <w:gridCol w:w="2300"/>
        <w:gridCol w:w="60"/>
        <w:gridCol w:w="125"/>
        <w:gridCol w:w="590"/>
        <w:gridCol w:w="60"/>
      </w:tblGrid>
      <w:tr>
        <w:trPr/>
        <w:tc>
          <w:tcPr>
            <w:tcW w:w="230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Year Ending December 31,</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2024 (Remainder)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13,745</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2025</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51,407</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2026</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13,244</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2027</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78,485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tbl>
      <w:tblPr>
        <w:tblW w:w="3685" w:type="dxa"/>
        <w:jc w:val="left"/>
        <w:tblInd w:w="0" w:type="dxa"/>
        <w:tblLayout w:type="fixed"/>
        <w:tblCellMar>
          <w:top w:w="0" w:type="dxa"/>
          <w:left w:w="0" w:type="dxa"/>
          <w:bottom w:w="0" w:type="dxa"/>
          <w:right w:w="0" w:type="dxa"/>
        </w:tblCellMar>
      </w:tblPr>
      <w:tblGrid>
        <w:gridCol w:w="860"/>
        <w:gridCol w:w="2825"/>
      </w:tblGrid>
      <w:tr>
        <w:trPr/>
        <w:tc>
          <w:tcPr>
            <w:tcW w:w="860" w:type="dxa"/>
            <w:tcBorders/>
            <w:vAlign w:val="center"/>
          </w:tcPr>
          <w:p>
            <w:pPr>
              <w:pStyle w:val="TableContents"/>
              <w:bidi w:val="0"/>
              <w:spacing w:before="0" w:after="283"/>
              <w:jc w:val="left"/>
              <w:rPr>
                <w:b/>
                <w:sz w:val="20"/>
              </w:rPr>
            </w:pPr>
            <w:r>
              <w:rPr>
                <w:b/>
                <w:sz w:val="20"/>
              </w:rPr>
              <w:t>NOTE 8:-</w:t>
            </w:r>
          </w:p>
        </w:tc>
        <w:tc>
          <w:tcPr>
            <w:tcW w:w="2825" w:type="dxa"/>
            <w:tcBorders/>
            <w:vAlign w:val="center"/>
          </w:tcPr>
          <w:p>
            <w:pPr>
              <w:pStyle w:val="TableContents"/>
              <w:bidi w:val="0"/>
              <w:spacing w:before="0" w:after="0"/>
              <w:jc w:val="both"/>
              <w:rPr>
                <w:b/>
                <w:sz w:val="20"/>
              </w:rPr>
            </w:pPr>
            <w:r>
              <w:rPr>
                <w:b/>
                <w:sz w:val="20"/>
              </w:rPr>
              <w:t>FINANCING ARRANGEMENTS</w:t>
            </w:r>
          </w:p>
        </w:tc>
      </w:tr>
    </w:tbl>
    <w:p>
      <w:pPr>
        <w:pStyle w:val="TextBody"/>
        <w:bidi w:val="0"/>
        <w:spacing w:before="200" w:after="200"/>
        <w:ind w:left="114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Long-term loan</w:t>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Facility was fully drawn at closing, net of issuance expenses of $11,250, and the proceeds were used by the Company to finance a portion of the Connexity Acquisition.</w:t>
      </w:r>
    </w:p>
    <w:p>
      <w:pPr>
        <w:pStyle w:val="TextBody"/>
        <w:bidi w:val="0"/>
        <w:spacing w:before="0" w:after="0"/>
        <w:ind w:left="1134" w:right="0" w:hanging="0"/>
        <w:jc w:val="both"/>
        <w:rPr>
          <w:rFonts w:ascii="Times New Roman" w:hAnsi="Times New Roman"/>
          <w:sz w:val="20"/>
        </w:rPr>
      </w:pPr>
      <w:r>
        <w:rPr>
          <w:rFonts w:ascii="Times New Roman" w:hAnsi="Times New Roman"/>
          <w:sz w:val="20"/>
        </w:rPr>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Facility is subject to customary borrowing conditions. In accordance with the terms of the Credit Agreement, the Credit Agreement was amended on June 12, 2023, to replace LIBOR with SOFR and accordingly the Facility bears interest at a variable annual rate based on Term SOFR or Base Rate plus a fixed margin. The Facility will mature on the seventh anniversary of the closing date with the remaining principal amount due at maturity. Due to the Company’s voluntary prepayments, the Company has satisfied in full and has no remaining obligations to make quarterly amortization payments under the Facility at a rate of 1.00% per annum. The Facility is mandatorily prepayable with a portion of the net cash proceeds of certain dispositions of assets, a portion of Taboola’s excess cash flow and the proceeds of incurrences of indebtedness not permitted under the Credit Agreement. </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Credit Agreement also contains customary representations, covenants and events of default. Failure to meet the covenants beyond applicable grace periods could result in acceleration of outstanding borrowings and/or termination of the Facility. As of September 30, 2024, the Company was in compliance with the Facility covenants.</w:t>
        <w:br/>
        <w:br/>
        <w:t xml:space="preserve">As of September 30, 2024, the Company’s outstanding principal amount of debt under the Credit Agreement was $152,735. </w:t>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shares of subsidiaries, subject to certain exceptions set forth in the Credit Agreement. </w:t>
      </w:r>
    </w:p>
    <w:p>
      <w:pPr>
        <w:pStyle w:val="TextBody"/>
        <w:bidi w:val="0"/>
        <w:spacing w:before="0" w:after="0"/>
        <w:ind w:left="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- 18 -</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tbl>
      <w:tblPr>
        <w:tblW w:w="4300" w:type="dxa"/>
        <w:jc w:val="left"/>
        <w:tblInd w:w="0" w:type="dxa"/>
        <w:tblLayout w:type="fixed"/>
        <w:tblCellMar>
          <w:top w:w="0" w:type="dxa"/>
          <w:left w:w="0" w:type="dxa"/>
          <w:bottom w:w="0" w:type="dxa"/>
          <w:right w:w="0" w:type="dxa"/>
        </w:tblCellMar>
      </w:tblPr>
      <w:tblGrid>
        <w:gridCol w:w="860"/>
        <w:gridCol w:w="3440"/>
      </w:tblGrid>
      <w:tr>
        <w:trPr/>
        <w:tc>
          <w:tcPr>
            <w:tcW w:w="860" w:type="dxa"/>
            <w:tcBorders/>
            <w:vAlign w:val="center"/>
          </w:tcPr>
          <w:p>
            <w:pPr>
              <w:pStyle w:val="TableContents"/>
              <w:bidi w:val="0"/>
              <w:spacing w:before="0" w:after="283"/>
              <w:jc w:val="left"/>
              <w:rPr>
                <w:b/>
                <w:sz w:val="20"/>
              </w:rPr>
            </w:pPr>
            <w:r>
              <w:rPr>
                <w:b/>
                <w:sz w:val="20"/>
              </w:rPr>
              <w:t>NOTE 8:-</w:t>
            </w:r>
          </w:p>
        </w:tc>
        <w:tc>
          <w:tcPr>
            <w:tcW w:w="3440" w:type="dxa"/>
            <w:tcBorders/>
            <w:vAlign w:val="center"/>
          </w:tcPr>
          <w:p>
            <w:pPr>
              <w:pStyle w:val="TableContents"/>
              <w:bidi w:val="0"/>
              <w:spacing w:before="0" w:after="0"/>
              <w:jc w:val="both"/>
              <w:rPr>
                <w:b/>
                <w:sz w:val="20"/>
              </w:rPr>
            </w:pPr>
            <w:r>
              <w:rPr>
                <w:b/>
                <w:sz w:val="20"/>
              </w:rPr>
              <w:t>FINANCING ARRANGEMENTS (Cont.)</w:t>
            </w:r>
          </w:p>
        </w:tc>
      </w:tr>
    </w:tbl>
    <w:p>
      <w:pPr>
        <w:pStyle w:val="TextBody"/>
        <w:bidi w:val="0"/>
        <w:spacing w:before="0" w:after="0"/>
        <w:jc w:val="both"/>
        <w:rPr/>
      </w:pPr>
      <w:r>
        <w:rPr/>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total interest expenses, including issuance costs amortization, recognized in connection with the long-term loan were $3,971 and $5,141, for the three months ended September 30, 2024 and 2023, respectively, and $11,879 and $15,641, for the nine months ended September 30, 2024 and 2023, respectively. The long-term loan interest and issuance costs amortization, included as interest expenses, are recognized through the remaining term of the Credit agreement using the effective interest rate. </w:t>
        <w:br/>
        <w:br/>
      </w:r>
      <w:r>
        <w:rPr>
          <w:rFonts w:ascii="Times New Roman" w:hAnsi="Times New Roman"/>
          <w:b/>
          <w:i/>
          <w:color w:val="000000"/>
          <w:sz w:val="20"/>
          <w:shd w:fill="FFFFFF" w:val="clear"/>
        </w:rPr>
        <w:t>Revolving Credit Agreement</w:t>
        <w:br/>
        <w:br/>
      </w:r>
      <w:r>
        <w:rPr>
          <w:rFonts w:ascii="Times New Roman" w:hAnsi="Times New Roman"/>
          <w:color w:val="000000"/>
          <w:sz w:val="20"/>
          <w:shd w:fill="FFFFFF" w:val="clear"/>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pStyle w:val="TextBody"/>
        <w:bidi w:val="0"/>
        <w:spacing w:before="20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Revolving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pStyle w:val="TextBody"/>
        <w:bidi w:val="0"/>
        <w:spacing w:before="0" w:after="0"/>
        <w:ind w:left="1134" w:right="0" w:hanging="0"/>
        <w:jc w:val="both"/>
        <w:rPr>
          <w:rFonts w:ascii="Times New Roman" w:hAnsi="Times New Roman"/>
          <w:sz w:val="20"/>
        </w:rPr>
      </w:pPr>
      <w:r>
        <w:rPr>
          <w:rFonts w:ascii="Times New Roman" w:hAnsi="Times New Roman"/>
          <w:sz w:val="20"/>
        </w:rPr>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the Company was in compliance with the financial covenants and had no outstanding borrowings under the Revolving Credit Agreement.</w:t>
      </w:r>
    </w:p>
    <w:p>
      <w:pPr>
        <w:pStyle w:val="TextBody"/>
        <w:bidi w:val="0"/>
        <w:spacing w:before="22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and December 31, 2023, deferred financing costs associated with entering into the Revolving Credit Agreement in the total amount of $717 and $893, respectively, were included in short-term and long-term prepaid expenses in the Company’s consolidated balance sheets.</w:t>
      </w:r>
    </w:p>
    <w:p>
      <w:pPr>
        <w:pStyle w:val="TextBody"/>
        <w:bidi w:val="0"/>
        <w:spacing w:before="20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deferred financing costs are amortized on a straight-line basis over the term of the Revolving Credit Agreement. Deferred financing costs amortization amounted to $61 and $63, for the three months ended September 30, 2024 and 2023, respectively, and $176 and $190, for the nine months ended September 30, 2024 and 2023, respectively.</w:t>
      </w:r>
    </w:p>
    <w:p>
      <w:pPr>
        <w:pStyle w:val="TextBody"/>
        <w:bidi w:val="0"/>
        <w:spacing w:before="0" w:after="0"/>
        <w:ind w:left="1134" w:right="0" w:hanging="0"/>
        <w:jc w:val="both"/>
        <w:rPr>
          <w:rFonts w:ascii="Times New Roman" w:hAnsi="Times New Roman"/>
          <w:sz w:val="20"/>
        </w:rPr>
      </w:pPr>
      <w:r>
        <w:rPr>
          <w:rFonts w:ascii="Times New Roman" w:hAnsi="Times New Roman"/>
          <w:sz w:val="20"/>
        </w:rPr>
      </w:r>
    </w:p>
    <w:tbl>
      <w:tblPr>
        <w:tblW w:w="6340" w:type="dxa"/>
        <w:jc w:val="left"/>
        <w:tblInd w:w="0" w:type="dxa"/>
        <w:tblLayout w:type="fixed"/>
        <w:tblCellMar>
          <w:top w:w="0" w:type="dxa"/>
          <w:left w:w="0" w:type="dxa"/>
          <w:bottom w:w="0" w:type="dxa"/>
          <w:right w:w="0" w:type="dxa"/>
        </w:tblCellMar>
      </w:tblPr>
      <w:tblGrid>
        <w:gridCol w:w="860"/>
        <w:gridCol w:w="548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9:-</w:t>
            </w:r>
          </w:p>
        </w:tc>
        <w:tc>
          <w:tcPr>
            <w:tcW w:w="54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w:t>
            </w:r>
          </w:p>
        </w:tc>
      </w:tr>
    </w:tbl>
    <w:p>
      <w:pPr>
        <w:pStyle w:val="TextBody"/>
        <w:bidi w:val="0"/>
        <w:spacing w:before="240" w:after="24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Capital</w:t>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- 19 -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6955" w:type="dxa"/>
        <w:jc w:val="left"/>
        <w:tblInd w:w="0" w:type="dxa"/>
        <w:tblLayout w:type="fixed"/>
        <w:tblCellMar>
          <w:top w:w="0" w:type="dxa"/>
          <w:left w:w="0" w:type="dxa"/>
          <w:bottom w:w="0" w:type="dxa"/>
          <w:right w:w="0" w:type="dxa"/>
        </w:tblCellMar>
      </w:tblPr>
      <w:tblGrid>
        <w:gridCol w:w="860"/>
        <w:gridCol w:w="6095"/>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9:-</w:t>
            </w:r>
          </w:p>
        </w:tc>
        <w:tc>
          <w:tcPr>
            <w:tcW w:w="60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 (Cont.)</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Company’s Articles, the Non-voting Ordinary shares will have rights identical to the rights of Ordinary shares as described above (see Note 1b).</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Buyback Program</w:t>
      </w:r>
    </w:p>
    <w:p>
      <w:pPr>
        <w:pStyle w:val="TextBody"/>
        <w:bidi w:val="0"/>
        <w:spacing w:before="0" w:after="0"/>
        <w:ind w:left="1170" w:right="0" w:hanging="0"/>
        <w:jc w:val="both"/>
        <w:rPr>
          <w:b/>
          <w:i/>
          <w:color w:val="000000"/>
        </w:rPr>
      </w:pPr>
      <w:r>
        <w:rPr>
          <w:b/>
          <w:i/>
          <w:color w:val="00000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board of directors authorized a share buyback program of the Company’s outstanding Ordinary shares, which commenced in June 2023 and does not have an expiration date (the “Buyback Program”). In 2023, the Company’s board of directors authorized up to $80,000 of buybacks under the Buyback Program. In February 2024, the Company’s board of directors authorized up to $100,000 for use under the Buyback Program, including any remaining authority from the 2023 board of directors authorization, subject to satisfying required conditions under the Israeli Companies Law and the Companies Regulations (Reliefs for Corporations, Whose Securities Are Listed on Foreign Stock Exchanges) - 2000. As permitted by the Buyback Program, share repurchases may be made from time to time, in privately negotiated transactions or in the open market, including through trading plans, at the discretion of the Company’s management and as permitted by securities laws and other legal requirements.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nine months ended September 30, 2024, the Company repurchased 15,484,880 of its shares, consisting of 14,496,584 Ordinary shares, and 988,296 Non-voting Ordinary shares (see Note 12) at an average price of $4.14 per share (excluding broker and transaction fees of $362). As of September 30, 2024, the Company had remaining authorization under the Buyback Program to repurchase Ordinary shares up to an aggregate amount of $55,579, subject to satisfying required conditions under the Companies Law and Companies Regulations.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Incentive Plans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55" w:type="dxa"/>
            <w:tcBorders/>
            <w:vAlign w:val="center"/>
          </w:tcPr>
          <w:p>
            <w:pPr>
              <w:pStyle w:val="TableContents"/>
              <w:bidi w:val="0"/>
              <w:spacing w:before="0" w:after="283"/>
              <w:jc w:val="left"/>
              <w:rPr/>
            </w:pPr>
            <w:r>
              <w:rPr>
                <w:rFonts w:ascii="Times New Roman" w:hAnsi="Times New Roman"/>
                <w:sz w:val="20"/>
              </w:rPr>
              <w:t>a</w:t>
            </w:r>
            <w:r>
              <w:rPr>
                <w:rFonts w:ascii="Times New Roman" w:hAnsi="Times New Roman"/>
                <w:color w:val="000000"/>
                <w:sz w:val="20"/>
              </w:rPr>
              <w:t>.</w:t>
            </w:r>
          </w:p>
        </w:tc>
        <w:tc>
          <w:tcPr>
            <w:tcW w:w="10012"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 addition to the Buyback Program detailed above, the Company utilizes a net issuance mechanism to satisfy tax withholding obligations related to equity-based compensation on behalf of its directors, officers and other employees (the “Net Issuances”). In April 2024, the Company satisfied the required conditions, as set forth in the Israeli Companies Law and the Companies Regulations, to conduct future repurchases of its Ordinary shares under the Buyback Program and Net Issuances in an aggregate amount up to $100,000, which amount was partly utilized under the Company’s previous Israeli court authorization. The Company’s board of directors have the authority to determine the amount to be utilized for Net Issuances and Ordinary share repurchases.</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nine months ended September 30, 2024 and 2023, the Company utilized the net issuance mechanism in connection with equity-based compensation for certain Office Holders, which resulted in a tax withholding payment by the Company of $2,396 and $3,213, respectively, which were recorded as a reduction of additional paid-in capital.</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ind w:left="0" w:right="0" w:hanging="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- 20 -</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tbl>
      <w:tblPr>
        <w:tblW w:w="6955" w:type="dxa"/>
        <w:jc w:val="left"/>
        <w:tblInd w:w="0" w:type="dxa"/>
        <w:tblLayout w:type="fixed"/>
        <w:tblCellMar>
          <w:top w:w="0" w:type="dxa"/>
          <w:left w:w="0" w:type="dxa"/>
          <w:bottom w:w="0" w:type="dxa"/>
          <w:right w:w="0" w:type="dxa"/>
        </w:tblCellMar>
      </w:tblPr>
      <w:tblGrid>
        <w:gridCol w:w="860"/>
        <w:gridCol w:w="6095"/>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9:-</w:t>
            </w:r>
          </w:p>
        </w:tc>
        <w:tc>
          <w:tcPr>
            <w:tcW w:w="60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 (Cont.)</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sz w:val="20"/>
              </w:rPr>
            </w:pPr>
            <w:r>
              <w:rPr>
                <w:rFonts w:ascii="Times New Roman" w:hAnsi="Times New Roman"/>
                <w:color w:val="000000"/>
                <w:sz w:val="20"/>
              </w:rPr>
              <w:t>The following is a summary of share option activity and related information for the nine</w:t>
            </w:r>
            <w:r>
              <w:rPr>
                <w:sz w:val="20"/>
              </w:rPr>
              <w:t xml:space="preserve"> </w:t>
            </w:r>
            <w:r>
              <w:rPr>
                <w:rFonts w:ascii="Times New Roman" w:hAnsi="Times New Roman"/>
                <w:sz w:val="20"/>
              </w:rPr>
              <w:t>months ended September 30, 2024</w:t>
            </w:r>
            <w:r>
              <w:rPr>
                <w:rFonts w:ascii="Times New Roman" w:hAnsi="Times New Roman"/>
                <w:color w:val="000000"/>
                <w:sz w:val="20"/>
              </w:rPr>
              <w:t xml:space="preserve"> (including employees, directors, officers and consultants of the Company):</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456" w:type="dxa"/>
        <w:jc w:val="left"/>
        <w:tblInd w:w="1170" w:type="dxa"/>
        <w:tblLayout w:type="fixed"/>
        <w:tblCellMar>
          <w:top w:w="0" w:type="dxa"/>
          <w:left w:w="0" w:type="dxa"/>
          <w:bottom w:w="0" w:type="dxa"/>
          <w:right w:w="0" w:type="dxa"/>
        </w:tblCellMar>
      </w:tblPr>
      <w:tblGrid>
        <w:gridCol w:w="4040"/>
        <w:gridCol w:w="60"/>
        <w:gridCol w:w="65"/>
        <w:gridCol w:w="1034"/>
        <w:gridCol w:w="80"/>
        <w:gridCol w:w="60"/>
        <w:gridCol w:w="215"/>
        <w:gridCol w:w="659"/>
        <w:gridCol w:w="60"/>
        <w:gridCol w:w="60"/>
        <w:gridCol w:w="141"/>
        <w:gridCol w:w="898"/>
        <w:gridCol w:w="60"/>
        <w:gridCol w:w="60"/>
        <w:gridCol w:w="157"/>
        <w:gridCol w:w="747"/>
        <w:gridCol w:w="60"/>
      </w:tblGrid>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Outstanding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Share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Options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Weighted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Exercise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Remaining</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Contractual</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Life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Aggregate</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Intrinsic</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22" w:right="0" w:hanging="22"/>
              <w:jc w:val="left"/>
              <w:rPr>
                <w:rFonts w:ascii="Times New Roman" w:hAnsi="Times New Roman"/>
                <w:color w:val="000000"/>
                <w:sz w:val="20"/>
              </w:rPr>
            </w:pPr>
            <w:r>
              <w:rPr>
                <w:rFonts w:ascii="Times New Roman" w:hAnsi="Times New Roman"/>
                <w:color w:val="000000"/>
                <w:sz w:val="20"/>
              </w:rPr>
              <w:t>Balance as of January 1, 2024</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29,291,285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57,118</w:t>
            </w:r>
          </w:p>
        </w:tc>
        <w:tc>
          <w:tcPr>
            <w:tcW w:w="6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Exercised</w:t>
            </w:r>
          </w:p>
        </w:tc>
        <w:tc>
          <w:tcPr>
            <w:tcW w:w="6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(2,808,002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r>
          </w:p>
        </w:tc>
        <w:tc>
          <w:tcPr>
            <w:tcW w:w="7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5,787</w:t>
            </w:r>
          </w:p>
        </w:tc>
        <w:tc>
          <w:tcPr>
            <w:tcW w:w="6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Forfeited</w:t>
            </w:r>
          </w:p>
        </w:tc>
        <w:tc>
          <w:tcPr>
            <w:tcW w:w="60" w:type="dxa"/>
            <w:tcBorders/>
            <w:shd w:fill="CCEEFF" w:val="clear"/>
            <w:vAlign w:val="bottom"/>
          </w:tcPr>
          <w:p>
            <w:pPr>
              <w:pStyle w:val="TableContents"/>
              <w:bidi w:val="0"/>
              <w:spacing w:before="0" w:after="283"/>
              <w:jc w:val="righ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(516,515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September 30, 2024 (unaudited)</w:t>
            </w:r>
          </w:p>
        </w:tc>
        <w:tc>
          <w:tcPr>
            <w:tcW w:w="60" w:type="dxa"/>
            <w:tcBorders/>
            <w:vAlign w:val="bottom"/>
          </w:tcPr>
          <w:p>
            <w:pPr>
              <w:pStyle w:val="TableContents"/>
              <w:bidi w:val="0"/>
              <w:spacing w:before="0" w:after="283"/>
              <w:jc w:val="righ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25,966,768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6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3.48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4.93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747" w:type="dxa"/>
            <w:tcBorders/>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32,179</w:t>
            </w:r>
          </w:p>
        </w:tc>
        <w:tc>
          <w:tcPr>
            <w:tcW w:w="6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Exercisable as of September 30, 2024 (unaudited)</w:t>
            </w:r>
          </w:p>
        </w:tc>
        <w:tc>
          <w:tcPr>
            <w:tcW w:w="60" w:type="dxa"/>
            <w:tcBorders/>
            <w:shd w:fill="CCEEFF" w:val="clear"/>
            <w:vAlign w:val="bottom"/>
          </w:tcPr>
          <w:p>
            <w:pPr>
              <w:pStyle w:val="TableContents"/>
              <w:bidi w:val="0"/>
              <w:spacing w:before="0" w:after="283"/>
              <w:jc w:val="righ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23,291,098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6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747" w:type="dxa"/>
            <w:tcBorders/>
            <w:shd w:fill="CCEEFF" w:val="cle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30,357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nine months ended September 30, 2024, the Company did not grant options.</w:t>
      </w:r>
    </w:p>
    <w:p>
      <w:pPr>
        <w:pStyle w:val="TextBody"/>
        <w:bidi w:val="0"/>
        <w:spacing w:before="0" w:after="0"/>
        <w:ind w:left="1170" w:right="0" w:hanging="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aggregate intrinsic value in the table above represents the total intrinsic value that would have been received by the option holders had all option holders exercised their options on the last date of the period.</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unrecognized share-based compensation cost related to unvested share options was $6,984, which is expected to be recognized over a weighted-average period of 0.93 years.</w:t>
      </w:r>
    </w:p>
    <w:p>
      <w:pPr>
        <w:pStyle w:val="TextBody"/>
        <w:bidi w:val="0"/>
        <w:spacing w:before="0" w:after="0"/>
        <w:ind w:left="1170" w:right="0" w:hanging="0"/>
        <w:jc w:val="both"/>
        <w:rPr>
          <w:rFonts w:ascii="Times New Roman" w:hAnsi="Times New Roman"/>
          <w:color w:val="000000"/>
          <w:sz w:val="20"/>
        </w:rPr>
      </w:pPr>
      <w:r>
        <w:rPr>
          <w:rFonts w:ascii="Times New Roman" w:hAnsi="Times New Roman"/>
          <w:color w:val="000000"/>
          <w:sz w:val="20"/>
        </w:rPr>
      </w:r>
    </w:p>
    <w:tbl>
      <w:tblPr>
        <w:tblW w:w="9918" w:type="dxa"/>
        <w:jc w:val="left"/>
        <w:tblInd w:w="0" w:type="dxa"/>
        <w:tblLayout w:type="fixed"/>
        <w:tblCellMar>
          <w:top w:w="0" w:type="dxa"/>
          <w:left w:w="0" w:type="dxa"/>
          <w:bottom w:w="0" w:type="dxa"/>
          <w:right w:w="0" w:type="dxa"/>
        </w:tblCellMar>
      </w:tblPr>
      <w:tblGrid>
        <w:gridCol w:w="38"/>
        <w:gridCol w:w="155"/>
        <w:gridCol w:w="9725"/>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725" w:type="dxa"/>
            <w:tcBorders/>
            <w:vAlign w:val="center"/>
          </w:tcPr>
          <w:p>
            <w:pPr>
              <w:pStyle w:val="TableContents"/>
              <w:bidi w:val="0"/>
              <w:spacing w:before="0" w:after="0"/>
              <w:jc w:val="both"/>
              <w:rPr>
                <w:sz w:val="20"/>
              </w:rPr>
            </w:pPr>
            <w:r>
              <w:rPr>
                <w:rFonts w:ascii="Times New Roman" w:hAnsi="Times New Roman"/>
                <w:color w:val="000000"/>
                <w:sz w:val="20"/>
              </w:rPr>
              <w:t>The following is a summary of the RSU activity and related information for the nine</w:t>
            </w:r>
            <w:r>
              <w:rPr>
                <w:sz w:val="20"/>
              </w:rPr>
              <w:t xml:space="preserve"> </w:t>
            </w:r>
            <w:r>
              <w:rPr>
                <w:rFonts w:ascii="Times New Roman" w:hAnsi="Times New Roman"/>
                <w:sz w:val="20"/>
              </w:rPr>
              <w:t>months ended September 30</w:t>
            </w:r>
            <w:r>
              <w:rPr>
                <w:rFonts w:ascii="Times New Roman" w:hAnsi="Times New Roman"/>
                <w:color w:val="000000"/>
                <w:sz w:val="20"/>
              </w:rPr>
              <w:t xml:space="preserve">, </w:t>
            </w:r>
            <w:r>
              <w:rPr>
                <w:rFonts w:ascii="Times New Roman" w:hAnsi="Times New Roman"/>
                <w:sz w:val="20"/>
              </w:rPr>
              <w:t>2024</w:t>
            </w: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6998" w:type="dxa"/>
        <w:jc w:val="left"/>
        <w:tblInd w:w="1170" w:type="dxa"/>
        <w:tblLayout w:type="fixed"/>
        <w:tblCellMar>
          <w:top w:w="0" w:type="dxa"/>
          <w:left w:w="0" w:type="dxa"/>
          <w:bottom w:w="0" w:type="dxa"/>
          <w:right w:w="0" w:type="dxa"/>
        </w:tblCellMar>
      </w:tblPr>
      <w:tblGrid>
        <w:gridCol w:w="3755"/>
        <w:gridCol w:w="60"/>
        <w:gridCol w:w="93"/>
        <w:gridCol w:w="1481"/>
        <w:gridCol w:w="80"/>
        <w:gridCol w:w="60"/>
        <w:gridCol w:w="348"/>
        <w:gridCol w:w="1061"/>
        <w:gridCol w:w="60"/>
      </w:tblGrid>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Outstanding</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Restricted Shares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Unit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Weighted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Average Grant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Date Fair Value</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January 1, 2024</w:t>
            </w:r>
          </w:p>
        </w:tc>
        <w:tc>
          <w:tcPr>
            <w:tcW w:w="60"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23,479,308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5.13</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Granted</w:t>
            </w:r>
          </w:p>
        </w:tc>
        <w:tc>
          <w:tcPr>
            <w:tcW w:w="60" w:type="dxa"/>
            <w:tcBorders/>
            <w:vAlign w:val="bottom"/>
          </w:tcPr>
          <w:p>
            <w:pPr>
              <w:pStyle w:val="TableContents"/>
              <w:bidi w:val="0"/>
              <w:spacing w:before="0" w:after="283"/>
              <w:jc w:val="right"/>
              <w:rPr/>
            </w:pPr>
            <w:r>
              <w:rPr/>
              <w:t> </w:t>
            </w:r>
          </w:p>
        </w:tc>
        <w:tc>
          <w:tcPr>
            <w:tcW w:w="93"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13,969,685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Vested (*)</w:t>
            </w:r>
          </w:p>
        </w:tc>
        <w:tc>
          <w:tcPr>
            <w:tcW w:w="60"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(7,488,862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4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Forfeited</w:t>
            </w:r>
          </w:p>
        </w:tc>
        <w:tc>
          <w:tcPr>
            <w:tcW w:w="60" w:type="dxa"/>
            <w:tcBorders/>
            <w:vAlign w:val="bottom"/>
          </w:tcPr>
          <w:p>
            <w:pPr>
              <w:pStyle w:val="TableContents"/>
              <w:bidi w:val="0"/>
              <w:spacing w:before="0" w:after="283"/>
              <w:jc w:val="right"/>
              <w:rPr/>
            </w:pPr>
            <w:r>
              <w:rPr/>
              <w:t> </w:t>
            </w:r>
          </w:p>
        </w:tc>
        <w:tc>
          <w:tcPr>
            <w:tcW w:w="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(1,648,529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September 30, 2024 (unaudited)</w:t>
            </w:r>
          </w:p>
        </w:tc>
        <w:tc>
          <w:tcPr>
            <w:tcW w:w="60" w:type="dxa"/>
            <w:tcBorders/>
            <w:shd w:fill="CCEEFF" w:val="clear"/>
            <w:vAlign w:val="bottom"/>
          </w:tcPr>
          <w:p>
            <w:pPr>
              <w:pStyle w:val="TableContents"/>
              <w:bidi w:val="0"/>
              <w:spacing w:before="0" w:after="283"/>
              <w:jc w:val="righ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28,311,602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w:t>
            </w:r>
          </w:p>
        </w:tc>
        <w:tc>
          <w:tcPr>
            <w:tcW w:w="60" w:type="dxa"/>
            <w:tcBorders/>
            <w:shd w:fill="CCEEFF" w:val="clear"/>
            <w:vAlign w:val="bottom"/>
          </w:tcPr>
          <w:p>
            <w:pPr>
              <w:pStyle w:val="TableContents"/>
              <w:bidi w:val="0"/>
              <w:spacing w:before="0" w:after="283"/>
              <w:jc w:val="left"/>
              <w:rPr/>
            </w:pPr>
            <w:r>
              <w:rPr/>
              <w:t> </w:t>
            </w:r>
          </w:p>
        </w:tc>
      </w:tr>
    </w:tbl>
    <w:tbl>
      <w:tblPr>
        <w:tblW w:w="23" w:type="dxa"/>
        <w:jc w:val="left"/>
        <w:tblInd w:w="1170" w:type="dxa"/>
        <w:tblLayout w:type="fixed"/>
        <w:tblCellMar>
          <w:top w:w="0" w:type="dxa"/>
          <w:left w:w="0" w:type="dxa"/>
          <w:bottom w:w="0" w:type="dxa"/>
          <w:right w:w="0" w:type="dxa"/>
        </w:tblCellMar>
      </w:tblPr>
      <w:tblGrid>
        <w:gridCol w:w="23"/>
      </w:tblGrid>
      <w:tr>
        <w:trPr/>
        <w:tc>
          <w:tcPr>
            <w:tcW w:w="23" w:type="dxa"/>
            <w:tcBorders/>
            <w:vAlign w:val="center"/>
          </w:tcPr>
          <w:p>
            <w:pPr>
              <w:pStyle w:val="HorizontalLine"/>
              <w:pBdr>
                <w:bottom w:val="double" w:sz="2" w:space="0" w:color="808080"/>
              </w:pBdr>
              <w:bidi w:val="0"/>
              <w:spacing w:before="0" w:after="283"/>
              <w:jc w:val="left"/>
              <w:rPr/>
            </w:pPr>
            <w:r>
              <w:rPr/>
            </w:r>
          </w:p>
        </w:tc>
      </w:tr>
    </w:tbl>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A portion of the shares that vested were netted out to satisfy the tax obligations of the recipients. During the nine months ended September 30, 2024, a total of 593,721 RSUs were canceled to satisfy tax obligations, resulting in net issuance of 593,712 Ordinary shares.</w:t>
      </w:r>
    </w:p>
    <w:p>
      <w:pPr>
        <w:pStyle w:val="TextBody"/>
        <w:bidi w:val="0"/>
        <w:spacing w:before="200" w:after="20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total release date fair value of RSUs was $29,971, during the nine months ended September 30, 2024.</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September 30, 2024, unrecognized share-based compensation cost related to unvested RSUs was $118,483, which is expected to be recognized over a weighted-average period of 2.53 years.</w:t>
      </w:r>
    </w:p>
    <w:p>
      <w:pPr>
        <w:pStyle w:val="TextBody"/>
        <w:bidi w:val="0"/>
        <w:spacing w:before="0" w:after="0"/>
        <w:ind w:left="1080" w:right="0" w:firstLine="9"/>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- 21 -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6955" w:type="dxa"/>
        <w:jc w:val="left"/>
        <w:tblInd w:w="0" w:type="dxa"/>
        <w:tblLayout w:type="fixed"/>
        <w:tblCellMar>
          <w:top w:w="0" w:type="dxa"/>
          <w:left w:w="0" w:type="dxa"/>
          <w:bottom w:w="0" w:type="dxa"/>
          <w:right w:w="0" w:type="dxa"/>
        </w:tblCellMar>
      </w:tblPr>
      <w:tblGrid>
        <w:gridCol w:w="860"/>
        <w:gridCol w:w="6095"/>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9:-</w:t>
            </w:r>
          </w:p>
        </w:tc>
        <w:tc>
          <w:tcPr>
            <w:tcW w:w="60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 (Cont.)</w:t>
            </w:r>
          </w:p>
        </w:tc>
      </w:tr>
    </w:tbl>
    <w:p>
      <w:pPr>
        <w:pStyle w:val="TextBody"/>
        <w:bidi w:val="0"/>
        <w:spacing w:before="0" w:after="0"/>
        <w:ind w:left="0" w:right="0" w:hanging="0"/>
        <w:jc w:val="left"/>
        <w:rPr/>
      </w:pPr>
      <w: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total share-based compensation expense related to all of the Company’s share-based awards recognized for the three and nine months ended September 30, 2024 and 2023, was comprised as follows:</w:t>
      </w:r>
    </w:p>
    <w:p>
      <w:pPr>
        <w:pStyle w:val="TextBody"/>
        <w:bidi w:val="0"/>
        <w:spacing w:before="0" w:after="0"/>
        <w:ind w:left="1170" w:right="0" w:hanging="0"/>
        <w:jc w:val="both"/>
        <w:rPr>
          <w:rFonts w:ascii="Times New Roman" w:hAnsi="Times New Roman"/>
          <w:color w:val="000000"/>
          <w:sz w:val="20"/>
        </w:rPr>
      </w:pPr>
      <w:r>
        <w:rPr>
          <w:rFonts w:ascii="Times New Roman" w:hAnsi="Times New Roman"/>
          <w:color w:val="000000"/>
          <w:sz w:val="20"/>
        </w:rPr>
      </w:r>
    </w:p>
    <w:tbl>
      <w:tblPr>
        <w:tblW w:w="7661" w:type="dxa"/>
        <w:jc w:val="left"/>
        <w:tblInd w:w="1170" w:type="dxa"/>
        <w:tblLayout w:type="fixed"/>
        <w:tblCellMar>
          <w:top w:w="0" w:type="dxa"/>
          <w:left w:w="0" w:type="dxa"/>
          <w:bottom w:w="0" w:type="dxa"/>
          <w:right w:w="0" w:type="dxa"/>
        </w:tblCellMar>
      </w:tblPr>
      <w:tblGrid>
        <w:gridCol w:w="3935"/>
        <w:gridCol w:w="60"/>
        <w:gridCol w:w="139"/>
        <w:gridCol w:w="658"/>
        <w:gridCol w:w="66"/>
        <w:gridCol w:w="66"/>
        <w:gridCol w:w="139"/>
        <w:gridCol w:w="658"/>
        <w:gridCol w:w="60"/>
        <w:gridCol w:w="60"/>
        <w:gridCol w:w="140"/>
        <w:gridCol w:w="680"/>
        <w:gridCol w:w="60"/>
        <w:gridCol w:w="60"/>
        <w:gridCol w:w="140"/>
        <w:gridCol w:w="680"/>
        <w:gridCol w:w="60"/>
      </w:tblGrid>
      <w:tr>
        <w:trPr/>
        <w:tc>
          <w:tcPr>
            <w:tcW w:w="3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283"/>
              <w:jc w:val="left"/>
              <w:rPr/>
            </w:pPr>
            <w:r>
              <w:rPr/>
              <w:t>Cost of revenues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933</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999</w:t>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3,082</w:t>
            </w:r>
          </w:p>
        </w:tc>
        <w:tc>
          <w:tcPr>
            <w:tcW w:w="6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Research and development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6,785</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6,256</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18,281</w:t>
            </w:r>
          </w:p>
        </w:tc>
        <w:tc>
          <w:tcPr>
            <w:tcW w:w="6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283"/>
              <w:jc w:val="left"/>
              <w:rPr/>
            </w:pPr>
            <w:r>
              <w:rPr/>
              <w:t>Sales and marketing</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4,671</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4,127</w:t>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13,526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12,813</w:t>
            </w:r>
          </w:p>
        </w:tc>
        <w:tc>
          <w:tcPr>
            <w:tcW w:w="6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General and administrative</w:t>
            </w:r>
          </w:p>
        </w:tc>
        <w:tc>
          <w:tcPr>
            <w:tcW w:w="60"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4,797</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4,869</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15,311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14,692</w:t>
            </w:r>
          </w:p>
        </w:tc>
        <w:tc>
          <w:tcPr>
            <w:tcW w:w="6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283"/>
              <w:jc w:val="left"/>
              <w:rPr/>
            </w:pPr>
            <w:r>
              <w:rPr/>
              <w:t xml:space="preserve">Total share-based compensation expense </w:t>
            </w:r>
          </w:p>
        </w:tc>
        <w:tc>
          <w:tcPr>
            <w:tcW w:w="60" w:type="dxa"/>
            <w:tcBorders/>
            <w:shd w:fill="CCEEFF" w:val="clear"/>
            <w:vAlign w:val="bottom"/>
          </w:tcPr>
          <w:p>
            <w:pPr>
              <w:pStyle w:val="TableContents"/>
              <w:bidi w:val="0"/>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17,186</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16,251</w:t>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51,892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48,868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both"/>
        <w:rPr/>
      </w:pPr>
      <w:r>
        <w:rPr/>
      </w:r>
    </w:p>
    <w:tbl>
      <w:tblPr>
        <w:tblW w:w="2500" w:type="dxa"/>
        <w:jc w:val="left"/>
        <w:tblInd w:w="0" w:type="dxa"/>
        <w:tblLayout w:type="fixed"/>
        <w:tblCellMar>
          <w:top w:w="0" w:type="dxa"/>
          <w:left w:w="0" w:type="dxa"/>
          <w:bottom w:w="0" w:type="dxa"/>
          <w:right w:w="0" w:type="dxa"/>
        </w:tblCellMar>
      </w:tblPr>
      <w:tblGrid>
        <w:gridCol w:w="965"/>
        <w:gridCol w:w="1535"/>
      </w:tblGrid>
      <w:tr>
        <w:trPr/>
        <w:tc>
          <w:tcPr>
            <w:tcW w:w="965"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10</w:t>
            </w:r>
            <w:r>
              <w:rPr>
                <w:rFonts w:ascii="Times New Roman" w:hAnsi="Times New Roman"/>
                <w:b/>
                <w:color w:val="000000"/>
                <w:sz w:val="20"/>
              </w:rPr>
              <w:t>:-</w:t>
            </w:r>
          </w:p>
        </w:tc>
        <w:tc>
          <w:tcPr>
            <w:tcW w:w="15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INCOME TAXES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effective tax rate is highly dependent upon the geographic distribution of its worldwide earnings or losses and tax regulations. The Company’s effective tax rates were (287.0%) and 0.0% for the three months ended September 30, 2024 and 2023, respectively, and (47.3%) and (2.2%) for the nine months ended September 30, 2024 and 2023, respectively. The negative effective tax rate results primarily from valuation allowance, as well as tax expenses in foreign jurisdictions, partially offset by tax benefits associated with acquired intangible assets mainly in the US.</w:t>
      </w:r>
    </w:p>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4675" w:type="dxa"/>
        <w:jc w:val="left"/>
        <w:tblInd w:w="0" w:type="dxa"/>
        <w:tblLayout w:type="fixed"/>
        <w:tblCellMar>
          <w:top w:w="0" w:type="dxa"/>
          <w:left w:w="0" w:type="dxa"/>
          <w:bottom w:w="0" w:type="dxa"/>
          <w:right w:w="0" w:type="dxa"/>
        </w:tblCellMar>
      </w:tblPr>
      <w:tblGrid>
        <w:gridCol w:w="965"/>
        <w:gridCol w:w="3710"/>
      </w:tblGrid>
      <w:tr>
        <w:trPr/>
        <w:tc>
          <w:tcPr>
            <w:tcW w:w="9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11:-</w:t>
            </w:r>
          </w:p>
        </w:tc>
        <w:tc>
          <w:tcPr>
            <w:tcW w:w="37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COMMITMENTS AND CONTINGENCIES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Commercial Commitments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Non-cancelable Purchase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the normal course of business, the Company enters into non-cancelable purchase commitments with various parties to purchase primarily software and IT related-based services. As of September 30, 2024, the Company had outstanding non-cancelable purchase obligations in the amount of $20,819.</w:t>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17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Legal Proceedings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the ordinary course of business, the Company may be subject from time to time to various proceedings, lawsuits, disputes, or claims. The Company investigates these claims as they arise and records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taken together, have a material adverse effect on its business, financial position, results of operations, or cash flows. </w:t>
      </w:r>
    </w:p>
    <w:p>
      <w:pPr>
        <w:pStyle w:val="TextBody"/>
        <w:bidi w:val="0"/>
        <w:spacing w:before="0" w:after="0"/>
        <w:ind w:left="1170" w:right="0" w:hanging="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- 22 -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4210" w:type="dxa"/>
        <w:jc w:val="left"/>
        <w:tblInd w:w="0" w:type="dxa"/>
        <w:tblLayout w:type="fixed"/>
        <w:tblCellMar>
          <w:top w:w="0" w:type="dxa"/>
          <w:left w:w="0" w:type="dxa"/>
          <w:bottom w:w="0" w:type="dxa"/>
          <w:right w:w="0" w:type="dxa"/>
        </w:tblCellMar>
      </w:tblPr>
      <w:tblGrid>
        <w:gridCol w:w="965"/>
        <w:gridCol w:w="3245"/>
      </w:tblGrid>
      <w:tr>
        <w:trPr/>
        <w:tc>
          <w:tcPr>
            <w:tcW w:w="965" w:type="dxa"/>
            <w:tcBorders/>
            <w:vAlign w:val="center"/>
          </w:tcPr>
          <w:p>
            <w:pPr>
              <w:pStyle w:val="TableContents"/>
              <w:bidi w:val="0"/>
              <w:spacing w:before="0" w:after="283"/>
              <w:jc w:val="left"/>
              <w:rPr>
                <w:b/>
                <w:sz w:val="20"/>
              </w:rPr>
            </w:pPr>
            <w:r>
              <w:rPr>
                <w:b/>
                <w:sz w:val="20"/>
              </w:rPr>
              <w:t>NOTE 12:-</w:t>
            </w:r>
          </w:p>
        </w:tc>
        <w:tc>
          <w:tcPr>
            <w:tcW w:w="3245" w:type="dxa"/>
            <w:tcBorders/>
            <w:vAlign w:val="center"/>
          </w:tcPr>
          <w:p>
            <w:pPr>
              <w:pStyle w:val="TableContents"/>
              <w:bidi w:val="0"/>
              <w:spacing w:before="0" w:after="0"/>
              <w:jc w:val="left"/>
              <w:rPr>
                <w:b/>
                <w:sz w:val="20"/>
              </w:rPr>
            </w:pPr>
            <w:r>
              <w:rPr>
                <w:b/>
                <w:sz w:val="20"/>
              </w:rPr>
              <w:t>RELATED PARTY TRANSACTIONS</w:t>
            </w:r>
          </w:p>
        </w:tc>
      </w:tr>
    </w:tbl>
    <w:p>
      <w:pPr>
        <w:pStyle w:val="TextBody"/>
        <w:bidi w:val="0"/>
        <w:spacing w:before="0" w:after="0"/>
        <w:jc w:val="left"/>
        <w:rPr>
          <w:sz w:val="20"/>
        </w:rPr>
      </w:pPr>
      <w:r>
        <w:rPr>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is a party to certain transaction-related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In June 2024, the Company repurchased 988,296 of the Non-voting Ordinary shares at a price of $4.07 per share, based on the terms stipulated in the agreement, for an aggregate purchase price of $4,022, as part of the Buyback Program (see Note 9).</w:t>
      </w:r>
      <w:r>
        <w:rPr>
          <w:rFonts w:ascii="Times New Roman" w:hAnsi="Times New Roman"/>
          <w:color w:val="000000"/>
          <w:sz w:val="20"/>
          <w:shd w:fill="FFFFFF" w:val="clear"/>
        </w:rPr>
        <w:t xml:space="preserve"> </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affiliates are parties to several agreements in the ordinary course of business with Yahoo and its affiliates. Revenues from the related party are derived from Yahoo’s advertiser spend on the Company’s network, for which Yahoo is the billing entity. Traffic acquisition cost to the related party is compensation for placing Taboola’s platform on Yahoo`s digital property. In connection with these agreements, the Company recorded revenues from Yahoo in the amount of $44,936 and $12,307,</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 xml:space="preserve">for the three months ended September 30, 2024 and 2023, respectively, and in the amount of $157,362 and $26,611, for the nine months ended September 30, 2024 and 2023, respectively. In addition, the Company recorded traffic acquisition costs related to Yahoo in the amount of </w:t>
      </w:r>
      <w:r>
        <w:rPr>
          <w:rFonts w:ascii="Times New Roman" w:hAnsi="Times New Roman"/>
          <w:color w:val="000000"/>
          <w:sz w:val="20"/>
          <w:shd w:fill="FFFFFF" w:val="clear"/>
        </w:rPr>
        <w:t xml:space="preserve">$53,104 and $9,869, </w:t>
      </w:r>
      <w:r>
        <w:rPr>
          <w:rFonts w:ascii="Times New Roman" w:hAnsi="Times New Roman"/>
          <w:b w:val="false"/>
          <w:i w:val="false"/>
          <w:caps w:val="false"/>
          <w:smallCaps w:val="false"/>
          <w:color w:val="000000"/>
          <w:spacing w:val="0"/>
          <w:sz w:val="20"/>
          <w:shd w:fill="FFFFFF" w:val="clear"/>
        </w:rPr>
        <w:t>for the three months ended September 30, 2024 and 2023, respectively, and in the amount of $205,148 and $9,869, for the nine months ended September 30, 2024 and 2023, respectively. Certain traffic acquisition costs for the three and nine months ended September 30, 2024, noted herein, are unaffiliated with the Yahoo revenues recognized during the three and nine months ended September 30, 2024.</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w:t>
      </w:r>
      <w:r>
        <w:rPr>
          <w:rFonts w:ascii="Times New Roman" w:hAnsi="Times New Roman"/>
          <w:b w:val="false"/>
          <w:i w:val="false"/>
          <w:caps w:val="false"/>
          <w:smallCaps w:val="false"/>
          <w:color w:val="000000"/>
          <w:spacing w:val="0"/>
          <w:sz w:val="20"/>
          <w:shd w:fill="FFFFFF" w:val="clear"/>
        </w:rPr>
        <w:t>September</w:t>
      </w:r>
      <w:r>
        <w:rPr>
          <w:rFonts w:ascii="Times New Roman" w:hAnsi="Times New Roman"/>
          <w:color w:val="000000"/>
          <w:sz w:val="20"/>
          <w:shd w:fill="FFFFFF" w:val="clear"/>
        </w:rPr>
        <w:t xml:space="preserve"> 30, 2024 and December 31, 2023, in regards to Yahoo, the Company’s balances of trade receivables were $51,758 and $12,297, respectively, and its balances of trade payables were $50,621 and $38,657, respectively, mainly associated with the revenues presented on both a gross and net basis.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and Yahoo, pursuant to the Omnibus Agreement entered into on November 28, 2022, each agreed to pay certain expenses in connection with the transaction and each party agreed to reimburse the other for some or all of these expenses. Under these arrangements, the Company recognized expenses, net of $416 and $1,297, </w:t>
      </w:r>
      <w:r>
        <w:rPr>
          <w:rFonts w:ascii="Times New Roman" w:hAnsi="Times New Roman"/>
          <w:b w:val="false"/>
          <w:i w:val="false"/>
          <w:caps w:val="false"/>
          <w:smallCaps w:val="false"/>
          <w:color w:val="000000"/>
          <w:spacing w:val="0"/>
          <w:sz w:val="20"/>
          <w:shd w:fill="FFFFFF" w:val="clear"/>
        </w:rPr>
        <w:t>for the three months ended September 30, 2024 and 2023, respectively, and of $1,441 and $3,920, for the nine months ended September 30, 2024 and 2023, respectively.</w:t>
      </w:r>
      <w:r>
        <w:rPr>
          <w:rFonts w:ascii="Times New Roman" w:hAnsi="Times New Roman"/>
          <w:color w:val="000000"/>
          <w:sz w:val="20"/>
          <w:shd w:fill="FFFFFF" w:val="clear"/>
        </w:rPr>
        <w:t xml:space="preserve"> </w:t>
      </w:r>
    </w:p>
    <w:p>
      <w:pPr>
        <w:pStyle w:val="TextBody"/>
        <w:bidi w:val="0"/>
        <w:spacing w:before="0" w:after="0"/>
        <w:jc w:val="left"/>
        <w:rPr/>
      </w:pPr>
      <w:r>
        <w:rPr/>
      </w:r>
    </w:p>
    <w:tbl>
      <w:tblPr>
        <w:tblW w:w="3805" w:type="dxa"/>
        <w:jc w:val="left"/>
        <w:tblInd w:w="0" w:type="dxa"/>
        <w:tblLayout w:type="fixed"/>
        <w:tblCellMar>
          <w:top w:w="0" w:type="dxa"/>
          <w:left w:w="0" w:type="dxa"/>
          <w:bottom w:w="0" w:type="dxa"/>
          <w:right w:w="0" w:type="dxa"/>
        </w:tblCellMar>
      </w:tblPr>
      <w:tblGrid>
        <w:gridCol w:w="965"/>
        <w:gridCol w:w="2840"/>
      </w:tblGrid>
      <w:tr>
        <w:trPr/>
        <w:tc>
          <w:tcPr>
            <w:tcW w:w="965" w:type="dxa"/>
            <w:tcBorders/>
            <w:vAlign w:val="center"/>
          </w:tcPr>
          <w:p>
            <w:pPr>
              <w:pStyle w:val="TableContents"/>
              <w:bidi w:val="0"/>
              <w:spacing w:before="0" w:after="283"/>
              <w:jc w:val="left"/>
              <w:rPr/>
            </w:pPr>
            <w:r>
              <w:rPr>
                <w:b/>
                <w:color w:val="000000"/>
                <w:sz w:val="20"/>
              </w:rPr>
              <w:t xml:space="preserve">NOTE </w:t>
            </w:r>
            <w:r>
              <w:rPr>
                <w:b/>
                <w:sz w:val="20"/>
              </w:rPr>
              <w:t>13</w:t>
            </w:r>
            <w:r>
              <w:rPr>
                <w:b/>
                <w:color w:val="000000"/>
                <w:sz w:val="20"/>
              </w:rPr>
              <w:t>:-</w:t>
            </w:r>
          </w:p>
        </w:tc>
        <w:tc>
          <w:tcPr>
            <w:tcW w:w="2840" w:type="dxa"/>
            <w:tcBorders/>
            <w:vAlign w:val="center"/>
          </w:tcPr>
          <w:p>
            <w:pPr>
              <w:pStyle w:val="TableContents"/>
              <w:bidi w:val="0"/>
              <w:spacing w:before="0" w:after="0"/>
              <w:jc w:val="both"/>
              <w:rPr>
                <w:b/>
                <w:sz w:val="20"/>
              </w:rPr>
            </w:pPr>
            <w:r>
              <w:rPr>
                <w:b/>
                <w:sz w:val="20"/>
              </w:rPr>
              <w:t xml:space="preserve">GEOGRAPHIC </w:t>
            </w:r>
            <w:r>
              <w:rPr>
                <w:b/>
                <w:color w:val="000000"/>
                <w:sz w:val="20"/>
              </w:rPr>
              <w:t>INFORMATION</w:t>
            </w:r>
          </w:p>
        </w:tc>
      </w:tr>
    </w:tbl>
    <w:p>
      <w:pPr>
        <w:pStyle w:val="TextBody"/>
        <w:bidi w:val="0"/>
        <w:spacing w:before="0" w:after="0"/>
        <w:jc w:val="left"/>
        <w:rPr>
          <w:sz w:val="20"/>
        </w:rPr>
      </w:pPr>
      <w:r>
        <w:rPr>
          <w:sz w:val="20"/>
        </w:rPr>
      </w:r>
    </w:p>
    <w:p>
      <w:pPr>
        <w:pStyle w:val="TextBody"/>
        <w:bidi w:val="0"/>
        <w:spacing w:before="0" w:after="0"/>
        <w:ind w:left="1134"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represents total revenue by geographic area based on the Advertisers’ billing address:</w:t>
      </w:r>
    </w:p>
    <w:p>
      <w:pPr>
        <w:pStyle w:val="TextBody"/>
        <w:bidi w:val="0"/>
        <w:spacing w:before="0" w:after="0"/>
        <w:ind w:left="1134"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6465" w:type="dxa"/>
        <w:jc w:val="left"/>
        <w:tblInd w:w="1134" w:type="dxa"/>
        <w:tblLayout w:type="fixed"/>
        <w:tblCellMar>
          <w:top w:w="0" w:type="dxa"/>
          <w:left w:w="0" w:type="dxa"/>
          <w:bottom w:w="0" w:type="dxa"/>
          <w:right w:w="0" w:type="dxa"/>
        </w:tblCellMar>
      </w:tblPr>
      <w:tblGrid>
        <w:gridCol w:w="1685"/>
        <w:gridCol w:w="60"/>
        <w:gridCol w:w="140"/>
        <w:gridCol w:w="800"/>
        <w:gridCol w:w="60"/>
        <w:gridCol w:w="60"/>
        <w:gridCol w:w="200"/>
        <w:gridCol w:w="800"/>
        <w:gridCol w:w="60"/>
        <w:gridCol w:w="60"/>
        <w:gridCol w:w="200"/>
        <w:gridCol w:w="980"/>
        <w:gridCol w:w="60"/>
        <w:gridCol w:w="60"/>
        <w:gridCol w:w="200"/>
        <w:gridCol w:w="980"/>
        <w:gridCol w:w="60"/>
      </w:tblGrid>
      <w:tr>
        <w:trPr/>
        <w:tc>
          <w:tcPr>
            <w:tcW w:w="1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6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283"/>
              <w:jc w:val="left"/>
              <w:rPr/>
            </w:pPr>
            <w:r>
              <w:rPr/>
              <w:t xml:space="preserve">Israel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34,878</w:t>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82,317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141,475</w:t>
            </w:r>
          </w:p>
        </w:tc>
        <w:tc>
          <w:tcPr>
            <w:tcW w:w="60"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pPr>
            <w:r>
              <w:rPr/>
              <w:t>United States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192,986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138,131</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591,218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376,838</w:t>
            </w:r>
          </w:p>
        </w:tc>
        <w:tc>
          <w:tcPr>
            <w:tcW w:w="60" w:type="dxa"/>
            <w:tcBorders/>
            <w:vAlign w:val="bottom"/>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283"/>
              <w:jc w:val="left"/>
              <w:rPr/>
            </w:pPr>
            <w:r>
              <w:rPr/>
              <w:t xml:space="preserve">Germany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36,471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33,392</w:t>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108,901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94,829</w:t>
            </w:r>
          </w:p>
        </w:tc>
        <w:tc>
          <w:tcPr>
            <w:tcW w:w="60"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pPr>
            <w:r>
              <w:rPr/>
              <w:t xml:space="preserve">United Kingdom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19,739</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53,784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54,956</w:t>
            </w:r>
          </w:p>
        </w:tc>
        <w:tc>
          <w:tcPr>
            <w:tcW w:w="60" w:type="dxa"/>
            <w:tcBorders/>
            <w:vAlign w:val="bottom"/>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283"/>
              <w:jc w:val="left"/>
              <w:rPr/>
            </w:pPr>
            <w:r>
              <w:rPr/>
              <w:t>Rest of the world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162,140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134,081</w:t>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438,960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351,813</w:t>
            </w:r>
          </w:p>
        </w:tc>
        <w:tc>
          <w:tcPr>
            <w:tcW w:w="60"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pPr>
            <w:r>
              <w:rPr/>
              <w:t xml:space="preserve">Total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433,012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360,221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1,275,180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1,019,911</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- 23 -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7720" w:type="dxa"/>
        <w:jc w:val="left"/>
        <w:tblInd w:w="0" w:type="dxa"/>
        <w:tblLayout w:type="fixed"/>
        <w:tblCellMar>
          <w:top w:w="0" w:type="dxa"/>
          <w:left w:w="0" w:type="dxa"/>
          <w:bottom w:w="0" w:type="dxa"/>
          <w:right w:w="0" w:type="dxa"/>
        </w:tblCellMar>
      </w:tblPr>
      <w:tblGrid>
        <w:gridCol w:w="950"/>
        <w:gridCol w:w="6770"/>
      </w:tblGrid>
      <w:tr>
        <w:trPr/>
        <w:tc>
          <w:tcPr>
            <w:tcW w:w="95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14:-</w:t>
            </w:r>
          </w:p>
        </w:tc>
        <w:tc>
          <w:tcPr>
            <w:tcW w:w="6770" w:type="dxa"/>
            <w:tcBorders/>
            <w:vAlign w:val="center"/>
          </w:tcPr>
          <w:p>
            <w:pPr>
              <w:pStyle w:val="TableContents"/>
              <w:bidi w:val="0"/>
              <w:spacing w:before="0" w:after="0"/>
              <w:jc w:val="left"/>
              <w:rPr>
                <w:b/>
                <w:sz w:val="20"/>
              </w:rPr>
            </w:pPr>
            <w:r>
              <w:rPr>
                <w:rFonts w:ascii="Times New Roman" w:hAnsi="Times New Roman"/>
                <w:b/>
                <w:color w:val="000000"/>
                <w:sz w:val="20"/>
              </w:rPr>
              <w:t xml:space="preserve">NET </w:t>
            </w:r>
            <w:r>
              <w:rPr>
                <w:rFonts w:ascii="Times New Roman" w:hAnsi="Times New Roman"/>
                <w:b/>
                <w:sz w:val="20"/>
              </w:rPr>
              <w:t>LOSS</w:t>
            </w:r>
            <w:r>
              <w:rPr>
                <w:rFonts w:ascii="Times New Roman" w:hAnsi="Times New Roman"/>
                <w:b/>
                <w:color w:val="000000"/>
                <w:sz w:val="20"/>
              </w:rPr>
              <w:t xml:space="preserve"> PER SHARE ATTRIBUTABLE TO ORDINARY SHAREHOLDERS</w:t>
            </w:r>
          </w:p>
        </w:tc>
      </w:tr>
    </w:tbl>
    <w:p>
      <w:pPr>
        <w:pStyle w:val="TextBody"/>
        <w:bidi w:val="0"/>
        <w:spacing w:before="0" w:after="0"/>
        <w:jc w:val="left"/>
        <w:rPr/>
      </w:pPr>
      <w:r>
        <w:rPr/>
      </w:r>
    </w:p>
    <w:tbl>
      <w:tblPr>
        <w:tblW w:w="13145" w:type="dxa"/>
        <w:jc w:val="left"/>
        <w:tblInd w:w="1170" w:type="dxa"/>
        <w:tblLayout w:type="fixed"/>
        <w:tblCellMar>
          <w:top w:w="0" w:type="dxa"/>
          <w:left w:w="0" w:type="dxa"/>
          <w:bottom w:w="0" w:type="dxa"/>
          <w:right w:w="0" w:type="dxa"/>
        </w:tblCellMar>
      </w:tblPr>
      <w:tblGrid>
        <w:gridCol w:w="1505"/>
        <w:gridCol w:w="60"/>
        <w:gridCol w:w="140"/>
        <w:gridCol w:w="1220"/>
        <w:gridCol w:w="95"/>
        <w:gridCol w:w="60"/>
        <w:gridCol w:w="140"/>
        <w:gridCol w:w="1100"/>
        <w:gridCol w:w="95"/>
        <w:gridCol w:w="60"/>
        <w:gridCol w:w="140"/>
        <w:gridCol w:w="1220"/>
        <w:gridCol w:w="95"/>
        <w:gridCol w:w="60"/>
        <w:gridCol w:w="140"/>
        <w:gridCol w:w="1100"/>
        <w:gridCol w:w="95"/>
        <w:gridCol w:w="60"/>
        <w:gridCol w:w="140"/>
        <w:gridCol w:w="1220"/>
        <w:gridCol w:w="95"/>
        <w:gridCol w:w="60"/>
        <w:gridCol w:w="140"/>
        <w:gridCol w:w="1100"/>
        <w:gridCol w:w="95"/>
        <w:gridCol w:w="60"/>
        <w:gridCol w:w="140"/>
        <w:gridCol w:w="1220"/>
        <w:gridCol w:w="95"/>
        <w:gridCol w:w="60"/>
        <w:gridCol w:w="140"/>
        <w:gridCol w:w="1100"/>
        <w:gridCol w:w="95"/>
      </w:tblGrid>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566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566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Non-voting</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Ordinary</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Non-voting </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Non-voting</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Ordinary</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Non-voting</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485" w:type="dxa"/>
            <w:gridSpan w:val="30"/>
            <w:tcBorders>
              <w:bottom w:val="single" w:sz="12" w:space="0" w:color="000000"/>
            </w:tcBorders>
            <w:tcMar>
              <w:bottom w:w="28" w:type="dxa"/>
            </w:tcMar>
            <w:vAlign w:val="bottom"/>
          </w:tcPr>
          <w:p>
            <w:pPr>
              <w:pStyle w:val="TableContents"/>
              <w:bidi w:val="0"/>
              <w:spacing w:before="0" w:after="283"/>
              <w:jc w:val="center"/>
              <w:rPr>
                <w:b/>
              </w:rPr>
            </w:pPr>
            <w:r>
              <w:rPr>
                <w:b/>
              </w:rPr>
              <w:t>Unaudited</w:t>
            </w:r>
          </w:p>
        </w:tc>
        <w:tc>
          <w:tcPr>
            <w:tcW w:w="9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b w:val="false"/>
              </w:rPr>
            </w:pPr>
            <w:r>
              <w:rPr>
                <w:b w:val="false"/>
              </w:rPr>
              <w:t>Numerator:</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Ordinary shareholders, basic and diluted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(5,622</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(832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(20,170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pPr>
            <w:r>
              <w:rPr/>
              <w:t>(2,966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283"/>
              <w:jc w:val="right"/>
              <w:rPr/>
            </w:pPr>
            <w:r>
              <w:rPr/>
              <w:t>(32,095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(4,808</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283"/>
              <w:jc w:val="right"/>
              <w:rPr/>
            </w:pPr>
            <w:r>
              <w:rPr/>
              <w:t>(75,246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(10,517</w:t>
            </w:r>
          </w:p>
        </w:tc>
        <w:tc>
          <w:tcPr>
            <w:tcW w:w="95" w:type="dxa"/>
            <w:tcBorders/>
            <w:shd w:fill="CCEEFF" w:val="clear"/>
            <w:vAlign w:val="bottom"/>
          </w:tcPr>
          <w:p>
            <w:pPr>
              <w:pStyle w:val="TableContents"/>
              <w:bidi w:val="0"/>
              <w:spacing w:before="0" w:after="283"/>
              <w:jc w:val="left"/>
              <w:rPr/>
            </w:pPr>
            <w:r>
              <w:rPr/>
              <w:t>)</w:t>
            </w:r>
          </w:p>
        </w:tc>
      </w:tr>
      <w:tr>
        <w:trPr/>
        <w:tc>
          <w:tcPr>
            <w:tcW w:w="15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b w:val="false"/>
              </w:rPr>
            </w:pPr>
            <w:r>
              <w:rPr>
                <w:b w:val="false"/>
              </w:rPr>
              <w:t>Denominator: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Ordinary shareholders, basic and diluted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298,675,810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44,210,406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307,392,341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45,198,702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298,843,067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44,763,120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303,246,891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42,384,131</w:t>
            </w:r>
          </w:p>
        </w:tc>
        <w:tc>
          <w:tcPr>
            <w:tcW w:w="95"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Ordinary and non-voting Ordinary shareholders, basic and diluted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before="0" w:after="0"/>
              <w:jc w:val="right"/>
              <w:rPr/>
            </w:pPr>
            <w:r>
              <w:rPr/>
              <w:t>(0.02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(0.02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before="0" w:after="0"/>
              <w:jc w:val="right"/>
              <w:rPr/>
            </w:pPr>
            <w:r>
              <w:rPr/>
              <w:t>(0.07</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1100" w:type="dxa"/>
            <w:tcBorders>
              <w:bottom w:val="single" w:sz="12" w:space="0" w:color="000000"/>
            </w:tcBorders>
            <w:tcMar>
              <w:bottom w:w="28" w:type="dxa"/>
            </w:tcMar>
            <w:vAlign w:val="bottom"/>
          </w:tcPr>
          <w:p>
            <w:pPr>
              <w:pStyle w:val="TableContents"/>
              <w:bidi w:val="0"/>
              <w:spacing w:before="0" w:after="0"/>
              <w:jc w:val="right"/>
              <w:rPr/>
            </w:pPr>
            <w:r>
              <w:rPr/>
              <w:t>(0.07</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(0.11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(0.11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(0.25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(0.25</w:t>
            </w:r>
          </w:p>
        </w:tc>
        <w:tc>
          <w:tcPr>
            <w:tcW w:w="95" w:type="dxa"/>
            <w:tcBorders/>
            <w:vAlign w:val="bottom"/>
          </w:tcPr>
          <w:p>
            <w:pPr>
              <w:pStyle w:val="TableContents"/>
              <w:bidi w:val="0"/>
              <w:spacing w:before="0" w:after="283"/>
              <w:jc w:val="left"/>
              <w:rPr/>
            </w:pPr>
            <w:r>
              <w:rPr/>
              <w:t>)</w:t>
            </w:r>
          </w:p>
        </w:tc>
      </w:tr>
    </w:tbl>
    <w:p>
      <w:pPr>
        <w:pStyle w:val="TextBody"/>
        <w:bidi w:val="0"/>
        <w:spacing w:before="0" w:after="0"/>
        <w:ind w:left="1170" w:right="0" w:hanging="0"/>
        <w:jc w:val="left"/>
        <w:rPr/>
      </w:pPr>
      <w: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potential shares of Ordinary shares that were excluded from the computation of diluted net loss per share attributable to Ordinary shareholders for the periods presented because including them would have been anti-dilutive are as follows:</w:t>
      </w:r>
    </w:p>
    <w:p>
      <w:pPr>
        <w:pStyle w:val="TextBody"/>
        <w:bidi w:val="0"/>
        <w:spacing w:before="0" w:after="0"/>
        <w:ind w:left="1170" w:right="0" w:hanging="0"/>
        <w:jc w:val="both"/>
        <w:rPr>
          <w:rFonts w:ascii="Times New Roman" w:hAnsi="Times New Roman"/>
          <w:color w:val="000000"/>
          <w:sz w:val="20"/>
        </w:rPr>
      </w:pPr>
      <w:r>
        <w:rPr>
          <w:rFonts w:ascii="Times New Roman" w:hAnsi="Times New Roman"/>
          <w:color w:val="000000"/>
          <w:sz w:val="20"/>
        </w:rPr>
      </w:r>
    </w:p>
    <w:tbl>
      <w:tblPr>
        <w:tblW w:w="9035" w:type="dxa"/>
        <w:jc w:val="left"/>
        <w:tblInd w:w="1170" w:type="dxa"/>
        <w:tblLayout w:type="fixed"/>
        <w:tblCellMar>
          <w:top w:w="0" w:type="dxa"/>
          <w:left w:w="0" w:type="dxa"/>
          <w:bottom w:w="0" w:type="dxa"/>
          <w:right w:w="0" w:type="dxa"/>
        </w:tblCellMar>
      </w:tblPr>
      <w:tblGrid>
        <w:gridCol w:w="4515"/>
        <w:gridCol w:w="60"/>
        <w:gridCol w:w="60"/>
        <w:gridCol w:w="950"/>
        <w:gridCol w:w="60"/>
        <w:gridCol w:w="60"/>
        <w:gridCol w:w="60"/>
        <w:gridCol w:w="950"/>
        <w:gridCol w:w="60"/>
        <w:gridCol w:w="60"/>
        <w:gridCol w:w="60"/>
        <w:gridCol w:w="950"/>
        <w:gridCol w:w="60"/>
        <w:gridCol w:w="60"/>
        <w:gridCol w:w="60"/>
        <w:gridCol w:w="950"/>
        <w:gridCol w:w="60"/>
      </w:tblGrid>
      <w:tr>
        <w:trPr/>
        <w:tc>
          <w:tcPr>
            <w:tcW w:w="4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0" w:type="dxa"/>
            <w:gridSpan w:val="14"/>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45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Warrants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12,349,990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12,349,990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12,349,990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12,349,990</w:t>
            </w:r>
          </w:p>
        </w:tc>
        <w:tc>
          <w:tcPr>
            <w:tcW w:w="60" w:type="dxa"/>
            <w:tcBorders/>
            <w:shd w:fill="CCEEFF" w:val="clear"/>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29,023,527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25,936,360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29,241,690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26,166,672</w:t>
            </w:r>
          </w:p>
        </w:tc>
        <w:tc>
          <w:tcPr>
            <w:tcW w:w="60" w:type="dxa"/>
            <w:tcBorders/>
            <w:vAlign w:val="bottom"/>
          </w:tcPr>
          <w:p>
            <w:pPr>
              <w:pStyle w:val="TableContents"/>
              <w:bidi w:val="0"/>
              <w:spacing w:before="0" w:after="283"/>
              <w:jc w:val="left"/>
              <w:rPr/>
            </w:pPr>
            <w:r>
              <w:rPr/>
              <w:t> </w:t>
            </w:r>
          </w:p>
        </w:tc>
      </w:tr>
      <w:tr>
        <w:trPr/>
        <w:tc>
          <w:tcPr>
            <w:tcW w:w="45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Outstanding share options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19,553,542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31,565,977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20,506,933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28,164,922</w:t>
            </w:r>
          </w:p>
        </w:tc>
        <w:tc>
          <w:tcPr>
            <w:tcW w:w="60" w:type="dxa"/>
            <w:tcBorders/>
            <w:shd w:fill="CCEEFF" w:val="clear"/>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Issuable Ordinary shares related to Business Combination under holdback arrangement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1,356,592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710,601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1,679,592</w:t>
            </w:r>
          </w:p>
        </w:tc>
        <w:tc>
          <w:tcPr>
            <w:tcW w:w="60" w:type="dxa"/>
            <w:tcBorders/>
            <w:vAlign w:val="bottom"/>
          </w:tcPr>
          <w:p>
            <w:pPr>
              <w:pStyle w:val="TableContents"/>
              <w:bidi w:val="0"/>
              <w:spacing w:before="0" w:after="283"/>
              <w:jc w:val="left"/>
              <w:rPr/>
            </w:pPr>
            <w:r>
              <w:rPr/>
              <w:t> </w:t>
            </w:r>
          </w:p>
        </w:tc>
      </w:tr>
      <w:tr>
        <w:trPr/>
        <w:tc>
          <w:tcPr>
            <w:tcW w:w="451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61,314,659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71,208,919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62,809,214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68,361,176</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- 24 -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0" w:name="Item2.ManagementsDiscussi"/>
      <w:bookmarkStart w:id="11" w:name="Item2.ManagementsDiscussi"/>
      <w:bookmarkEnd w:id="11"/>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9050" w:type="dxa"/>
            <w:tcBorders/>
            <w:vAlign w:val="center"/>
          </w:tcPr>
          <w:p>
            <w:pPr>
              <w:pStyle w:val="TableContents"/>
              <w:bidi w:val="0"/>
              <w:spacing w:before="0" w:after="0"/>
              <w:jc w:val="both"/>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You should read the following discussion and analysis of our financial condition and results of operations together with Taboola’s accompanying unaudited consolidated interim financial statements and the related notes included elsewhere in this Quarterly Report on Form 10-Q for the three and nine months ended September 30, 2024 (the “Quarterly Report”) and audited consolidated financial statements and the related notes appearing in our Annual Report on Form 10-K for the year ended December 31, 2023 (the “2023 Form 10-K”) filed with the U.S. Securities and Exchange Commission (the “SEC”) on February 28, 2024. Some of the information contained in this discussion and analysis is set forth in our 2023 Form 10-K, including information with respect to Taboola’s plans and strategy for Taboola’s business, and includes forward-looking statements that involve risks and uncertainties. As a result of many factors, including those factors set forth in Part I, Item 1A “Risk Factors” in our 2023 Form 10-K and “Note Regarding Forward-Looking Statements” in our 2023 Form 10-K and elsewhere herein,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pStyle w:val="TextBody"/>
        <w:bidi w:val="0"/>
        <w:spacing w:before="0" w:after="0"/>
        <w:jc w:val="both"/>
        <w:rPr>
          <w:i/>
        </w:rPr>
      </w:pPr>
      <w:r>
        <w:rPr>
          <w:i/>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Taboola is a technology company that powers recommendations across the Open Web with an artificial intelligence, or AI-based, algorithmic engine that we have developed since the Company began operations in 2007. Taboola has also expanded more directly into e-Commerce, allowing its partners with digital properties the ability to use its platforms to display advertising suited to the audiences of those partners’ web sites or other digital services.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- 25 -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Key Factors and Trends Affecting our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our performance and future success depend on several factors that present significant opportunities for us but also pose risks and challenges, including those discussed below and those referred to in Part II, Item 1A, “</w:t>
      </w:r>
      <w:r>
        <w:rPr>
          <w:rFonts w:ascii="Times New Roman" w:hAnsi="Times New Roman"/>
          <w:i/>
          <w:color w:val="000000"/>
          <w:sz w:val="20"/>
          <w:shd w:fill="FFFFFF" w:val="clear"/>
        </w:rPr>
        <w:t>Risk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Business and Macroeconomic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Global economic and geopolitical conditions have been increasingly volatile. Factors such as inflation, rising interest rates, supply chain disruptions and the wars in Israel and Ukraine negatively impacted advertising demand and our yields in 2022 in particular. Further, while the impacts of inflation have relatively stabilized over recent quarters, the higher equipment and labor costs needed to operate our business negatively impacted our business in 2022 and 2023 and caused us to enter 2024 with a lower revenue and Adjusted EBITDA run rate. We do not currently expect additional impact from these factors during 2024, though we continue to monitor macroeconomic conditions closely.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Maintaining and Growing Our Digital Property Partners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engage with a diverse network of digital property partners, substantially all of which have contracts with us containing either an evergreen term or an exclusive partnership with us for multi-year terms at inception. These agreements typically require that our code be integrated on the digital property web page because of the nature of providing both editorial and paid recommendations. This means that in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12,000, 15,000 and 16,000 digital property partners in the fourth quarters of 2023, 2022 and 2021, respectively. In 2023, we saw a decrease in the number of long-tail digital property partners on our network, partially due to our own efforts to clean up our network and reduce low performing networks. Despite the decrease in the number of digital property partners on the network, our overall volume of page views went up over 10% from Q4 2021 to Q4 2023, demonstrating that the decrease in the number of digital property partners in our network was driven by smaller digital property partners and more than offset by the addition of larger digital property partners.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- 26 -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Growing Our Advertiser Client Base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 large and growing network of Advertisers, across multiple verticals. We had approximately 17,000, 18,000 and 15,000 Advertiser clients working with us directly, or through advertising agencies, worldwide during the fourth quarters of 2023, 2022 and 2021, respectively. The decline from 2022 to 2023 was primarily driven by a channel partner that had a large number of small advertisers that they reduced in 2023. A large portion of our revenue comes from Advertisers with their own specific performance goals, such as obtaining subscribers for email newsletters or acquiring leads for product offerings.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Improving Network Yield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One way that we grow our revenue is by increasing the yield on our network, which is a general term for the revenue that we make per advertising placement. Because we generally fill close to 100% of advertising impressions available, yield is generally not affected by changing fill rates, but rather is impacted in four ways. First, we increase our yield by improving the algorithms that select the right ad for a particular user in a particular context. These algorithms are based on Deep Learning technology and are a key competitive advantage. Second, we continuously innovate and develop new product offerings and features for Advertisers, which help increase their success rates on our network and improve yield. Third, as we grow our Advertiser base and mix of Advertisers, including adding Advertisers able to pay higher rates, our yields increase because of increasing competitive pressure in our auction. Finally, we increase our yield by optimizing the way we work with digital properties, including changing formats and placements. Increasing yield drives higher revenues on all digital property partners. Increasing yield also generally increases margins for ex-TAC Gross Profit, a non-GAAP measure, for those digital property partners to whom we are paying guarantees. In periods of slower growth or periods of economic stress advertising demand may decline causing a decrease in yields despite our efforts.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 and Research and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personnel necessary to maintain the value delivered to our customers and digital property partners, such as investments in code maintenance for our existing products. This type of investment scales at a slower rate than the growth of our core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Managing Seasonality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- 27 -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Privacy Trends and Government Regulation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Yahoo Partnership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2022, we announced we had entered into a 30-year exclusive commercial agreement with Yahoo, under which we will power native advertising across all of Yahoo’s digital properties, expanding our native advertising offering. In January 2023 we closed on the various related agreements, including the issuance of 39,525,691 Ordinary shares and 45,198,702 Non-voting Ordinary shares to Yahoo. For further information see Note 1b and Note 12 of Notes to the Unaudited Consolidated Interim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Key Financial and Operating Metrics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regularly monitor a number of metrics in order to measure our current performance and project our future performance. These metrics aid us in developing and refining our growth strategies and making strategic decisions.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4745"/>
        <w:gridCol w:w="60"/>
        <w:gridCol w:w="140"/>
        <w:gridCol w:w="800"/>
        <w:gridCol w:w="274"/>
        <w:gridCol w:w="60"/>
        <w:gridCol w:w="140"/>
        <w:gridCol w:w="800"/>
        <w:gridCol w:w="274"/>
        <w:gridCol w:w="60"/>
        <w:gridCol w:w="140"/>
        <w:gridCol w:w="980"/>
        <w:gridCol w:w="274"/>
        <w:gridCol w:w="60"/>
        <w:gridCol w:w="140"/>
        <w:gridCol w:w="980"/>
        <w:gridCol w:w="278"/>
      </w:tblGrid>
      <w:tr>
        <w:trPr/>
        <w:tc>
          <w:tcPr>
            <w:tcW w:w="4745" w:type="dxa"/>
            <w:tcBorders/>
            <w:vAlign w:val="bottom"/>
          </w:tcPr>
          <w:p>
            <w:pPr>
              <w:pStyle w:val="TableContents"/>
              <w:bidi w:val="0"/>
              <w:spacing w:before="0" w:after="0"/>
              <w:jc w:val="left"/>
              <w:rPr/>
            </w:pPr>
            <w:r>
              <w:rPr/>
              <w:t>(dollars in thousands, except per share data)</w:t>
            </w:r>
          </w:p>
        </w:tc>
        <w:tc>
          <w:tcPr>
            <w:tcW w:w="60" w:type="dxa"/>
            <w:tcBorders/>
            <w:vAlign w:val="bottom"/>
          </w:tcPr>
          <w:p>
            <w:pPr>
              <w:pStyle w:val="TableContents"/>
              <w:bidi w:val="0"/>
              <w:spacing w:before="0" w:after="283"/>
              <w:jc w:val="left"/>
              <w:rPr/>
            </w:pPr>
            <w:r>
              <w:rPr/>
              <w:t> </w:t>
            </w:r>
          </w:p>
        </w:tc>
        <w:tc>
          <w:tcPr>
            <w:tcW w:w="2214"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278"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78"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22" w:type="dxa"/>
            <w:gridSpan w:val="14"/>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433,012</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360,221</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1,275,180</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1,019,911</w:t>
            </w:r>
          </w:p>
        </w:tc>
        <w:tc>
          <w:tcPr>
            <w:tcW w:w="278"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132,877</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100,659</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356,608</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287,308</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(6,454</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(23,136</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(36,903</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(85,763</w:t>
            </w:r>
          </w:p>
        </w:tc>
        <w:tc>
          <w:tcPr>
            <w:tcW w:w="278"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0"/>
              <w:jc w:val="left"/>
              <w:rPr/>
            </w:pPr>
            <w:r>
              <w:rPr/>
              <w:t>EPS diluted (1)</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(0.02</w:t>
            </w:r>
          </w:p>
        </w:tc>
        <w:tc>
          <w:tcPr>
            <w:tcW w:w="274"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(0.07</w:t>
            </w:r>
          </w:p>
        </w:tc>
        <w:tc>
          <w:tcPr>
            <w:tcW w:w="274"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(0.11</w:t>
            </w:r>
          </w:p>
        </w:tc>
        <w:tc>
          <w:tcPr>
            <w:tcW w:w="274"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(0.25</w:t>
            </w:r>
          </w:p>
        </w:tc>
        <w:tc>
          <w:tcPr>
            <w:tcW w:w="278" w:type="dxa"/>
            <w:tcBorders/>
            <w:vAlign w:val="bottom"/>
          </w:tcPr>
          <w:p>
            <w:pPr>
              <w:pStyle w:val="TableContents"/>
              <w:bidi w:val="0"/>
              <w:spacing w:before="0" w:after="0"/>
              <w:jc w:val="left"/>
              <w:rPr/>
            </w:pPr>
            <w:r>
              <w:rPr/>
              <w:t>)</w:t>
            </w:r>
          </w:p>
        </w:tc>
      </w:tr>
      <w:tr>
        <w:trPr/>
        <w:tc>
          <w:tcPr>
            <w:tcW w:w="4745" w:type="dxa"/>
            <w:tcBorders/>
            <w:shd w:fill="CCEEFF" w:val="clear"/>
            <w:vAlign w:val="bottom"/>
          </w:tcPr>
          <w:p>
            <w:pPr>
              <w:pStyle w:val="TableContents"/>
              <w:bidi w:val="0"/>
              <w:spacing w:before="0" w:after="0"/>
              <w:jc w:val="left"/>
              <w:rPr/>
            </w:pPr>
            <w:r>
              <w:rPr/>
              <w:t>Ratio of net loss to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(4.9</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(23.0</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(10.3</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(29.9</w:t>
            </w:r>
          </w:p>
        </w:tc>
        <w:tc>
          <w:tcPr>
            <w:tcW w:w="278"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0"/>
              <w:jc w:val="left"/>
              <w:rPr/>
            </w:pPr>
            <w:r>
              <w:rPr/>
              <w:t>Cash flow provided by operating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49,772</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32,459</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122,396</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61,581</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Cash, cash equivalents, short-term deposits and investments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217,230</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250,726</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217,230</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250,726</w:t>
            </w:r>
          </w:p>
        </w:tc>
        <w:tc>
          <w:tcPr>
            <w:tcW w:w="278"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b/>
              </w:rPr>
            </w:pPr>
            <w:r>
              <w:rPr>
                <w:b/>
              </w:rPr>
              <w:t>Non-GAAP Financial Data (2)</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jc w:val="left"/>
              <w:rPr/>
            </w:pPr>
            <w:r>
              <w:rPr/>
              <w:t>ex-TAC Gross Profit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166,405</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128,435</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454,833</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367,309</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Adjusted EBITDA</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47,927</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22,833</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108,647</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48,616</w:t>
            </w:r>
          </w:p>
        </w:tc>
        <w:tc>
          <w:tcPr>
            <w:tcW w:w="278"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jc w:val="left"/>
              <w:rPr/>
            </w:pPr>
            <w:r>
              <w:rPr/>
              <w:t>Non-GAAP Net Income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22,211</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6,704</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49,053</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1,197</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Ratio of Adjusted EBITDA to ex-TAC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28.8</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17.8</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23.9</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13.2</w:t>
            </w:r>
          </w:p>
        </w:tc>
        <w:tc>
          <w:tcPr>
            <w:tcW w:w="278"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0"/>
              <w:jc w:val="left"/>
              <w:rPr/>
            </w:pPr>
            <w:r>
              <w:rPr/>
              <w:t>Free Cash Flow</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42,864</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22,798</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97,266</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41,742</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both"/>
              <w:rPr>
                <w:sz w:val="20"/>
              </w:rPr>
            </w:pPr>
            <w:r>
              <w:rPr>
                <w:sz w:val="20"/>
              </w:rPr>
              <w:t>The weighted-average shares used in the computation of the diluted EPS for the three months ended September 30, 2024 and 2023 are 342,886,216 and 352,591,043, respectively, and for the nine months ended September 30, 2024 and 2023 are 343,606,187 and 345,631,022, respectively.</w:t>
            </w:r>
          </w:p>
        </w:tc>
      </w:tr>
    </w:tbl>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weighted-average shares for the three months ended September 30, 2024 and 2023 included 298,675,810 and 307,392,341 Ordinary shares, and 44,210,406 and 45,198,702 Non-voting Ordinary shares, respectively, and for the nine months ended September 30, 2024 and 2023 included 298,843,067 and 303,246,891 Ordinary shares, and 44,763,120 and 42,384,131 Non-voting Ordinary shares, respectively.</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0"/>
              <w:jc w:val="both"/>
              <w:rPr/>
            </w:pPr>
            <w:r>
              <w:rPr/>
              <w:t>Refer to “Non-GAAP Financial Measures” below for an explanation and reconciliation to GAAP metrics.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- 28 -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calculate ex-TAC Gross Profit as gross profit adjusted to add back other cost of revenues and non-cash amortization of the Commercial agreement asset. We add back the non-cash amortization of the Commercial agreement asset because it is unique primarily due to the issuance of equity rather than cash, such that ex-TAC Gross Profit includes solely direct cash contribution components.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Limitations on the use of ex-TAC Gross Profit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Traffic acquisition cost is a significant component of our cost of revenues but is not the only component;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ex-TAC Gross Profit is not comparable to our gross profit and by definition ex-TAC Gross Profit presented for any period will be higher than our gross profit for that period.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- 29 -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revenues and gross profit to ex-TAC Gross Profit:</w:t>
      </w:r>
    </w:p>
    <w:p>
      <w:pPr>
        <w:pStyle w:val="TextBody"/>
        <w:bidi w:val="0"/>
        <w:spacing w:before="0" w:after="0"/>
        <w:jc w:val="left"/>
        <w:rPr>
          <w:color w:val="000000"/>
          <w:shd w:fill="FFFFFF" w:val="clear"/>
        </w:rPr>
      </w:pPr>
      <w:r>
        <w:rPr>
          <w:color w:val="000000"/>
          <w:shd w:fill="FFFFFF" w:val="clear"/>
        </w:rPr>
        <w:t> </w:t>
      </w:r>
    </w:p>
    <w:tbl>
      <w:tblPr>
        <w:tblW w:w="9883" w:type="dxa"/>
        <w:jc w:val="left"/>
        <w:tblInd w:w="0" w:type="dxa"/>
        <w:tblLayout w:type="fixed"/>
        <w:tblCellMar>
          <w:top w:w="0" w:type="dxa"/>
          <w:left w:w="0" w:type="dxa"/>
          <w:bottom w:w="0" w:type="dxa"/>
          <w:right w:w="0" w:type="dxa"/>
        </w:tblCellMar>
      </w:tblPr>
      <w:tblGrid>
        <w:gridCol w:w="5165"/>
        <w:gridCol w:w="60"/>
        <w:gridCol w:w="148"/>
        <w:gridCol w:w="848"/>
        <w:gridCol w:w="63"/>
        <w:gridCol w:w="63"/>
        <w:gridCol w:w="148"/>
        <w:gridCol w:w="848"/>
        <w:gridCol w:w="60"/>
        <w:gridCol w:w="60"/>
        <w:gridCol w:w="140"/>
        <w:gridCol w:w="980"/>
        <w:gridCol w:w="60"/>
        <w:gridCol w:w="60"/>
        <w:gridCol w:w="140"/>
        <w:gridCol w:w="980"/>
        <w:gridCol w:w="60"/>
      </w:tblGrid>
      <w:tr>
        <w:trPr/>
        <w:tc>
          <w:tcPr>
            <w:tcW w:w="5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8" w:type="dxa"/>
            <w:gridSpan w:val="14"/>
            <w:tcBorders/>
            <w:vAlign w:val="bottom"/>
          </w:tcPr>
          <w:p>
            <w:pPr>
              <w:pStyle w:val="TableContents"/>
              <w:bidi w:val="0"/>
              <w:spacing w:before="0" w:after="0"/>
              <w:jc w:val="center"/>
              <w:rPr/>
            </w:pPr>
            <w:r>
              <w:rPr/>
              <w:t>(dollars in thousands)</w:t>
            </w:r>
          </w:p>
        </w:tc>
        <w:tc>
          <w:tcPr>
            <w:tcW w:w="60" w:type="dxa"/>
            <w:tcBorders/>
            <w:vAlign w:val="bottom"/>
          </w:tcPr>
          <w:p>
            <w:pPr>
              <w:pStyle w:val="TableContents"/>
              <w:bidi w:val="0"/>
              <w:spacing w:before="0" w:after="283"/>
              <w:jc w:val="left"/>
              <w:rPr/>
            </w:pPr>
            <w:r>
              <w:rPr/>
              <w:t> </w:t>
            </w:r>
          </w:p>
        </w:tc>
      </w:tr>
      <w:tr>
        <w:trPr/>
        <w:tc>
          <w:tcPr>
            <w:tcW w:w="5165"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pPr>
            <w:r>
              <w:rPr/>
              <w:t>$</w:t>
            </w:r>
          </w:p>
        </w:tc>
        <w:tc>
          <w:tcPr>
            <w:tcW w:w="848" w:type="dxa"/>
            <w:tcBorders/>
            <w:shd w:fill="CCEEFF" w:val="clear"/>
            <w:vAlign w:val="bottom"/>
          </w:tcPr>
          <w:p>
            <w:pPr>
              <w:pStyle w:val="TableContents"/>
              <w:bidi w:val="0"/>
              <w:spacing w:before="0" w:after="0"/>
              <w:jc w:val="right"/>
              <w:rPr/>
            </w:pPr>
            <w:r>
              <w:rPr/>
              <w:t>433,012</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pPr>
            <w:r>
              <w:rPr/>
              <w:t>$</w:t>
            </w:r>
          </w:p>
        </w:tc>
        <w:tc>
          <w:tcPr>
            <w:tcW w:w="848" w:type="dxa"/>
            <w:tcBorders/>
            <w:shd w:fill="CCEEFF" w:val="clear"/>
            <w:vAlign w:val="bottom"/>
          </w:tcPr>
          <w:p>
            <w:pPr>
              <w:pStyle w:val="TableContents"/>
              <w:bidi w:val="0"/>
              <w:spacing w:before="0" w:after="0"/>
              <w:jc w:val="right"/>
              <w:rPr/>
            </w:pPr>
            <w:r>
              <w:rPr/>
              <w:t>360,221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1,275,180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1,019,911</w:t>
            </w:r>
          </w:p>
        </w:tc>
        <w:tc>
          <w:tcPr>
            <w:tcW w:w="60" w:type="dxa"/>
            <w:tcBorders/>
            <w:shd w:fill="CCEEFF" w:val="clear"/>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0"/>
              <w:jc w:val="left"/>
              <w:rPr/>
            </w:pPr>
            <w:r>
              <w:rPr/>
              <w:t>Traffic acquisition cost (1)</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0"/>
              <w:jc w:val="right"/>
              <w:rPr/>
            </w:pPr>
            <w:r>
              <w:rPr/>
              <w:t>267,997</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0"/>
              <w:jc w:val="right"/>
              <w:rPr/>
            </w:pPr>
            <w:r>
              <w:rPr/>
              <w:t>231,786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821,737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652,602</w:t>
            </w:r>
          </w:p>
        </w:tc>
        <w:tc>
          <w:tcPr>
            <w:tcW w:w="60" w:type="dxa"/>
            <w:tcBorders/>
            <w:vAlign w:val="bottom"/>
          </w:tcPr>
          <w:p>
            <w:pPr>
              <w:pStyle w:val="TableContents"/>
              <w:bidi w:val="0"/>
              <w:spacing w:before="0" w:after="283"/>
              <w:jc w:val="left"/>
              <w:rPr/>
            </w:pPr>
            <w:r>
              <w:rPr/>
              <w:t> </w:t>
            </w:r>
          </w:p>
        </w:tc>
      </w:tr>
      <w:tr>
        <w:trPr/>
        <w:tc>
          <w:tcPr>
            <w:tcW w:w="5165" w:type="dxa"/>
            <w:tcBorders/>
            <w:shd w:fill="CCEEFF" w:val="clear"/>
            <w:vAlign w:val="bottom"/>
          </w:tcPr>
          <w:p>
            <w:pPr>
              <w:pStyle w:val="TableContents"/>
              <w:bidi w:val="0"/>
              <w:spacing w:before="0" w:after="0"/>
              <w:jc w:val="left"/>
              <w:rPr/>
            </w:pPr>
            <w:r>
              <w:rPr/>
              <w:t>Other cost of revenues</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32,138</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27,776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96,835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80,001</w:t>
            </w:r>
          </w:p>
        </w:tc>
        <w:tc>
          <w:tcPr>
            <w:tcW w:w="60" w:type="dxa"/>
            <w:tcBorders/>
            <w:shd w:fill="CCEEFF" w:val="clear"/>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132,877</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100,659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356,608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287,308</w:t>
            </w:r>
          </w:p>
        </w:tc>
        <w:tc>
          <w:tcPr>
            <w:tcW w:w="60" w:type="dxa"/>
            <w:tcBorders/>
            <w:vAlign w:val="bottom"/>
          </w:tcPr>
          <w:p>
            <w:pPr>
              <w:pStyle w:val="TableContents"/>
              <w:bidi w:val="0"/>
              <w:spacing w:before="0" w:after="283"/>
              <w:jc w:val="left"/>
              <w:rPr/>
            </w:pPr>
            <w:r>
              <w:rPr/>
              <w:t> </w:t>
            </w:r>
          </w:p>
        </w:tc>
      </w:tr>
      <w:tr>
        <w:trPr/>
        <w:tc>
          <w:tcPr>
            <w:tcW w:w="5165" w:type="dxa"/>
            <w:tcBorders/>
            <w:shd w:fill="CCEEFF" w:val="clear"/>
            <w:vAlign w:val="bottom"/>
          </w:tcPr>
          <w:p>
            <w:pPr>
              <w:pStyle w:val="TableContents"/>
              <w:bidi w:val="0"/>
              <w:spacing w:before="0" w:after="0"/>
              <w:jc w:val="left"/>
              <w:rPr/>
            </w:pPr>
            <w:r>
              <w:rPr/>
              <w:t>Add back: Other cost of revenues and amortization (1)</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33,528</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27,776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98,225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80,001</w:t>
            </w:r>
          </w:p>
        </w:tc>
        <w:tc>
          <w:tcPr>
            <w:tcW w:w="60" w:type="dxa"/>
            <w:tcBorders/>
            <w:shd w:fill="CCEEFF" w:val="clear"/>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0"/>
              <w:jc w:val="left"/>
              <w:rPr/>
            </w:pPr>
            <w:r>
              <w:rPr/>
              <w:t>ex-TAC Gross Profit</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166,405</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128,435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454,833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367,309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both"/>
              <w:rPr/>
            </w:pPr>
            <w:r>
              <w:rPr/>
              <w:t>The three and nine months ended September 30, 2024 included $1,390 amortization expense of the non-cash based Commercial agreement asset. See Note 1b of Notes to the Unaudited Consolidated Interim Financial Statements.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Adjusted EBITDA and Ratio of Adjusted EBITDA to 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Adjusted EBITDA as net income (loss) before finance income (expenses), net, income tax expenses, depreciation and amortization and non-cash amortization of the Commercial agreement asset, further adjusted to exclude share-based compensation including Connexity holdback compensation expenses and other noteworthy income and expense items such as M&amp;A costs and restructuring costs which may vary from period-to-period.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Adjusted EBITDA is useful because it allows us and others to measure our performance without regard to items such as share-based compensation expense, depreciation and amortization, non-cash amortization of the Commercial agreement asset,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Limitations on the use of Adjusted EBITDA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Although depreciation expense is a non-cash charge, the assets being depreciated may have to be replaced in the future, and Adjusted EBITDA does not reflect cash capital expenditure requirements for such replacements or for new capital expenditure requirements;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Adjusted EBITDA excludes share-based compensation expense, which has been, and will continue to be for the foreseeable future, a significant recurring expense for our business and an important part of our compensation strategy;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Adjusted EBITDA does not reflect, to the extent applicable for a period presented: (1) changes in, or cash requirements for, our working capital needs; (2) interest expense, or the cash requirements necessary to service interest or if applicable principal payments on debt, which reduces cash available to us; or (3) tax payments that may represent a reduction in cash available to us;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expenses and other items that we exclude in our calculation of Adjusted EBITDA may differ from the expenses and other items, if any, that other companies may exclude from Adjusted EBITDA when they report their operating results.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- 30 -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net income (loss) to Adjusted EBITDA:</w:t>
      </w:r>
    </w:p>
    <w:p>
      <w:pPr>
        <w:pStyle w:val="TextBody"/>
        <w:bidi w:val="0"/>
        <w:spacing w:before="0" w:after="0"/>
        <w:jc w:val="left"/>
        <w:rPr>
          <w:color w:val="000000"/>
          <w:shd w:fill="FFFFFF" w:val="clear"/>
        </w:rPr>
      </w:pPr>
      <w:r>
        <w:rPr>
          <w:color w:val="000000"/>
          <w:shd w:fill="FFFFFF" w:val="clear"/>
        </w:rPr>
        <w:t> </w:t>
      </w:r>
    </w:p>
    <w:tbl>
      <w:tblPr>
        <w:tblW w:w="7976" w:type="dxa"/>
        <w:jc w:val="left"/>
        <w:tblInd w:w="0" w:type="dxa"/>
        <w:tblLayout w:type="fixed"/>
        <w:tblCellMar>
          <w:top w:w="0" w:type="dxa"/>
          <w:left w:w="0" w:type="dxa"/>
          <w:bottom w:w="0" w:type="dxa"/>
          <w:right w:w="0" w:type="dxa"/>
        </w:tblCellMar>
      </w:tblPr>
      <w:tblGrid>
        <w:gridCol w:w="3560"/>
        <w:gridCol w:w="60"/>
        <w:gridCol w:w="158"/>
        <w:gridCol w:w="770"/>
        <w:gridCol w:w="107"/>
        <w:gridCol w:w="68"/>
        <w:gridCol w:w="158"/>
        <w:gridCol w:w="855"/>
        <w:gridCol w:w="95"/>
        <w:gridCol w:w="60"/>
        <w:gridCol w:w="140"/>
        <w:gridCol w:w="800"/>
        <w:gridCol w:w="95"/>
        <w:gridCol w:w="60"/>
        <w:gridCol w:w="140"/>
        <w:gridCol w:w="755"/>
        <w:gridCol w:w="95"/>
      </w:tblGrid>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1" w:type="dxa"/>
            <w:gridSpan w:val="14"/>
            <w:tcBorders/>
            <w:vAlign w:val="bottom"/>
          </w:tcPr>
          <w:p>
            <w:pPr>
              <w:pStyle w:val="TableContents"/>
              <w:bidi w:val="0"/>
              <w:spacing w:before="0" w:after="0"/>
              <w:jc w:val="center"/>
              <w:rPr/>
            </w:pPr>
            <w:r>
              <w:rPr/>
              <w:t>(dollars in thousands)</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(6,454</w:t>
            </w:r>
          </w:p>
        </w:tc>
        <w:tc>
          <w:tcPr>
            <w:tcW w:w="107" w:type="dxa"/>
            <w:tcBorders/>
            <w:shd w:fill="CCEEFF" w:val="clear"/>
            <w:vAlign w:val="bottom"/>
          </w:tcPr>
          <w:p>
            <w:pPr>
              <w:pStyle w:val="TableContents"/>
              <w:bidi w:val="0"/>
              <w:spacing w:before="0" w:after="0"/>
              <w:jc w:val="left"/>
              <w:rPr/>
            </w:pPr>
            <w:r>
              <w:rPr/>
              <w:t>)</w:t>
            </w:r>
          </w:p>
        </w:tc>
        <w:tc>
          <w:tcPr>
            <w:tcW w:w="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pPr>
            <w:r>
              <w:rPr/>
              <w:t>$</w:t>
            </w:r>
          </w:p>
        </w:tc>
        <w:tc>
          <w:tcPr>
            <w:tcW w:w="855" w:type="dxa"/>
            <w:tcBorders/>
            <w:shd w:fill="CCEEFF" w:val="clear"/>
            <w:vAlign w:val="bottom"/>
          </w:tcPr>
          <w:p>
            <w:pPr>
              <w:pStyle w:val="TableContents"/>
              <w:bidi w:val="0"/>
              <w:spacing w:before="0" w:after="0"/>
              <w:jc w:val="right"/>
              <w:rPr/>
            </w:pPr>
            <w:r>
              <w:rPr/>
              <w:t>(23,136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(36,903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(85,763</w:t>
            </w:r>
          </w:p>
        </w:tc>
        <w:tc>
          <w:tcPr>
            <w:tcW w:w="95" w:type="dxa"/>
            <w:tcBorders/>
            <w:shd w:fill="CCEEFF" w:val="clear"/>
            <w:vAlign w:val="bottom"/>
          </w:tcPr>
          <w:p>
            <w:pPr>
              <w:pStyle w:val="TableContents"/>
              <w:bidi w:val="0"/>
              <w:spacing w:before="0" w:after="0"/>
              <w:jc w:val="left"/>
              <w:rPr/>
            </w:pPr>
            <w:r>
              <w:rPr/>
              <w:t>)</w:t>
            </w:r>
          </w:p>
        </w:tc>
      </w:tr>
      <w:tr>
        <w:trPr/>
        <w:tc>
          <w:tcPr>
            <w:tcW w:w="3560" w:type="dxa"/>
            <w:tcBorders/>
            <w:vAlign w:val="bottom"/>
          </w:tcPr>
          <w:p>
            <w:pPr>
              <w:pStyle w:val="TableContents"/>
              <w:bidi w:val="0"/>
              <w:spacing w:before="0" w:after="0"/>
              <w:jc w:val="left"/>
              <w:rPr/>
            </w:pPr>
            <w:r>
              <w:rPr/>
              <w:t>Adjusted to exclude the following:</w:t>
            </w:r>
          </w:p>
        </w:tc>
        <w:tc>
          <w:tcPr>
            <w:tcW w:w="60" w:type="dxa"/>
            <w:tcBorders/>
            <w:vAlign w:val="bottom"/>
          </w:tcPr>
          <w:p>
            <w:pPr>
              <w:pStyle w:val="TableContents"/>
              <w:bidi w:val="0"/>
              <w:spacing w:before="0" w:after="283"/>
              <w:jc w:val="left"/>
              <w:rPr/>
            </w:pPr>
            <w:r>
              <w:rPr/>
              <w:t> </w:t>
            </w:r>
          </w:p>
        </w:tc>
        <w:tc>
          <w:tcPr>
            <w:tcW w:w="928" w:type="dxa"/>
            <w:gridSpan w:val="2"/>
            <w:tcBorders/>
            <w:vAlign w:val="bottom"/>
          </w:tcPr>
          <w:p>
            <w:pPr>
              <w:pStyle w:val="TableContents"/>
              <w:bidi w:val="0"/>
              <w:spacing w:before="0" w:after="0"/>
              <w:jc w:val="right"/>
              <w:rPr/>
            </w:pPr>
            <w:r>
              <w:rPr/>
              <w:t>​</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3" w:type="dxa"/>
            <w:gridSpan w:val="2"/>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Finance expenses, net</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1,106</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pPr>
            <w:r>
              <w:rPr/>
              <w:t>4,402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3,740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11,383</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Income tax expenses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9,906</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11,857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1,848</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Depreciation and amortization (1)</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26,183</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pPr>
            <w:r>
              <w:rPr/>
              <w:t>25,316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77,366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70,709</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Share-based compensation expenses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15,423</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pPr>
            <w:r>
              <w:rPr/>
              <w:t>13,605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44,838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41,022</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Holdback compensation expenses (2)</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1,763</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pPr>
            <w:r>
              <w:rPr/>
              <w:t>2,646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7,054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7,846</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Other costs (3)</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tcMar>
              <w:bottom w:w="28" w:type="dxa"/>
            </w:tcMar>
            <w:vAlign w:val="bottom"/>
          </w:tcPr>
          <w:p>
            <w:pPr>
              <w:pStyle w:val="TableContents"/>
              <w:bidi w:val="0"/>
              <w:spacing w:before="0" w:after="0"/>
              <w:jc w:val="right"/>
              <w:rPr/>
            </w:pPr>
            <w:r>
              <w:rPr/>
              <w:t>—</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695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1,571</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Adjusted EBITDA</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47,927</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55" w:type="dxa"/>
            <w:tcBorders>
              <w:bottom w:val="single" w:sz="12" w:space="0" w:color="000000"/>
            </w:tcBorders>
            <w:shd w:fill="CCEEFF" w:val="clear"/>
            <w:tcMar>
              <w:bottom w:w="28" w:type="dxa"/>
            </w:tcMar>
            <w:vAlign w:val="bottom"/>
          </w:tcPr>
          <w:p>
            <w:pPr>
              <w:pStyle w:val="TableContents"/>
              <w:bidi w:val="0"/>
              <w:spacing w:before="0" w:after="0"/>
              <w:jc w:val="right"/>
              <w:rPr/>
            </w:pPr>
            <w:r>
              <w:rPr/>
              <w:t>22,833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108,647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48,616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pPr>
            <w:r>
              <w:rPr/>
              <w:t>The three and nine months ended September 30, 2024 included $1,390 amortization expense of the non-cash based Commercial agreement asset. See Note 1b of Notes to the Unaudited Consolidated Interim Financial Statements.</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both"/>
              <w:rPr/>
            </w:pPr>
            <w:r>
              <w:rPr/>
              <w:t>Represents share-based compensation due to holdback of Ordinary shares issuable under compensatory arrangements relating to Connexity acquisition.</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both"/>
              <w:rPr/>
            </w:pPr>
            <w:r>
              <w:rPr/>
              <w:t>The nine months ended September 30, 2024 and September 30, 2023 included one-time professional service costs and one-time costs related to the Commercial agreement, respectively.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Ratio of Adjusted EBITDA to ex-TAC Gross Profit as Adjusted EBITDA divided by 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ratio of net income (loss) to gross profit and Ratio of Adjusted EBITDA to ex-TAC Gross Profit:</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5082"/>
        <w:gridCol w:w="60"/>
        <w:gridCol w:w="140"/>
        <w:gridCol w:w="800"/>
        <w:gridCol w:w="280"/>
        <w:gridCol w:w="60"/>
        <w:gridCol w:w="140"/>
        <w:gridCol w:w="800"/>
        <w:gridCol w:w="280"/>
        <w:gridCol w:w="60"/>
        <w:gridCol w:w="140"/>
        <w:gridCol w:w="800"/>
        <w:gridCol w:w="280"/>
        <w:gridCol w:w="60"/>
        <w:gridCol w:w="140"/>
        <w:gridCol w:w="800"/>
        <w:gridCol w:w="283"/>
      </w:tblGrid>
      <w:tr>
        <w:trPr/>
        <w:tc>
          <w:tcPr>
            <w:tcW w:w="5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283"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83"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0" w:type="dxa"/>
            <w:gridSpan w:val="14"/>
            <w:tcBorders/>
            <w:vAlign w:val="bottom"/>
          </w:tcPr>
          <w:p>
            <w:pPr>
              <w:pStyle w:val="TableContents"/>
              <w:bidi w:val="0"/>
              <w:spacing w:before="0" w:after="0"/>
              <w:jc w:val="center"/>
              <w:rPr/>
            </w:pPr>
            <w:r>
              <w:rPr/>
              <w:t>(dollars in thousands)</w:t>
            </w:r>
          </w:p>
        </w:tc>
        <w:tc>
          <w:tcPr>
            <w:tcW w:w="283" w:type="dxa"/>
            <w:tcBorders/>
            <w:vAlign w:val="bottom"/>
          </w:tcPr>
          <w:p>
            <w:pPr>
              <w:pStyle w:val="TableContents"/>
              <w:bidi w:val="0"/>
              <w:spacing w:before="0" w:after="283"/>
              <w:jc w:val="left"/>
              <w:rPr/>
            </w:pPr>
            <w:r>
              <w:rPr/>
              <w:t> </w:t>
            </w:r>
          </w:p>
        </w:tc>
      </w:tr>
      <w:tr>
        <w:trPr/>
        <w:tc>
          <w:tcPr>
            <w:tcW w:w="5082" w:type="dxa"/>
            <w:tcBorders/>
            <w:shd w:fill="CCEEFF" w:val="clear"/>
            <w:vAlign w:val="bottom"/>
          </w:tcPr>
          <w:p>
            <w:pPr>
              <w:pStyle w:val="TableContents"/>
              <w:bidi w:val="0"/>
              <w:spacing w:before="0" w:after="0"/>
              <w:jc w:val="left"/>
              <w:rPr/>
            </w:pPr>
            <w:r>
              <w:rPr/>
              <w:t>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132,877</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100,659</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356,608</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287,308</w:t>
            </w:r>
          </w:p>
        </w:tc>
        <w:tc>
          <w:tcPr>
            <w:tcW w:w="283"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0"/>
              <w:jc w:val="left"/>
              <w:rPr/>
            </w:pPr>
            <w:r>
              <w:rPr/>
              <w:t>Net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(6,454</w:t>
            </w:r>
          </w:p>
        </w:tc>
        <w:tc>
          <w:tcPr>
            <w:tcW w:w="28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(23,136</w:t>
            </w:r>
          </w:p>
        </w:tc>
        <w:tc>
          <w:tcPr>
            <w:tcW w:w="28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(36,903</w:t>
            </w:r>
          </w:p>
        </w:tc>
        <w:tc>
          <w:tcPr>
            <w:tcW w:w="28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(85,763</w:t>
            </w:r>
          </w:p>
        </w:tc>
        <w:tc>
          <w:tcPr>
            <w:tcW w:w="283" w:type="dxa"/>
            <w:tcBorders/>
            <w:vAlign w:val="bottom"/>
          </w:tcPr>
          <w:p>
            <w:pPr>
              <w:pStyle w:val="TableContents"/>
              <w:bidi w:val="0"/>
              <w:spacing w:before="0" w:after="0"/>
              <w:jc w:val="left"/>
              <w:rPr/>
            </w:pPr>
            <w:r>
              <w:rPr/>
              <w:t>)</w:t>
            </w:r>
          </w:p>
        </w:tc>
      </w:tr>
      <w:tr>
        <w:trPr/>
        <w:tc>
          <w:tcPr>
            <w:tcW w:w="5082" w:type="dxa"/>
            <w:tcBorders/>
            <w:shd w:fill="CCEEFF" w:val="clear"/>
            <w:vAlign w:val="bottom"/>
          </w:tcPr>
          <w:p>
            <w:pPr>
              <w:pStyle w:val="TableContents"/>
              <w:bidi w:val="0"/>
              <w:spacing w:before="0" w:after="0"/>
              <w:jc w:val="left"/>
              <w:rPr/>
            </w:pPr>
            <w:r>
              <w:rPr/>
              <w:t>Ratio of net loss to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(4.9</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(23.0</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(10.3</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(29.9</w:t>
            </w:r>
          </w:p>
        </w:tc>
        <w:tc>
          <w:tcPr>
            <w:tcW w:w="283" w:type="dxa"/>
            <w:tcBorders/>
            <w:shd w:fill="CCEEFF" w:val="clear"/>
            <w:vAlign w:val="bottom"/>
          </w:tcPr>
          <w:p>
            <w:pPr>
              <w:pStyle w:val="TableContents"/>
              <w:bidi w:val="0"/>
              <w:spacing w:before="0" w:after="0"/>
              <w:jc w:val="left"/>
              <w:rPr/>
            </w:pPr>
            <w:r>
              <w:rPr/>
              <w:t>%)</w:t>
            </w:r>
          </w:p>
        </w:tc>
      </w:tr>
      <w:tr>
        <w:trPr/>
        <w:tc>
          <w:tcPr>
            <w:tcW w:w="5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5082" w:type="dxa"/>
            <w:tcBorders/>
            <w:shd w:fill="CCEEFF" w:val="clear"/>
            <w:vAlign w:val="bottom"/>
          </w:tcPr>
          <w:p>
            <w:pPr>
              <w:pStyle w:val="TableContents"/>
              <w:bidi w:val="0"/>
              <w:spacing w:before="0" w:after="0"/>
              <w:jc w:val="left"/>
              <w:rPr/>
            </w:pPr>
            <w:r>
              <w:rPr/>
              <w:t>ex-TAC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166,405</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128,435</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454,833</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367,309</w:t>
            </w:r>
          </w:p>
        </w:tc>
        <w:tc>
          <w:tcPr>
            <w:tcW w:w="283"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0"/>
              <w:jc w:val="left"/>
              <w:rPr/>
            </w:pPr>
            <w:r>
              <w:rPr/>
              <w:t>Adjusted EBITDA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47,927</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22,833</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108,647</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48,616</w:t>
            </w:r>
          </w:p>
        </w:tc>
        <w:tc>
          <w:tcPr>
            <w:tcW w:w="283" w:type="dxa"/>
            <w:tcBorders/>
            <w:vAlign w:val="bottom"/>
          </w:tcPr>
          <w:p>
            <w:pPr>
              <w:pStyle w:val="TableContents"/>
              <w:bidi w:val="0"/>
              <w:spacing w:before="0" w:after="283"/>
              <w:jc w:val="left"/>
              <w:rPr/>
            </w:pPr>
            <w:r>
              <w:rPr/>
              <w:t> </w:t>
            </w:r>
          </w:p>
        </w:tc>
      </w:tr>
      <w:tr>
        <w:trPr/>
        <w:tc>
          <w:tcPr>
            <w:tcW w:w="5082" w:type="dxa"/>
            <w:tcBorders/>
            <w:shd w:fill="CCEEFF" w:val="clear"/>
            <w:vAlign w:val="bottom"/>
          </w:tcPr>
          <w:p>
            <w:pPr>
              <w:pStyle w:val="TableContents"/>
              <w:bidi w:val="0"/>
              <w:spacing w:before="0" w:after="0"/>
              <w:jc w:val="left"/>
              <w:rPr/>
            </w:pPr>
            <w:r>
              <w:rPr/>
              <w:t>Ratio of Adjusted EBITDA margin to ex-TAC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28.8</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17.8</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23.9</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13.2</w:t>
            </w:r>
          </w:p>
        </w:tc>
        <w:tc>
          <w:tcPr>
            <w:tcW w:w="283"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- 31 -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Non-GAAP Net Income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Non-GAAP Net Income (Loss) as net income (loss) adjusted to exclude revaluation of our Warrants liability, share-based compensation expense, including Connexity holdback compensation expenses, M&amp;A costs, amortization of acquired intangible assets and the non-cash based Commercial agreement asset, foreign currency exchange rate gains (losses), net, and other noteworthy items that change from period to period and related tax effects.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Non-GAAP Net Income (Loss) is useful because it allows us and others to measure our operating performance and trends without regard to items such as the revaluation of our Warrants liability, share-based compensation expense, cash and non-cash M&amp;A costs, amortization of acquired intangible assets and the non-cash based Commercial agreement asset, foreign currency exchange rate (gains) losses, net and other noteworthy items that change from period to period and related tax effects. These items can vary substantially depending on our share price, acquisition activity, the method by which assets are acquired and other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Limitations on the use of Non-GAAP Net Income (Loss)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excludes share-based compensation expense, which has been, and will continue to be for the foreseeable future, a significant recurring expense for our business and an important part of our compensation strategy;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will generally be more favorable than our net income (loss) for the same period due to the nature of the items being excluded from its calculation;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is a performance measure and should not be used as a measure of liquidity.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net income (loss) to Non-GAAP Net Income (Loss) for the periods shown:</w:t>
      </w:r>
    </w:p>
    <w:p>
      <w:pPr>
        <w:pStyle w:val="TextBody"/>
        <w:bidi w:val="0"/>
        <w:spacing w:before="0" w:after="0"/>
        <w:jc w:val="left"/>
        <w:rPr>
          <w:color w:val="000000"/>
          <w:shd w:fill="FFFFFF" w:val="clear"/>
        </w:rPr>
      </w:pPr>
      <w:r>
        <w:rPr>
          <w:color w:val="000000"/>
          <w:shd w:fill="FFFFFF" w:val="clear"/>
        </w:rPr>
        <w:t> </w:t>
      </w:r>
    </w:p>
    <w:tbl>
      <w:tblPr>
        <w:tblW w:w="9062" w:type="dxa"/>
        <w:jc w:val="left"/>
        <w:tblInd w:w="0" w:type="dxa"/>
        <w:tblLayout w:type="fixed"/>
        <w:tblCellMar>
          <w:top w:w="0" w:type="dxa"/>
          <w:left w:w="0" w:type="dxa"/>
          <w:bottom w:w="0" w:type="dxa"/>
          <w:right w:w="0" w:type="dxa"/>
        </w:tblCellMar>
      </w:tblPr>
      <w:tblGrid>
        <w:gridCol w:w="4655"/>
        <w:gridCol w:w="60"/>
        <w:gridCol w:w="158"/>
        <w:gridCol w:w="770"/>
        <w:gridCol w:w="107"/>
        <w:gridCol w:w="68"/>
        <w:gridCol w:w="158"/>
        <w:gridCol w:w="855"/>
        <w:gridCol w:w="95"/>
        <w:gridCol w:w="60"/>
        <w:gridCol w:w="142"/>
        <w:gridCol w:w="770"/>
        <w:gridCol w:w="96"/>
        <w:gridCol w:w="61"/>
        <w:gridCol w:w="142"/>
        <w:gridCol w:w="770"/>
        <w:gridCol w:w="95"/>
      </w:tblGrid>
      <w:tr>
        <w:trPr/>
        <w:tc>
          <w:tcPr>
            <w:tcW w:w="4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2" w:type="dxa"/>
            <w:gridSpan w:val="14"/>
            <w:tcBorders/>
            <w:vAlign w:val="bottom"/>
          </w:tcPr>
          <w:p>
            <w:pPr>
              <w:pStyle w:val="TableContents"/>
              <w:bidi w:val="0"/>
              <w:spacing w:before="0" w:after="0"/>
              <w:jc w:val="center"/>
              <w:rPr/>
            </w:pPr>
            <w:r>
              <w:rPr/>
              <w:t>(dollars in thousands)</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(6,454</w:t>
            </w:r>
          </w:p>
        </w:tc>
        <w:tc>
          <w:tcPr>
            <w:tcW w:w="107" w:type="dxa"/>
            <w:tcBorders/>
            <w:shd w:fill="CCEEFF" w:val="clear"/>
            <w:vAlign w:val="bottom"/>
          </w:tcPr>
          <w:p>
            <w:pPr>
              <w:pStyle w:val="TableContents"/>
              <w:bidi w:val="0"/>
              <w:spacing w:before="0" w:after="0"/>
              <w:jc w:val="left"/>
              <w:rPr/>
            </w:pPr>
            <w:r>
              <w:rPr/>
              <w:t>)</w:t>
            </w:r>
          </w:p>
        </w:tc>
        <w:tc>
          <w:tcPr>
            <w:tcW w:w="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pPr>
            <w:r>
              <w:rPr/>
              <w:t>$</w:t>
            </w:r>
          </w:p>
        </w:tc>
        <w:tc>
          <w:tcPr>
            <w:tcW w:w="855" w:type="dxa"/>
            <w:tcBorders/>
            <w:shd w:fill="CCEEFF" w:val="clear"/>
            <w:vAlign w:val="bottom"/>
          </w:tcPr>
          <w:p>
            <w:pPr>
              <w:pStyle w:val="TableContents"/>
              <w:bidi w:val="0"/>
              <w:spacing w:before="0" w:after="0"/>
              <w:jc w:val="right"/>
              <w:rPr/>
            </w:pPr>
            <w:r>
              <w:rPr/>
              <w:t>(23,136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(36,903</w:t>
            </w:r>
          </w:p>
        </w:tc>
        <w:tc>
          <w:tcPr>
            <w:tcW w:w="96"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(85,763</w:t>
            </w:r>
          </w:p>
        </w:tc>
        <w:tc>
          <w:tcPr>
            <w:tcW w:w="95" w:type="dxa"/>
            <w:tcBorders/>
            <w:shd w:fill="CCEEFF" w:val="clear"/>
            <w:vAlign w:val="bottom"/>
          </w:tcPr>
          <w:p>
            <w:pPr>
              <w:pStyle w:val="TableContents"/>
              <w:bidi w:val="0"/>
              <w:spacing w:before="0" w:after="0"/>
              <w:jc w:val="left"/>
              <w:rPr/>
            </w:pPr>
            <w:r>
              <w:rPr/>
              <w:t>)</w:t>
            </w:r>
          </w:p>
        </w:tc>
      </w:tr>
      <w:tr>
        <w:trPr/>
        <w:tc>
          <w:tcPr>
            <w:tcW w:w="4655" w:type="dxa"/>
            <w:tcBorders/>
            <w:vAlign w:val="bottom"/>
          </w:tcPr>
          <w:p>
            <w:pPr>
              <w:pStyle w:val="TableContents"/>
              <w:bidi w:val="0"/>
              <w:spacing w:before="0" w:after="0"/>
              <w:jc w:val="left"/>
              <w:rPr/>
            </w:pPr>
            <w:r>
              <w:rPr/>
              <w:t>Amortization (1)</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16,474</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pPr>
            <w:r>
              <w:rPr/>
              <w:t>15,980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48,163</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47,911</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jc w:val="left"/>
              <w:rPr/>
            </w:pPr>
            <w:r>
              <w:rPr/>
              <w:t>Share-based compensation expenses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15,423</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pPr>
            <w:r>
              <w:rPr/>
              <w:t>13,605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44,838</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41,022</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0"/>
              <w:jc w:val="left"/>
              <w:rPr/>
            </w:pPr>
            <w:r>
              <w:rPr/>
              <w:t>Holdback compensation expenses (2)</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1,763</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pPr>
            <w:r>
              <w:rPr/>
              <w:t>2,646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7,054</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7,846</w:t>
            </w:r>
          </w:p>
        </w:tc>
        <w:tc>
          <w:tcPr>
            <w:tcW w:w="95" w:type="dxa"/>
            <w:tcBorders/>
            <w:vAlign w:val="bottom"/>
          </w:tcPr>
          <w:p>
            <w:pPr>
              <w:pStyle w:val="TableContents"/>
              <w:bidi w:val="0"/>
              <w:spacing w:before="0" w:after="283"/>
              <w:jc w:val="left"/>
              <w:rPr/>
            </w:pPr>
            <w:r>
              <w:rPr/>
              <w:t> </w:t>
            </w:r>
          </w:p>
        </w:tc>
      </w:tr>
      <w:tr>
        <w:trPr/>
        <w:tc>
          <w:tcPr>
            <w:tcW w:w="4655" w:type="dxa"/>
            <w:tcBorders/>
            <w:shd w:fill="CCEEFF" w:val="clear"/>
            <w:vAlign w:val="bottom"/>
          </w:tcPr>
          <w:p>
            <w:pPr>
              <w:pStyle w:val="TableContents"/>
              <w:bidi w:val="0"/>
              <w:spacing w:before="0" w:after="0"/>
              <w:jc w:val="left"/>
              <w:rPr/>
            </w:pPr>
            <w:r>
              <w:rPr/>
              <w:t>Other costs (3)</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695</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1,571</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0"/>
              <w:jc w:val="left"/>
              <w:rPr/>
            </w:pPr>
            <w:r>
              <w:rPr/>
              <w:t>Revaluation of Warrants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(737</w:t>
            </w:r>
          </w:p>
        </w:tc>
        <w:tc>
          <w:tcPr>
            <w:tcW w:w="107" w:type="dxa"/>
            <w:tcBorders/>
            <w:vAlign w:val="bottom"/>
          </w:tcPr>
          <w:p>
            <w:pPr>
              <w:pStyle w:val="TableContents"/>
              <w:bidi w:val="0"/>
              <w:spacing w:before="0" w:after="0"/>
              <w:jc w:val="left"/>
              <w:rPr/>
            </w:pPr>
            <w:r>
              <w:rPr/>
              <w:t>)</w:t>
            </w:r>
          </w:p>
        </w:tc>
        <w:tc>
          <w:tcPr>
            <w:tcW w:w="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pPr>
            <w:r>
              <w:rPr/>
              <w:t>241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(4,624</w:t>
            </w:r>
          </w:p>
        </w:tc>
        <w:tc>
          <w:tcPr>
            <w:tcW w:w="96"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(733</w:t>
            </w:r>
          </w:p>
        </w:tc>
        <w:tc>
          <w:tcPr>
            <w:tcW w:w="95" w:type="dxa"/>
            <w:tcBorders/>
            <w:vAlign w:val="bottom"/>
          </w:tcPr>
          <w:p>
            <w:pPr>
              <w:pStyle w:val="TableContents"/>
              <w:bidi w:val="0"/>
              <w:spacing w:before="0" w:after="0"/>
              <w:jc w:val="left"/>
              <w:rPr/>
            </w:pPr>
            <w:r>
              <w:rPr/>
              <w:t>)</w:t>
            </w:r>
          </w:p>
        </w:tc>
      </w:tr>
      <w:tr>
        <w:trPr/>
        <w:tc>
          <w:tcPr>
            <w:tcW w:w="4655" w:type="dxa"/>
            <w:tcBorders/>
            <w:shd w:fill="CCEEFF" w:val="clear"/>
            <w:vAlign w:val="bottom"/>
          </w:tcPr>
          <w:p>
            <w:pPr>
              <w:pStyle w:val="TableContents"/>
              <w:bidi w:val="0"/>
              <w:spacing w:before="0" w:after="0"/>
              <w:jc w:val="left"/>
              <w:rPr/>
            </w:pPr>
            <w:r>
              <w:rPr/>
              <w:t>Foreign currency exchange rate losses (gains) (4)</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(738</w:t>
            </w:r>
          </w:p>
        </w:tc>
        <w:tc>
          <w:tcPr>
            <w:tcW w:w="107" w:type="dxa"/>
            <w:tcBorders/>
            <w:shd w:fill="CCEEFF" w:val="clear"/>
            <w:vAlign w:val="bottom"/>
          </w:tcPr>
          <w:p>
            <w:pPr>
              <w:pStyle w:val="TableContents"/>
              <w:bidi w:val="0"/>
              <w:spacing w:before="0" w:after="0"/>
              <w:jc w:val="left"/>
              <w:rPr/>
            </w:pPr>
            <w:r>
              <w:rPr/>
              <w:t>)</w:t>
            </w:r>
          </w:p>
        </w:tc>
        <w:tc>
          <w:tcPr>
            <w:tcW w:w="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pPr>
            <w:r>
              <w:rPr/>
              <w:t>859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650</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625</w:t>
            </w:r>
          </w:p>
        </w:tc>
        <w:tc>
          <w:tcPr>
            <w:tcW w:w="95" w:type="dxa"/>
            <w:tcBorders/>
            <w:shd w:fill="CCEEFF" w:val="clear"/>
            <w:vAlign w:val="bottom"/>
          </w:tcPr>
          <w:p>
            <w:pPr>
              <w:pStyle w:val="TableContents"/>
              <w:bidi w:val="0"/>
              <w:spacing w:before="0" w:after="283"/>
              <w:jc w:val="left"/>
              <w:rPr/>
            </w:pPr>
            <w:r>
              <w:rPr/>
              <w:t> </w:t>
            </w:r>
          </w:p>
        </w:tc>
      </w:tr>
      <w:tr>
        <w:trPr/>
        <w:tc>
          <w:tcPr>
            <w:tcW w:w="4655" w:type="dxa"/>
            <w:tcBorders/>
            <w:vAlign w:val="bottom"/>
          </w:tcPr>
          <w:p>
            <w:pPr>
              <w:pStyle w:val="TableContents"/>
              <w:bidi w:val="0"/>
              <w:spacing w:before="0" w:after="0"/>
              <w:jc w:val="left"/>
              <w:rPr/>
            </w:pPr>
            <w:r>
              <w:rPr/>
              <w:t>Income tax effects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tcMar>
              <w:bottom w:w="28" w:type="dxa"/>
            </w:tcMar>
            <w:vAlign w:val="bottom"/>
          </w:tcPr>
          <w:p>
            <w:pPr>
              <w:pStyle w:val="TableContents"/>
              <w:bidi w:val="0"/>
              <w:spacing w:before="0" w:after="0"/>
              <w:jc w:val="right"/>
              <w:rPr/>
            </w:pPr>
            <w:r>
              <w:rPr/>
              <w:t>(3,520</w:t>
            </w:r>
          </w:p>
        </w:tc>
        <w:tc>
          <w:tcPr>
            <w:tcW w:w="107" w:type="dxa"/>
            <w:tcBorders/>
            <w:vAlign w:val="bottom"/>
          </w:tcPr>
          <w:p>
            <w:pPr>
              <w:pStyle w:val="TableContents"/>
              <w:bidi w:val="0"/>
              <w:spacing w:before="0" w:after="0"/>
              <w:jc w:val="left"/>
              <w:rPr/>
            </w:pPr>
            <w:r>
              <w:rPr/>
              <w:t>)</w:t>
            </w:r>
          </w:p>
        </w:tc>
        <w:tc>
          <w:tcPr>
            <w:tcW w:w="68"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pPr>
            <w:r>
              <w:rPr/>
              <w:t>(3,491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tcMar>
              <w:bottom w:w="28" w:type="dxa"/>
            </w:tcMar>
            <w:vAlign w:val="bottom"/>
          </w:tcPr>
          <w:p>
            <w:pPr>
              <w:pStyle w:val="TableContents"/>
              <w:bidi w:val="0"/>
              <w:spacing w:before="0" w:after="0"/>
              <w:jc w:val="right"/>
              <w:rPr/>
            </w:pPr>
            <w:r>
              <w:rPr/>
              <w:t>(10,820</w:t>
            </w:r>
          </w:p>
        </w:tc>
        <w:tc>
          <w:tcPr>
            <w:tcW w:w="96"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tcMar>
              <w:bottom w:w="28" w:type="dxa"/>
            </w:tcMar>
            <w:vAlign w:val="bottom"/>
          </w:tcPr>
          <w:p>
            <w:pPr>
              <w:pStyle w:val="TableContents"/>
              <w:bidi w:val="0"/>
              <w:spacing w:before="0" w:after="0"/>
              <w:jc w:val="right"/>
              <w:rPr/>
            </w:pPr>
            <w:r>
              <w:rPr/>
              <w:t>(11,282</w:t>
            </w:r>
          </w:p>
        </w:tc>
        <w:tc>
          <w:tcPr>
            <w:tcW w:w="95" w:type="dxa"/>
            <w:tcBorders/>
            <w:vAlign w:val="bottom"/>
          </w:tcPr>
          <w:p>
            <w:pPr>
              <w:pStyle w:val="TableContents"/>
              <w:bidi w:val="0"/>
              <w:spacing w:before="0" w:after="0"/>
              <w:jc w:val="left"/>
              <w:rPr/>
            </w:pPr>
            <w:r>
              <w:rPr/>
              <w:t>)</w:t>
            </w:r>
          </w:p>
        </w:tc>
      </w:tr>
      <w:tr>
        <w:trPr/>
        <w:tc>
          <w:tcPr>
            <w:tcW w:w="4655" w:type="dxa"/>
            <w:tcBorders/>
            <w:shd w:fill="CCEEFF" w:val="clear"/>
            <w:vAlign w:val="bottom"/>
          </w:tcPr>
          <w:p>
            <w:pPr>
              <w:pStyle w:val="TableContents"/>
              <w:bidi w:val="0"/>
              <w:spacing w:before="0" w:after="0"/>
              <w:jc w:val="left"/>
              <w:rPr/>
            </w:pPr>
            <w:r>
              <w:rPr/>
              <w:t>Non-GAAP Net Income</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22,211</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55" w:type="dxa"/>
            <w:tcBorders>
              <w:bottom w:val="single" w:sz="12" w:space="0" w:color="000000"/>
            </w:tcBorders>
            <w:shd w:fill="CCEEFF" w:val="clear"/>
            <w:tcMar>
              <w:bottom w:w="28" w:type="dxa"/>
            </w:tcMar>
            <w:vAlign w:val="bottom"/>
          </w:tcPr>
          <w:p>
            <w:pPr>
              <w:pStyle w:val="TableContents"/>
              <w:bidi w:val="0"/>
              <w:spacing w:before="0" w:after="0"/>
              <w:jc w:val="right"/>
              <w:rPr/>
            </w:pPr>
            <w:r>
              <w:rPr/>
              <w:t>6,704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49,053</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1,197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pPr>
            <w:r>
              <w:rPr/>
              <w:t>The three and nine months ended September 30, 2024 included $1,390 of amortization expense related to the non-cash based Commercial agreement asset. See Note 1b of Notes to the Unaudited Consolidated Interim Financial Statements.</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both"/>
              <w:rPr/>
            </w:pPr>
            <w:r>
              <w:rPr/>
              <w:t>Represents share-based compensation due to holdback of Ordinary shares issuable under compensatory arrangements relating to Connexity acquisition.</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both"/>
              <w:rPr/>
            </w:pPr>
            <w:r>
              <w:rPr/>
              <w:t>The nine months ended September 30, 2024 and September 30, 2023 included one-time professional service costs and one-time costs related to the Commercial agreement, respectively.</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both"/>
              <w:rPr/>
            </w:pPr>
            <w:r>
              <w:rPr/>
              <w:t>Represents foreign currency exchange rate gains or losses related to the remeasurement of monetary assets and liabilities to the Company’s functional currency using exchange rates in effect at the end of the reporting period.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- 32 -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Free Cash Flow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Free Cash Flow as Net cash flow provided by operating activities minus purchases of property, plant and equipment, including capitalized internal-use software.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Limitations on the use of Free Cash Flow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It should not be inferred that the entire Free Cash Flow amount is available for discretionary expenditures. For example, cash is still required to satisfy other working capital needs, including short-term investment policy, restricted cash, repayment of loan and intangible assets;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Free Cash Flow has limitations as an analytical tool, and it should not be considered in isolation or as a substitute for analysis of other GAAP financial measures, such as net cash provided by operating activities; and</w:t>
            </w:r>
          </w:p>
        </w:tc>
      </w:tr>
    </w:tbl>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pPr>
            <w:r>
              <w:rPr/>
              <w:t>This metric does not reflect our future contractual commitments.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5873"/>
        <w:gridCol w:w="60"/>
        <w:gridCol w:w="158"/>
        <w:gridCol w:w="769"/>
        <w:gridCol w:w="107"/>
        <w:gridCol w:w="67"/>
        <w:gridCol w:w="158"/>
        <w:gridCol w:w="769"/>
        <w:gridCol w:w="95"/>
        <w:gridCol w:w="60"/>
        <w:gridCol w:w="140"/>
        <w:gridCol w:w="800"/>
        <w:gridCol w:w="95"/>
        <w:gridCol w:w="60"/>
        <w:gridCol w:w="140"/>
        <w:gridCol w:w="755"/>
        <w:gridCol w:w="99"/>
      </w:tblGrid>
      <w:tr>
        <w:trPr/>
        <w:tc>
          <w:tcPr>
            <w:tcW w:w="58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9" w:type="dxa"/>
            <w:tcBorders/>
            <w:vAlign w:val="bottom"/>
          </w:tcPr>
          <w:p>
            <w:pPr>
              <w:pStyle w:val="TableContents"/>
              <w:bidi w:val="0"/>
              <w:spacing w:before="0" w:after="283"/>
              <w:jc w:val="left"/>
              <w:rPr/>
            </w:pPr>
            <w:r>
              <w:rPr/>
              <w:t> </w:t>
            </w:r>
          </w:p>
        </w:tc>
      </w:tr>
      <w:tr>
        <w:trPr/>
        <w:tc>
          <w:tcPr>
            <w:tcW w:w="58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0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9" w:type="dxa"/>
            <w:tcBorders/>
            <w:vAlign w:val="bottom"/>
          </w:tcPr>
          <w:p>
            <w:pPr>
              <w:pStyle w:val="TableContents"/>
              <w:bidi w:val="0"/>
              <w:spacing w:before="0" w:after="283"/>
              <w:jc w:val="left"/>
              <w:rPr/>
            </w:pPr>
            <w:r>
              <w:rPr/>
              <w:t> </w:t>
            </w:r>
          </w:p>
        </w:tc>
      </w:tr>
      <w:tr>
        <w:trPr/>
        <w:tc>
          <w:tcPr>
            <w:tcW w:w="58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3" w:type="dxa"/>
            <w:gridSpan w:val="14"/>
            <w:tcBorders/>
            <w:vAlign w:val="bottom"/>
          </w:tcPr>
          <w:p>
            <w:pPr>
              <w:pStyle w:val="TableContents"/>
              <w:bidi w:val="0"/>
              <w:spacing w:before="0" w:after="0"/>
              <w:jc w:val="center"/>
              <w:rPr/>
            </w:pPr>
            <w:r>
              <w:rPr/>
              <w:t>(dollars in thousands)</w:t>
            </w:r>
          </w:p>
        </w:tc>
        <w:tc>
          <w:tcPr>
            <w:tcW w:w="99" w:type="dxa"/>
            <w:tcBorders/>
            <w:vAlign w:val="bottom"/>
          </w:tcPr>
          <w:p>
            <w:pPr>
              <w:pStyle w:val="TableContents"/>
              <w:bidi w:val="0"/>
              <w:spacing w:before="0" w:after="283"/>
              <w:jc w:val="left"/>
              <w:rPr/>
            </w:pPr>
            <w:r>
              <w:rPr/>
              <w:t> </w:t>
            </w:r>
          </w:p>
        </w:tc>
      </w:tr>
      <w:tr>
        <w:trPr/>
        <w:tc>
          <w:tcPr>
            <w:tcW w:w="5873" w:type="dxa"/>
            <w:tcBorders/>
            <w:shd w:fill="CCEEFF" w:val="clear"/>
            <w:vAlign w:val="bottom"/>
          </w:tcPr>
          <w:p>
            <w:pPr>
              <w:pStyle w:val="TableContents"/>
              <w:bidi w:val="0"/>
              <w:spacing w:before="0" w:after="0"/>
              <w:jc w:val="left"/>
              <w:rPr/>
            </w:pPr>
            <w:r>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pPr>
            <w:r>
              <w:rPr/>
              <w:t>$</w:t>
            </w:r>
          </w:p>
        </w:tc>
        <w:tc>
          <w:tcPr>
            <w:tcW w:w="769" w:type="dxa"/>
            <w:tcBorders/>
            <w:shd w:fill="CCEEFF" w:val="clear"/>
            <w:vAlign w:val="bottom"/>
          </w:tcPr>
          <w:p>
            <w:pPr>
              <w:pStyle w:val="TableContents"/>
              <w:bidi w:val="0"/>
              <w:spacing w:before="0" w:after="0"/>
              <w:jc w:val="right"/>
              <w:rPr/>
            </w:pPr>
            <w:r>
              <w:rPr/>
              <w:t>49,772</w:t>
            </w:r>
          </w:p>
        </w:tc>
        <w:tc>
          <w:tcPr>
            <w:tcW w:w="10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pPr>
            <w:r>
              <w:rPr/>
              <w:t>$</w:t>
            </w:r>
          </w:p>
        </w:tc>
        <w:tc>
          <w:tcPr>
            <w:tcW w:w="769" w:type="dxa"/>
            <w:tcBorders/>
            <w:shd w:fill="CCEEFF" w:val="clear"/>
            <w:vAlign w:val="bottom"/>
          </w:tcPr>
          <w:p>
            <w:pPr>
              <w:pStyle w:val="TableContents"/>
              <w:bidi w:val="0"/>
              <w:spacing w:before="0" w:after="0"/>
              <w:jc w:val="right"/>
              <w:rPr/>
            </w:pPr>
            <w:r>
              <w:rPr/>
              <w:t>32,459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122,396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61,581</w:t>
            </w:r>
          </w:p>
        </w:tc>
        <w:tc>
          <w:tcPr>
            <w:tcW w:w="99" w:type="dxa"/>
            <w:tcBorders/>
            <w:shd w:fill="CCEEFF" w:val="clear"/>
            <w:vAlign w:val="bottom"/>
          </w:tcPr>
          <w:p>
            <w:pPr>
              <w:pStyle w:val="TableContents"/>
              <w:bidi w:val="0"/>
              <w:spacing w:before="0" w:after="283"/>
              <w:jc w:val="left"/>
              <w:rPr/>
            </w:pPr>
            <w:r>
              <w:rPr/>
              <w:t> </w:t>
            </w:r>
          </w:p>
        </w:tc>
      </w:tr>
      <w:tr>
        <w:trPr/>
        <w:tc>
          <w:tcPr>
            <w:tcW w:w="5873" w:type="dxa"/>
            <w:tcBorders/>
            <w:vAlign w:val="bottom"/>
          </w:tcPr>
          <w:p>
            <w:pPr>
              <w:pStyle w:val="TableContents"/>
              <w:bidi w:val="0"/>
              <w:spacing w:before="0" w:after="0"/>
              <w:jc w:val="left"/>
              <w:rPr/>
            </w:pPr>
            <w:r>
              <w:rPr/>
              <w:t>Purchases of property and equipment, including capitalized internal-use software</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0"/>
              <w:jc w:val="right"/>
              <w:rPr/>
            </w:pPr>
            <w:r>
              <w:rPr/>
              <w:t>(6,908</w:t>
            </w:r>
          </w:p>
        </w:tc>
        <w:tc>
          <w:tcPr>
            <w:tcW w:w="107" w:type="dxa"/>
            <w:tcBorders/>
            <w:vAlign w:val="bottom"/>
          </w:tcPr>
          <w:p>
            <w:pPr>
              <w:pStyle w:val="TableContents"/>
              <w:bidi w:val="0"/>
              <w:spacing w:before="0" w:after="0"/>
              <w:jc w:val="left"/>
              <w:rPr/>
            </w:pPr>
            <w:r>
              <w:rPr/>
              <w:t>)</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0"/>
              <w:jc w:val="right"/>
              <w:rPr/>
            </w:pPr>
            <w:r>
              <w:rPr/>
              <w:t>(9,661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(25,130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(19,839</w:t>
            </w:r>
          </w:p>
        </w:tc>
        <w:tc>
          <w:tcPr>
            <w:tcW w:w="99" w:type="dxa"/>
            <w:tcBorders/>
            <w:vAlign w:val="bottom"/>
          </w:tcPr>
          <w:p>
            <w:pPr>
              <w:pStyle w:val="TableContents"/>
              <w:bidi w:val="0"/>
              <w:spacing w:before="0" w:after="0"/>
              <w:jc w:val="left"/>
              <w:rPr/>
            </w:pPr>
            <w:r>
              <w:rPr/>
              <w:t>)</w:t>
            </w:r>
          </w:p>
        </w:tc>
      </w:tr>
      <w:tr>
        <w:trPr/>
        <w:tc>
          <w:tcPr>
            <w:tcW w:w="5873" w:type="dxa"/>
            <w:tcBorders/>
            <w:shd w:fill="CCEEFF" w:val="clear"/>
            <w:vAlign w:val="bottom"/>
          </w:tcPr>
          <w:p>
            <w:pPr>
              <w:pStyle w:val="TableContents"/>
              <w:bidi w:val="0"/>
              <w:spacing w:before="0" w:after="0"/>
              <w:jc w:val="left"/>
              <w:rPr/>
            </w:pPr>
            <w:r>
              <w:rPr/>
              <w:t>Free Cash Flow</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69" w:type="dxa"/>
            <w:tcBorders>
              <w:bottom w:val="single" w:sz="12" w:space="0" w:color="000000"/>
            </w:tcBorders>
            <w:shd w:fill="CCEEFF" w:val="clear"/>
            <w:tcMar>
              <w:bottom w:w="28" w:type="dxa"/>
            </w:tcMar>
            <w:vAlign w:val="bottom"/>
          </w:tcPr>
          <w:p>
            <w:pPr>
              <w:pStyle w:val="TableContents"/>
              <w:bidi w:val="0"/>
              <w:spacing w:before="0" w:after="0"/>
              <w:jc w:val="right"/>
              <w:rPr/>
            </w:pPr>
            <w:r>
              <w:rPr/>
              <w:t>42,864</w:t>
            </w:r>
          </w:p>
        </w:tc>
        <w:tc>
          <w:tcPr>
            <w:tcW w:w="10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69" w:type="dxa"/>
            <w:tcBorders>
              <w:bottom w:val="single" w:sz="12" w:space="0" w:color="000000"/>
            </w:tcBorders>
            <w:shd w:fill="CCEEFF" w:val="clear"/>
            <w:tcMar>
              <w:bottom w:w="28" w:type="dxa"/>
            </w:tcMar>
            <w:vAlign w:val="bottom"/>
          </w:tcPr>
          <w:p>
            <w:pPr>
              <w:pStyle w:val="TableContents"/>
              <w:bidi w:val="0"/>
              <w:spacing w:before="0" w:after="0"/>
              <w:jc w:val="right"/>
              <w:rPr/>
            </w:pPr>
            <w:r>
              <w:rPr/>
              <w:t>22,798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97,266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41,742</w:t>
            </w:r>
          </w:p>
        </w:tc>
        <w:tc>
          <w:tcPr>
            <w:tcW w:w="9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Components of Our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- 33 -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cost of revenue primarily includes traffic acquisition cost and also includes other cost of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Traffic acquisition cost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and the amortization of the non-cash based Commercial agreement asset (see Note 1b of Notes to the Unaudited Consolidated Interim Financial Statements) which are amortized over the shorter of respective contractual terms and the economic benefit period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Other 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cost of revenues includes data center and related costs, depreciation expense related to hardware supporting our platform, amortization expense related to capitalized internal-use software and acquired technology, digital and services taxes, content cost, personnel costs, and allocated facilities costs. Personnel costs include salaries, bonuses, share-based compensation, and employee benefit costs, and are primarily attributable to our operations group, which supports our platform and our Advertisers.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Sales and marketing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- 34 -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General and administrative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 to increase as we scale up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Finance income (expenses),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income (expenses), net, primarily consists of interest income (expense) including amortization of loan and credit facility issuance costs, Warrants liability fair value adjustments, gains (losses) from foreign exchange fluctuations and bank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 benefit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statutory corporate tax rate in Israel was 23% for the nine months ended September 30, 2024 and 2023, although we are entitled to certain tax benefits under Israeli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Israeli Law for Encouragement of Capital Investments-1959 (the “Investments Law”) and its various amendments, under which we have been granted “Privileged Enterprise” status, we were granted a tax exemption status for the years 2018 and 2019.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we have an accumulated tax loss carry-forward of approximately $64.5 million in Israel. The tax loss can be offset indefinitely. Non-Israeli subsidiaries are taxed according to the tax laws in their respective jurisdictions.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- 35 -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consolidated statements of income (loss) data for the periods indicated:</w:t>
      </w:r>
    </w:p>
    <w:p>
      <w:pPr>
        <w:pStyle w:val="TextBody"/>
        <w:bidi w:val="0"/>
        <w:spacing w:before="0" w:after="0"/>
        <w:jc w:val="left"/>
        <w:rPr>
          <w:color w:val="000000"/>
          <w:shd w:fill="FFFFFF" w:val="clear"/>
        </w:rPr>
      </w:pPr>
      <w:r>
        <w:rPr>
          <w:color w:val="000000"/>
          <w:shd w:fill="FFFFFF" w:val="clear"/>
        </w:rPr>
        <w:t> </w:t>
      </w:r>
    </w:p>
    <w:tbl>
      <w:tblPr>
        <w:tblW w:w="5516" w:type="dxa"/>
        <w:jc w:val="left"/>
        <w:tblInd w:w="0" w:type="dxa"/>
        <w:tblLayout w:type="fixed"/>
        <w:tblCellMar>
          <w:top w:w="0" w:type="dxa"/>
          <w:left w:w="0" w:type="dxa"/>
          <w:bottom w:w="0" w:type="dxa"/>
          <w:right w:w="0" w:type="dxa"/>
        </w:tblCellMar>
      </w:tblPr>
      <w:tblGrid>
        <w:gridCol w:w="3245"/>
        <w:gridCol w:w="60"/>
        <w:gridCol w:w="145"/>
        <w:gridCol w:w="833"/>
        <w:gridCol w:w="98"/>
        <w:gridCol w:w="62"/>
        <w:gridCol w:w="145"/>
        <w:gridCol w:w="833"/>
        <w:gridCol w:w="95"/>
      </w:tblGrid>
      <w:tr>
        <w:trPr/>
        <w:tc>
          <w:tcPr>
            <w:tcW w:w="3245" w:type="dxa"/>
            <w:tcBorders/>
            <w:vAlign w:val="bottom"/>
          </w:tcPr>
          <w:p>
            <w:pPr>
              <w:pStyle w:val="TableContents"/>
              <w:bidi w:val="0"/>
              <w:spacing w:before="0" w:after="0"/>
              <w:jc w:val="left"/>
              <w:rPr/>
            </w:pPr>
            <w:r>
              <w:rPr/>
              <w:t>(dollars in thousands)</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95"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pPr>
            <w:r>
              <w:rPr/>
              <w:t>$</w:t>
            </w:r>
          </w:p>
        </w:tc>
        <w:tc>
          <w:tcPr>
            <w:tcW w:w="833" w:type="dxa"/>
            <w:tcBorders/>
            <w:shd w:fill="CCEEFF" w:val="clear"/>
            <w:vAlign w:val="bottom"/>
          </w:tcPr>
          <w:p>
            <w:pPr>
              <w:pStyle w:val="TableContents"/>
              <w:bidi w:val="0"/>
              <w:spacing w:before="0" w:after="0"/>
              <w:jc w:val="right"/>
              <w:rPr/>
            </w:pPr>
            <w:r>
              <w:rPr/>
              <w:t>433,012</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pPr>
            <w:r>
              <w:rPr/>
              <w:t>$</w:t>
            </w:r>
          </w:p>
        </w:tc>
        <w:tc>
          <w:tcPr>
            <w:tcW w:w="833" w:type="dxa"/>
            <w:tcBorders/>
            <w:shd w:fill="CCEEFF" w:val="clear"/>
            <w:vAlign w:val="bottom"/>
          </w:tcPr>
          <w:p>
            <w:pPr>
              <w:pStyle w:val="TableContents"/>
              <w:bidi w:val="0"/>
              <w:spacing w:before="0" w:after="0"/>
              <w:jc w:val="right"/>
              <w:rPr/>
            </w:pPr>
            <w:r>
              <w:rPr/>
              <w:t>360,221</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pPr>
            <w:r>
              <w:rPr/>
              <w:t>Cost of revenues: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pPr>
            <w:r>
              <w:rPr/>
              <w:t>Traffic acquisition cost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267,997</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231,786</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pPr>
            <w:r>
              <w:rPr/>
              <w:t>Other cost of revenues</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32,138</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27,776</w:t>
            </w:r>
          </w:p>
        </w:tc>
        <w:tc>
          <w:tcPr>
            <w:tcW w:w="95"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pPr>
            <w:r>
              <w:rPr/>
              <w:t>Total cost of revenues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300,135</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259,562</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132,877</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100,659</w:t>
            </w:r>
          </w:p>
        </w:tc>
        <w:tc>
          <w:tcPr>
            <w:tcW w:w="95"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pPr>
            <w:r>
              <w:rPr/>
              <w:t>Operating expenses: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pPr>
            <w:r>
              <w:rPr/>
              <w:t>Research and development</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36,727</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35,890</w:t>
            </w:r>
          </w:p>
        </w:tc>
        <w:tc>
          <w:tcPr>
            <w:tcW w:w="95"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pPr>
            <w:r>
              <w:rPr/>
              <w:t>Sales and marketing</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67,808</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59,664</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pPr>
            <w:r>
              <w:rPr/>
              <w:t>General and administrative</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23,784</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23,839</w:t>
            </w:r>
          </w:p>
        </w:tc>
        <w:tc>
          <w:tcPr>
            <w:tcW w:w="95"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pPr>
            <w:r>
              <w:rPr/>
              <w:t>Total operating expenses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128,319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119,393</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pPr>
            <w:r>
              <w:rPr/>
              <w:t>Operating income (loss)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4,558</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(18,734</w:t>
            </w:r>
          </w:p>
        </w:tc>
        <w:tc>
          <w:tcPr>
            <w:tcW w:w="95" w:type="dxa"/>
            <w:tcBorders/>
            <w:vAlign w:val="bottom"/>
          </w:tcPr>
          <w:p>
            <w:pPr>
              <w:pStyle w:val="TableContents"/>
              <w:bidi w:val="0"/>
              <w:spacing w:before="0" w:after="0"/>
              <w:jc w:val="left"/>
              <w:rPr/>
            </w:pPr>
            <w:r>
              <w:rPr/>
              <w:t>)</w:t>
            </w:r>
          </w:p>
        </w:tc>
      </w:tr>
      <w:tr>
        <w:trPr/>
        <w:tc>
          <w:tcPr>
            <w:tcW w:w="3245" w:type="dxa"/>
            <w:tcBorders/>
            <w:shd w:fill="CCEEFF" w:val="clear"/>
            <w:vAlign w:val="bottom"/>
          </w:tcPr>
          <w:p>
            <w:pPr>
              <w:pStyle w:val="TableContents"/>
              <w:bidi w:val="0"/>
              <w:spacing w:before="0" w:after="0"/>
              <w:jc w:val="left"/>
              <w:rPr/>
            </w:pPr>
            <w:r>
              <w:rPr/>
              <w:t>Finance expenses, net</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(1,106</w:t>
            </w:r>
          </w:p>
        </w:tc>
        <w:tc>
          <w:tcPr>
            <w:tcW w:w="98" w:type="dxa"/>
            <w:tcBorders/>
            <w:shd w:fill="CCEEFF" w:val="clear"/>
            <w:vAlign w:val="bottom"/>
          </w:tcPr>
          <w:p>
            <w:pPr>
              <w:pStyle w:val="TableContents"/>
              <w:bidi w:val="0"/>
              <w:spacing w:before="0" w:after="0"/>
              <w:jc w:val="left"/>
              <w:rPr/>
            </w:pPr>
            <w:r>
              <w:rPr/>
              <w:t>)</w:t>
            </w:r>
          </w:p>
        </w:tc>
        <w:tc>
          <w:tcPr>
            <w:tcW w:w="62"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(4,402</w:t>
            </w:r>
          </w:p>
        </w:tc>
        <w:tc>
          <w:tcPr>
            <w:tcW w:w="95" w:type="dxa"/>
            <w:tcBorders/>
            <w:shd w:fill="CCEEFF" w:val="clear"/>
            <w:vAlign w:val="bottom"/>
          </w:tcPr>
          <w:p>
            <w:pPr>
              <w:pStyle w:val="TableContents"/>
              <w:bidi w:val="0"/>
              <w:spacing w:before="0" w:after="0"/>
              <w:jc w:val="left"/>
              <w:rPr/>
            </w:pPr>
            <w:r>
              <w:rPr/>
              <w:t>)</w:t>
            </w:r>
          </w:p>
        </w:tc>
      </w:tr>
      <w:tr>
        <w:trPr/>
        <w:tc>
          <w:tcPr>
            <w:tcW w:w="3245" w:type="dxa"/>
            <w:tcBorders/>
            <w:vAlign w:val="bottom"/>
          </w:tcPr>
          <w:p>
            <w:pPr>
              <w:pStyle w:val="TableContents"/>
              <w:bidi w:val="0"/>
              <w:spacing w:before="0" w:after="0"/>
              <w:jc w:val="left"/>
              <w:rPr/>
            </w:pPr>
            <w:r>
              <w:rPr/>
              <w:t>Income (loss) before income taxes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3,452</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(23,136</w:t>
            </w:r>
          </w:p>
        </w:tc>
        <w:tc>
          <w:tcPr>
            <w:tcW w:w="95" w:type="dxa"/>
            <w:tcBorders/>
            <w:vAlign w:val="bottom"/>
          </w:tcPr>
          <w:p>
            <w:pPr>
              <w:pStyle w:val="TableContents"/>
              <w:bidi w:val="0"/>
              <w:spacing w:before="0" w:after="0"/>
              <w:jc w:val="left"/>
              <w:rPr/>
            </w:pPr>
            <w:r>
              <w:rPr/>
              <w:t>)</w:t>
            </w:r>
          </w:p>
        </w:tc>
      </w:tr>
      <w:tr>
        <w:trPr/>
        <w:tc>
          <w:tcPr>
            <w:tcW w:w="3245" w:type="dxa"/>
            <w:tcBorders/>
            <w:shd w:fill="CCEEFF" w:val="clear"/>
            <w:vAlign w:val="bottom"/>
          </w:tcPr>
          <w:p>
            <w:pPr>
              <w:pStyle w:val="TableContents"/>
              <w:bidi w:val="0"/>
              <w:spacing w:before="0" w:after="0"/>
              <w:jc w:val="left"/>
              <w:rPr/>
            </w:pPr>
            <w:r>
              <w:rPr/>
              <w:t>Income tax expenses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(9,906</w:t>
            </w:r>
          </w:p>
        </w:tc>
        <w:tc>
          <w:tcPr>
            <w:tcW w:w="98" w:type="dxa"/>
            <w:tcBorders/>
            <w:shd w:fill="CCEEFF" w:val="clear"/>
            <w:vAlign w:val="bottom"/>
          </w:tcPr>
          <w:p>
            <w:pPr>
              <w:pStyle w:val="TableContents"/>
              <w:bidi w:val="0"/>
              <w:spacing w:before="0" w:after="0"/>
              <w:jc w:val="left"/>
              <w:rPr/>
            </w:pPr>
            <w:r>
              <w:rPr/>
              <w:t>)</w:t>
            </w:r>
          </w:p>
        </w:tc>
        <w:tc>
          <w:tcPr>
            <w:tcW w:w="62"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pPr>
            <w:r>
              <w:rPr/>
              <w:t>Net loss</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pPr>
            <w:r>
              <w:rPr/>
              <w:t>$</w:t>
            </w:r>
          </w:p>
        </w:tc>
        <w:tc>
          <w:tcPr>
            <w:tcW w:w="833" w:type="dxa"/>
            <w:tcBorders>
              <w:bottom w:val="single" w:sz="12" w:space="0" w:color="000000"/>
            </w:tcBorders>
            <w:tcMar>
              <w:bottom w:w="28" w:type="dxa"/>
            </w:tcMar>
            <w:vAlign w:val="bottom"/>
          </w:tcPr>
          <w:p>
            <w:pPr>
              <w:pStyle w:val="TableContents"/>
              <w:bidi w:val="0"/>
              <w:spacing w:before="0" w:after="0"/>
              <w:jc w:val="right"/>
              <w:rPr/>
            </w:pPr>
            <w:r>
              <w:rPr/>
              <w:t>(6,454</w:t>
            </w:r>
          </w:p>
        </w:tc>
        <w:tc>
          <w:tcPr>
            <w:tcW w:w="98" w:type="dxa"/>
            <w:tcBorders/>
            <w:vAlign w:val="bottom"/>
          </w:tcPr>
          <w:p>
            <w:pPr>
              <w:pStyle w:val="TableContents"/>
              <w:bidi w:val="0"/>
              <w:spacing w:before="0" w:after="0"/>
              <w:jc w:val="left"/>
              <w:rPr/>
            </w:pPr>
            <w:r>
              <w:rPr/>
              <w:t>)</w:t>
            </w:r>
          </w:p>
        </w:tc>
        <w:tc>
          <w:tcPr>
            <w:tcW w:w="62"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pPr>
            <w:r>
              <w:rPr/>
              <w:t>$</w:t>
            </w:r>
          </w:p>
        </w:tc>
        <w:tc>
          <w:tcPr>
            <w:tcW w:w="833" w:type="dxa"/>
            <w:tcBorders>
              <w:bottom w:val="single" w:sz="12" w:space="0" w:color="000000"/>
            </w:tcBorders>
            <w:tcMar>
              <w:bottom w:w="28" w:type="dxa"/>
            </w:tcMar>
            <w:vAlign w:val="bottom"/>
          </w:tcPr>
          <w:p>
            <w:pPr>
              <w:pStyle w:val="TableContents"/>
              <w:bidi w:val="0"/>
              <w:spacing w:before="0" w:after="0"/>
              <w:jc w:val="right"/>
              <w:rPr/>
            </w:pPr>
            <w:r>
              <w:rPr/>
              <w:t>(23,136</w:t>
            </w:r>
          </w:p>
        </w:tc>
        <w:tc>
          <w:tcPr>
            <w:tcW w:w="9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Comparison of the three months ended September 30, 2024 and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Revenues increased by $72.8 million, or 20.2%, for the three months ended September 30, 2024 compared to the three months ended September 30, 2023. Existing digital property partners, including the growth of new digital property partners (beyond the revenue contribution determined based on the run-rate revenue generated by the partners when they are first on-boarded) increased by approximately $51.1 million. This increase was primarily driven by new revenue from advertisers transferred from Yahoo, as well as growth in spend from existing Taboola advertisers. New digital property partners contributed approximately $21.7 million of new Revenues on a 12-month run rate basis calculated based on their first full month on the network.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increased by $32.2 million, or 32.0%, for the three months ended September 30, 2024 compared to the three months ended September 30, 2023.</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Ex-TAC Gross Profit, a non-GAAP measure, increased by $36.6 million, or 28.5%, for the three months ended September 30, 2024 compared to the three months ended September 30, 2023, primarily due to revenue from advertisers transferred from Yahoo, as well as growth in spend from existing Taboola advertisers.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cost of revenues increased by $40.6 million, or 15.6%, for the three months ended September 30, 2024 compared to the three months ended September 30, 2023.</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increased by $36.2 million, or 15.6%, for the three months ended September 30, 2024 compared to the three months ended September 30, 2023.</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increased at a rate lower than revenue primarily due to increased effective margin on our Yahoo partnership as a result of applying the mediation accruals as TAC offset rather than recognizing them as revenue.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 of guarantees (total payments due under guarantee arrangements in excess of amounts the Company would otherwise be required to pay under revenue sharing arrangements) as a percentage of traffic acquisition costs was approximately 20% for the three months ended September 30, 2024 and September 30, 2023.</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cost of revenues increased by $4.4 million, or 15.7%, for the three months ended September 30, 2024 compared to the three months ended September 30, 2023, mainly as a result of a $2.8 million increase in data, content, communication and IT related expenses and a $0.9 million increase in employee related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- 36 -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increased by $0.8 million, or 2.3%, for the three months ended September 30, 2024 compared to the three months ended September 30, 2023, primarily attributable to depreciation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and marketing expenses increased by $8.1 million, or 13.6%, for the three months ended September 30, 2024 compared to the three months ended September 30, 2023, primarily due to two factors. First, the year ago period was favorably impacted by a decrease in employee and subcontractors related costs. Second, employee and subcontractor headcount and related costs, including share-based compensation expenses, increased as we invested in resources to help support our revenue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decreased by $0.1 million, or 0.2%, for the three months ended September 30, 2024 compared to the three months ended September 30, 2023, primarily attributable to decrease of $0.3 million in credit losses expenses, partially offset by an increase of $0.2 million in employee and subcontractor headcount and related costs, including share-based compensation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expenses, net decreased by $3.3 million for the three months ended September 30, 2024 compared to the three months ended September 30, 2023, mainly attributable to $1.6 million increase in foreign currency exchange rate gains, net, increase of $1.0 million due to Warrants liability devaluation and decrease of $0.8 million in interest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Income tax expenses increased by $9.9 million for the three months ended September 30, 2024 compared to the three months ended September 30, 2023. This increase was primarily driven by higher taxable income overall as well as adjustments in deferred tax expenses related to the U.S. entity.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consolidated statements of loss data for the periods indicated:</w:t>
      </w:r>
    </w:p>
    <w:p>
      <w:pPr>
        <w:pStyle w:val="TextBody"/>
        <w:bidi w:val="0"/>
        <w:spacing w:before="0" w:after="0"/>
        <w:jc w:val="left"/>
        <w:rPr>
          <w:color w:val="000000"/>
          <w:shd w:fill="FFFFFF" w:val="clear"/>
        </w:rPr>
      </w:pPr>
      <w:r>
        <w:rPr>
          <w:color w:val="000000"/>
          <w:shd w:fill="FFFFFF" w:val="clear"/>
        </w:rPr>
        <w:t> </w:t>
      </w:r>
    </w:p>
    <w:tbl>
      <w:tblPr>
        <w:tblW w:w="5120" w:type="dxa"/>
        <w:jc w:val="left"/>
        <w:tblInd w:w="0" w:type="dxa"/>
        <w:tblLayout w:type="fixed"/>
        <w:tblCellMar>
          <w:top w:w="0" w:type="dxa"/>
          <w:left w:w="0" w:type="dxa"/>
          <w:bottom w:w="0" w:type="dxa"/>
          <w:right w:w="0" w:type="dxa"/>
        </w:tblCellMar>
      </w:tblPr>
      <w:tblGrid>
        <w:gridCol w:w="2570"/>
        <w:gridCol w:w="60"/>
        <w:gridCol w:w="140"/>
        <w:gridCol w:w="980"/>
        <w:gridCol w:w="95"/>
        <w:gridCol w:w="60"/>
        <w:gridCol w:w="140"/>
        <w:gridCol w:w="980"/>
        <w:gridCol w:w="95"/>
      </w:tblGrid>
      <w:tr>
        <w:trPr/>
        <w:tc>
          <w:tcPr>
            <w:tcW w:w="2570" w:type="dxa"/>
            <w:tcBorders/>
            <w:vAlign w:val="bottom"/>
          </w:tcPr>
          <w:p>
            <w:pPr>
              <w:pStyle w:val="TableContents"/>
              <w:bidi w:val="0"/>
              <w:spacing w:before="0" w:after="0"/>
              <w:jc w:val="left"/>
              <w:rPr/>
            </w:pPr>
            <w:r>
              <w:rPr/>
              <w:t>(dollars in thousands)</w:t>
            </w:r>
          </w:p>
        </w:tc>
        <w:tc>
          <w:tcPr>
            <w:tcW w:w="60" w:type="dxa"/>
            <w:tcBorders/>
            <w:vAlign w:val="bottom"/>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9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1,275,180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1,019,911</w:t>
            </w:r>
          </w:p>
        </w:tc>
        <w:tc>
          <w:tcPr>
            <w:tcW w:w="9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jc w:val="left"/>
              <w:rPr/>
            </w:pPr>
            <w:r>
              <w:rPr/>
              <w:t>Cost of revenues: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jc w:val="left"/>
              <w:rPr/>
            </w:pPr>
            <w:r>
              <w:rPr/>
              <w:t>Traffic acquisition cost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821,737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652,602</w:t>
            </w:r>
          </w:p>
        </w:tc>
        <w:tc>
          <w:tcPr>
            <w:tcW w:w="9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jc w:val="left"/>
              <w:rPr/>
            </w:pPr>
            <w:r>
              <w:rPr/>
              <w:t>Other cost of revenues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96,835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80,001</w:t>
            </w:r>
          </w:p>
        </w:tc>
        <w:tc>
          <w:tcPr>
            <w:tcW w:w="9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jc w:val="left"/>
              <w:rPr/>
            </w:pPr>
            <w:r>
              <w:rPr/>
              <w:t>Total cost of revenues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918,572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732,603</w:t>
            </w:r>
          </w:p>
        </w:tc>
        <w:tc>
          <w:tcPr>
            <w:tcW w:w="9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356,608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287,308</w:t>
            </w:r>
          </w:p>
        </w:tc>
        <w:tc>
          <w:tcPr>
            <w:tcW w:w="9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jc w:val="left"/>
              <w:rPr/>
            </w:pPr>
            <w:r>
              <w:rPr/>
              <w:t>Operating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jc w:val="left"/>
              <w:rPr/>
            </w:pPr>
            <w:r>
              <w:rPr/>
              <w:t>Research and development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106,264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101,876</w:t>
            </w:r>
          </w:p>
        </w:tc>
        <w:tc>
          <w:tcPr>
            <w:tcW w:w="9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jc w:val="left"/>
              <w:rPr/>
            </w:pPr>
            <w:r>
              <w:rPr/>
              <w:t>Sales and marketing</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200,253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181,431</w:t>
            </w:r>
          </w:p>
        </w:tc>
        <w:tc>
          <w:tcPr>
            <w:tcW w:w="9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jc w:val="left"/>
              <w:rPr/>
            </w:pPr>
            <w:r>
              <w:rPr/>
              <w:t>General and administrative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71,397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76,533</w:t>
            </w:r>
          </w:p>
        </w:tc>
        <w:tc>
          <w:tcPr>
            <w:tcW w:w="9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jc w:val="left"/>
              <w:rPr/>
            </w:pPr>
            <w:r>
              <w:rPr/>
              <w:t>Total operating expenses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377,914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359,840</w:t>
            </w:r>
          </w:p>
        </w:tc>
        <w:tc>
          <w:tcPr>
            <w:tcW w:w="9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jc w:val="left"/>
              <w:rPr/>
            </w:pPr>
            <w:r>
              <w:rPr/>
              <w:t>Operating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(21,306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(72,532</w:t>
            </w:r>
          </w:p>
        </w:tc>
        <w:tc>
          <w:tcPr>
            <w:tcW w:w="95" w:type="dxa"/>
            <w:tcBorders/>
            <w:vAlign w:val="bottom"/>
          </w:tcPr>
          <w:p>
            <w:pPr>
              <w:pStyle w:val="TableContents"/>
              <w:bidi w:val="0"/>
              <w:spacing w:before="0" w:after="0"/>
              <w:jc w:val="left"/>
              <w:rPr/>
            </w:pPr>
            <w:r>
              <w:rPr/>
              <w:t>)</w:t>
            </w:r>
          </w:p>
        </w:tc>
      </w:tr>
      <w:tr>
        <w:trPr/>
        <w:tc>
          <w:tcPr>
            <w:tcW w:w="2570" w:type="dxa"/>
            <w:tcBorders/>
            <w:shd w:fill="CCEEFF" w:val="clear"/>
            <w:vAlign w:val="bottom"/>
          </w:tcPr>
          <w:p>
            <w:pPr>
              <w:pStyle w:val="TableContents"/>
              <w:bidi w:val="0"/>
              <w:spacing w:before="0" w:after="0"/>
              <w:jc w:val="left"/>
              <w:rPr/>
            </w:pPr>
            <w:r>
              <w:rPr/>
              <w:t>Finance expenses, net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(3,740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(11,383</w:t>
            </w:r>
          </w:p>
        </w:tc>
        <w:tc>
          <w:tcPr>
            <w:tcW w:w="95" w:type="dxa"/>
            <w:tcBorders/>
            <w:shd w:fill="CCEEFF" w:val="clear"/>
            <w:vAlign w:val="bottom"/>
          </w:tcPr>
          <w:p>
            <w:pPr>
              <w:pStyle w:val="TableContents"/>
              <w:bidi w:val="0"/>
              <w:spacing w:before="0" w:after="0"/>
              <w:jc w:val="left"/>
              <w:rPr/>
            </w:pPr>
            <w:r>
              <w:rPr/>
              <w:t>)</w:t>
            </w:r>
          </w:p>
        </w:tc>
      </w:tr>
      <w:tr>
        <w:trPr/>
        <w:tc>
          <w:tcPr>
            <w:tcW w:w="2570" w:type="dxa"/>
            <w:tcBorders/>
            <w:vAlign w:val="bottom"/>
          </w:tcPr>
          <w:p>
            <w:pPr>
              <w:pStyle w:val="TableContents"/>
              <w:bidi w:val="0"/>
              <w:spacing w:before="0" w:after="0"/>
              <w:jc w:val="left"/>
              <w:rPr/>
            </w:pPr>
            <w:r>
              <w:rPr/>
              <w:t>Loss before income taxes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(25,046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(83,915</w:t>
            </w:r>
          </w:p>
        </w:tc>
        <w:tc>
          <w:tcPr>
            <w:tcW w:w="95" w:type="dxa"/>
            <w:tcBorders/>
            <w:vAlign w:val="bottom"/>
          </w:tcPr>
          <w:p>
            <w:pPr>
              <w:pStyle w:val="TableContents"/>
              <w:bidi w:val="0"/>
              <w:spacing w:before="0" w:after="0"/>
              <w:jc w:val="left"/>
              <w:rPr/>
            </w:pPr>
            <w:r>
              <w:rPr/>
              <w:t>)</w:t>
            </w:r>
          </w:p>
        </w:tc>
      </w:tr>
      <w:tr>
        <w:trPr/>
        <w:tc>
          <w:tcPr>
            <w:tcW w:w="2570" w:type="dxa"/>
            <w:tcBorders/>
            <w:shd w:fill="CCEEFF" w:val="clear"/>
            <w:vAlign w:val="bottom"/>
          </w:tcPr>
          <w:p>
            <w:pPr>
              <w:pStyle w:val="TableContents"/>
              <w:bidi w:val="0"/>
              <w:spacing w:before="0" w:after="0"/>
              <w:jc w:val="left"/>
              <w:rPr/>
            </w:pPr>
            <w:r>
              <w:rPr/>
              <w:t>Income tax expenses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(11,857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(1,848</w:t>
            </w:r>
          </w:p>
        </w:tc>
        <w:tc>
          <w:tcPr>
            <w:tcW w:w="95" w:type="dxa"/>
            <w:tcBorders/>
            <w:shd w:fill="CCEEFF" w:val="clear"/>
            <w:vAlign w:val="bottom"/>
          </w:tcPr>
          <w:p>
            <w:pPr>
              <w:pStyle w:val="TableContents"/>
              <w:bidi w:val="0"/>
              <w:spacing w:before="0" w:after="0"/>
              <w:jc w:val="left"/>
              <w:rPr/>
            </w:pPr>
            <w:r>
              <w:rPr/>
              <w:t>)</w:t>
            </w:r>
          </w:p>
        </w:tc>
      </w:tr>
      <w:tr>
        <w:trPr/>
        <w:tc>
          <w:tcPr>
            <w:tcW w:w="2570" w:type="dxa"/>
            <w:tcBorders/>
            <w:vAlign w:val="bottom"/>
          </w:tcPr>
          <w:p>
            <w:pPr>
              <w:pStyle w:val="TableContents"/>
              <w:bidi w:val="0"/>
              <w:spacing w:before="0" w:after="0"/>
              <w:jc w:val="left"/>
              <w:rPr/>
            </w:pPr>
            <w:r>
              <w:rPr/>
              <w:t>Net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(36,903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(85,763</w:t>
            </w:r>
          </w:p>
        </w:tc>
        <w:tc>
          <w:tcPr>
            <w:tcW w:w="9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- 37 -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Comparison of the nine months ended September 30, 2024 and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Revenues increased by $255.3 million, or 25.0%, for the nine months ended September 30, 2024 compared to the nine months ended September 30, 2023. New digital property partners contributed approximately $268.6 million of new Revenues on a 12-month run rate basis calculated based on their first full month on the network. Existing digital property partners, including the growth of new digital property partners (beyond the revenue contribution determined based on the run-rate revenue generated by the partners when they are first on-boarded) decreased by approximately $13.3 million. This decrease was primarily driven by lower advertiser rates on existing digital property partners due to spend being served on new Yahoo supply added to the network partially mitigated by continued growth on Yahoo supply.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increased by $69.3 million, or 24.1%, for the nine months ended September 30, 2024 compared to the nine months ended September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Ex-TAC Gross Profit, a non-GAAP measure, increased by $86.1 million, or 23.5%, for the nine months ended September 30, 2024 compared to the nine months ended September 30, 2023, primarily due to revenue from advertisers transferred from Yahoo, as well as growth in spend from existing Taboola advertisers.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cost of revenues increased by $186.0 million, or 25.4%, for the nine months ended September 30, 2024 compared to the nine months ended September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increased by $169.1 million, or 25.9%, for the nine months ended September 30, 2024 compared to the nine months ended September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 of guarantees (total payments due under guarantee arrangements in excess of amounts the Company would otherwise be required to pay under revenue sharing arrangements) as a percentage of traffic acquisition costs were approximately 19% and 20% for the nine months ended September 30, 2024 and September 30, 2023,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cost of revenues increased by $16.8 million, or 21.0%, for the nine months ended September 30, 2024 compared to the nine months ended September 30, 2023, primarily as a result of a $8.8 million increase in data, content, communication and IT related expenses, $3.4 million increase in depreciation expenses related to new product innovation and $2.8 million increase in digital service tax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increased by $4.4 million, or 4.3%, for the nine months ended September 30, 2024 compared to the nine months ended September 30, 2023, primarily attributable to $2.5 million increase in employee and subcontractor headcount and related costs, including share-based compensation expenses, reflecting our continued effort to enhance our product offerings and a $1.7 million increase in depreciation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and marketing expenses increased by $18.8 million, or 10.4%, for the nine months ended September 30, 2024 compared to the nine months ended September 30, 2023, primarily attributable to $16.9 million increase in employee and subcontractor headcount and related costs, including share-based compensation expenses, supporting our growth, and $1.4 million in other marketing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- 38 -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decreased by $5.1 million, or 6.7%, for the nine months ended September 30, 2024 compared to the nine months ended September 30, 2023, a result of a decrease of $2.3 million in insurance expenses in connection with the Yahoo arrangement, a decrease of $2.3 million in credit losses expenses and a decrease of $1.7 million in employee and subcontractors related costs, including share-based compensation expenses, and, partially offset by an increase of $1.1 million in depreciation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expenses, net decreased by $7.6 million for the nine months ended September 30, 2024 compared to the nine months ended September 30, 2023, mainly attributable to $3.9 million Warrants liability devaluation and $3.8 million decrease in interest expense due to the voluntary repayments of a portion of the long-term loan in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Income tax expenses increased by $10.0 million for the nine months ended September 30, 2024 compared to the nine months ended September 30, 2023. This increase was primarily driven by higher taxable income overall as well as adjustments in deferred tax expenses related to the U.S. entity.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For the nine months ended September 30, 2024 and 2023, we generated cash from operations of $122.4 million and $61.6 million,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and December 31, 2023, we had $217.2 million and $176.1 million of cash and cash equivalents, respectively, and $5.4 million and $5.7 million in short and long-term restricted deposits, respectively, used, mainly, as security for our lease commitments and $5.7 million of short-term investments as of December 31, 2023. As of September 30, 2024 we did not hold short-term investments. Cash and cash equivalents consist of cash in banks and highly liquid marketable securities investments and money market funds, with an original maturity of three months or less at the date of purchase and are readily convertible to known amounts of cash. Short-term investments generally consist of bank deposits, U.S. government treasuries, commercial paper, corporate debt securities, and U.S. agency bonds.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- 39 -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9, 2022 we entered into an incremental revolving credit facility amendment to our existing senior secured credit agreement (the “Amended Credit Agreement”). The Amended Credit Agreement provides for borrowings in an aggregate principal amount of up to $90.0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September 30, 2024, we had no outstanding borrowings under the Revolving Facility.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our outstanding principal amount of debt under our long-term loan was $152.7 million with the remaining principal amount due at maturity on September 1, 2028.</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Share Buyback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Our board of directors authorized a share buyback program for the repurchase of our outstanding Ordinary shares, which commenced in June 2023 and does not have an expiration date (the “Buyback Program”). In 2023, our board of directors authorized up to $80.0 million of buybacks under the Buyback Program. In February 2024, our board of directors authorized up to $100.0 million for use under the Buyback Program, including any remaining authority from the 2023 board of directors authorization, subject to satisfying required conditions under the Israeli Companies Law and the Companies Regulations  (Reliefs for Corporations, Which Securities Are Listed on Foreign Stock Exchanges), 2000. As permitted by the Buyback Program, share repurchases may be made from time to time, in privately negotiated transactions or in the open market, including through trading plans intended to comply with Rule 10b5-1, at the discretion of our management and as permitted by securities laws and other legal requirements, including Rule 10b-18 of the Exchange Act.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During the nine months ended September 30, 2024, we repurchased 15.5 million of our shares consisting of 14.5 million Ordinary shares and 1.0 million Non-voting Ordinary shares at an average price of $4.14 per share (excluding broker and transaction fees of $0.4 million). As of September 30, 2024 the Company had remaining authorization from our board of directors to repurchase Ordinary shares up to an aggregate amount of $55.6 million, subject to satisfying required conditions under the Israeli Companies Law and the Companies Regulations. See Part II, Item 2. Unregistered Sales of Equity Securities and Use of Proceeds, Note 9 and Note 12 of Notes to the Unaudited Consolidated Interim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future capital requirements and the adequacy of available funds will depend on many factors, including the risks and uncertainties set forth in our 2023 Form 10-K under Item 1A. “Risk Factors,” and in our subsequent filings with the SEC.</w:t>
      </w:r>
    </w:p>
    <w:p>
      <w:pPr>
        <w:pStyle w:val="TextBody"/>
        <w:bidi w:val="0"/>
        <w:spacing w:before="0" w:after="0"/>
        <w:jc w:val="left"/>
        <w:rPr/>
      </w:pPr>
      <w:r>
        <w:rPr/>
      </w:r>
    </w:p>
    <w:tbl>
      <w:tblPr>
        <w:tblW w:w="8525" w:type="dxa"/>
        <w:jc w:val="left"/>
        <w:tblInd w:w="0" w:type="dxa"/>
        <w:tblLayout w:type="fixed"/>
        <w:tblCellMar>
          <w:top w:w="0" w:type="dxa"/>
          <w:left w:w="0" w:type="dxa"/>
          <w:bottom w:w="0" w:type="dxa"/>
          <w:right w:w="0" w:type="dxa"/>
        </w:tblCellMar>
      </w:tblPr>
      <w:tblGrid>
        <w:gridCol w:w="6380"/>
        <w:gridCol w:w="60"/>
        <w:gridCol w:w="140"/>
        <w:gridCol w:w="800"/>
        <w:gridCol w:w="95"/>
        <w:gridCol w:w="60"/>
        <w:gridCol w:w="140"/>
        <w:gridCol w:w="755"/>
        <w:gridCol w:w="95"/>
      </w:tblGrid>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b/>
                <w:u w:val="single"/>
              </w:rPr>
            </w:pPr>
            <w:r>
              <w:rPr>
                <w:b/>
                <w:u w:val="single"/>
              </w:rPr>
              <w:t>Cash Flow Data:</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left"/>
              <w:rPr/>
            </w:pPr>
            <w:r>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122,396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61,581</w:t>
            </w:r>
          </w:p>
        </w:tc>
        <w:tc>
          <w:tcPr>
            <w:tcW w:w="95"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pPr>
            <w:r>
              <w:rPr/>
              <w:t>Net cash provided by (used in) investing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(20,084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65,245</w:t>
            </w:r>
          </w:p>
        </w:tc>
        <w:tc>
          <w:tcPr>
            <w:tcW w:w="9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left"/>
              <w:rPr/>
            </w:pPr>
            <w:r>
              <w:rPr/>
              <w:t>Net cash used in financing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(62,321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(53,191</w:t>
            </w:r>
          </w:p>
        </w:tc>
        <w:tc>
          <w:tcPr>
            <w:tcW w:w="95" w:type="dxa"/>
            <w:tcBorders/>
            <w:shd w:fill="CCEEFF" w:val="clear"/>
            <w:vAlign w:val="bottom"/>
          </w:tcPr>
          <w:p>
            <w:pPr>
              <w:pStyle w:val="TableContents"/>
              <w:bidi w:val="0"/>
              <w:spacing w:before="0" w:after="0"/>
              <w:jc w:val="left"/>
              <w:rPr/>
            </w:pPr>
            <w:r>
              <w:rPr/>
              <w:t>)</w:t>
            </w:r>
          </w:p>
        </w:tc>
      </w:tr>
      <w:tr>
        <w:trPr/>
        <w:tc>
          <w:tcPr>
            <w:tcW w:w="6380" w:type="dxa"/>
            <w:tcBorders/>
            <w:vAlign w:val="bottom"/>
          </w:tcPr>
          <w:p>
            <w:pPr>
              <w:pStyle w:val="TableContents"/>
              <w:bidi w:val="0"/>
              <w:spacing w:before="0" w:after="0"/>
              <w:jc w:val="left"/>
              <w:rPr/>
            </w:pPr>
            <w:r>
              <w:rPr/>
              <w:t>Exchange rate differences on balances of cash and cash equivalents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1,131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(1,269</w:t>
            </w:r>
          </w:p>
        </w:tc>
        <w:tc>
          <w:tcPr>
            <w:tcW w:w="95" w:type="dxa"/>
            <w:tcBorders/>
            <w:vAlign w:val="bottom"/>
          </w:tcPr>
          <w:p>
            <w:pPr>
              <w:pStyle w:val="TableContents"/>
              <w:bidi w:val="0"/>
              <w:spacing w:before="0" w:after="0"/>
              <w:jc w:val="left"/>
              <w:rPr/>
            </w:pPr>
            <w:r>
              <w:rPr/>
              <w:t>)</w:t>
            </w:r>
          </w:p>
        </w:tc>
      </w:tr>
      <w:tr>
        <w:trPr/>
        <w:tc>
          <w:tcPr>
            <w:tcW w:w="6380" w:type="dxa"/>
            <w:tcBorders/>
            <w:shd w:fill="CCEEFF" w:val="clear"/>
            <w:vAlign w:val="bottom"/>
          </w:tcPr>
          <w:p>
            <w:pPr>
              <w:pStyle w:val="TableContents"/>
              <w:bidi w:val="0"/>
              <w:spacing w:before="0" w:after="0"/>
              <w:jc w:val="left"/>
              <w:rPr/>
            </w:pPr>
            <w:r>
              <w:rPr/>
              <w:t>Increase in cash and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41,122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72,366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- 40 -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nine months ended September 30, 2024 net cash provided by operating activities was $122.4 million, an increase of $60.8 million, compared to $61.6 million for the same period in 2023. The $122.4 million was related to our net loss of $36.9 million adjusted by non-cash charges of $124.8 million and positive changes in working capital of $34.5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$124.8 million of non-cash charges primarily consisted of depreciation and amortization of $76.0 million, share-based compensation expense related to vested equity awards of $51.9 million and Commercial agreement asset amortization of $1.4 million, partially offset by decrease of $4.6 million due to revaluation of Warrants liability.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$34.5 million increase in cash resulting from changes in working capital primarily consisted of a $23.8 million decrease in prepaid expenses and other assets, $23.0 million increase in accrued expenses and other liabilities and $13.0 million decrease in trade receivables, net, partially offset by a $12.9 million decrease in trade payables and  $11.0 million decrease in deferred taxes,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operating activities of $61.6 million for the nine months ended September 30, 2023 was related to our net loss of $85.8 million adjusted by non-cash charges of $120.4 million and changes in working capital of $26.9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$120.4 million of non-cash charges primarily consisted of depreciation and amortization of $70.7 million and share-based compensation expense related to vested equity awards of $48.9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$26.9 million increase in cash resulting from changes in working capital primarily consisted of $24.6 million decrease in trade receivables, net, increase of $5.4 million in accrued expenses and other current liabilities and other long-term liabilities, $2.6 million decrease in prepaid expenses and other current assets and long-term prepaid expenses and $2.2 million increase in trade payables, partially offset by $8.2 million decrease in deferred taxes,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nine months ended September 30, 2024 net cash used in investing activities was $20.1 million, a decrease of $85.3 million, compared to $65.2 million in net cash provided in the same period in 2023. Net cash used in investing activities for the nine months ended September 30, 2024 primarily consisted of $25.1 million purchase of property and equipment, including capitalized internal-use software partially offset by $5.8 million proceeds from maturities of short-term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investing activities was $65.2 million for the nine months ended September 30, 2023 primarily consisted of $107.7 million proceeds from sales and maturities of short-term investments partially offset by $22.0 million purchase of short-term investments and $19.8 million purchase of property and equipment, including capitalized internal-use software.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nine months ended September 30, 2024 net cash used in financing activities was $62.3 million, an increase of $9.1 million, compared to $53.2 million net cash used in the same period in 2023. Net cash used in financing activities for the nine months ended September 30, 2024 primarily consisted of $64.5 million repurchase of Ordinary shares and $2.4 million payment of tax withholding for share-based compensation expenses, partially offset by $5.7 million proceeds received from exercise of options and vested RSUs.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- 41 -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financing activities was $53.2 million for the nine months ended September 30, 2023 consisted of $32.3 million repayment of the current portion of our long-term loan, $23.2 million repurchase of Ordinary shares and $3.2 million payment of tax withholding for share-based compensation, offset by $5.4 million proceeds received from share option exercises and vested RSUs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Contractual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discloses aggregate information about material contractual obligations and the periods in which they are due as of September 30, 2024. Future events could cause actual payments to differ from these estimates.</w:t>
      </w:r>
    </w:p>
    <w:p>
      <w:pPr>
        <w:pStyle w:val="TextBody"/>
        <w:bidi w:val="0"/>
        <w:spacing w:before="0" w:after="0"/>
        <w:jc w:val="left"/>
        <w:rPr>
          <w:color w:val="000000"/>
          <w:shd w:fill="FFFFFF" w:val="clear"/>
        </w:rPr>
      </w:pPr>
      <w:r>
        <w:rPr>
          <w:color w:val="000000"/>
          <w:shd w:fill="FFFFFF" w:val="clear"/>
        </w:rPr>
        <w:t> </w:t>
      </w:r>
    </w:p>
    <w:tbl>
      <w:tblPr>
        <w:tblW w:w="9945" w:type="dxa"/>
        <w:jc w:val="left"/>
        <w:tblInd w:w="0" w:type="dxa"/>
        <w:tblLayout w:type="fixed"/>
        <w:tblCellMar>
          <w:top w:w="0" w:type="dxa"/>
          <w:left w:w="0" w:type="dxa"/>
          <w:bottom w:w="0" w:type="dxa"/>
          <w:right w:w="0" w:type="dxa"/>
        </w:tblCellMar>
      </w:tblPr>
      <w:tblGrid>
        <w:gridCol w:w="3890"/>
        <w:gridCol w:w="60"/>
        <w:gridCol w:w="140"/>
        <w:gridCol w:w="680"/>
        <w:gridCol w:w="60"/>
        <w:gridCol w:w="60"/>
        <w:gridCol w:w="140"/>
        <w:gridCol w:w="680"/>
        <w:gridCol w:w="60"/>
        <w:gridCol w:w="60"/>
        <w:gridCol w:w="140"/>
        <w:gridCol w:w="680"/>
        <w:gridCol w:w="60"/>
        <w:gridCol w:w="60"/>
        <w:gridCol w:w="140"/>
        <w:gridCol w:w="680"/>
        <w:gridCol w:w="60"/>
        <w:gridCol w:w="60"/>
        <w:gridCol w:w="140"/>
        <w:gridCol w:w="800"/>
        <w:gridCol w:w="60"/>
        <w:gridCol w:w="60"/>
        <w:gridCol w:w="223"/>
        <w:gridCol w:w="892"/>
        <w:gridCol w:w="60"/>
      </w:tblGrid>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5" w:type="dxa"/>
            <w:gridSpan w:val="22"/>
            <w:tcBorders>
              <w:bottom w:val="single" w:sz="12" w:space="0" w:color="000000"/>
            </w:tcBorders>
            <w:tcMar>
              <w:bottom w:w="28" w:type="dxa"/>
            </w:tcMar>
            <w:vAlign w:val="bottom"/>
          </w:tcPr>
          <w:p>
            <w:pPr>
              <w:pStyle w:val="TableContents"/>
              <w:bidi w:val="0"/>
              <w:spacing w:before="0" w:after="0"/>
              <w:jc w:val="center"/>
              <w:rPr>
                <w:b/>
              </w:rPr>
            </w:pPr>
            <w:r>
              <w:rPr>
                <w:b/>
              </w:rPr>
              <w:t>Contractual Obligations by Period</w:t>
            </w:r>
          </w:p>
        </w:tc>
        <w:tc>
          <w:tcPr>
            <w:tcW w:w="60"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Thereafter</w:t>
            </w:r>
          </w:p>
        </w:tc>
        <w:tc>
          <w:tcPr>
            <w:tcW w:w="60"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5" w:type="dxa"/>
            <w:gridSpan w:val="22"/>
            <w:tcBorders/>
            <w:vAlign w:val="bottom"/>
          </w:tcPr>
          <w:p>
            <w:pPr>
              <w:pStyle w:val="TableContents"/>
              <w:bidi w:val="0"/>
              <w:spacing w:before="0" w:after="0"/>
              <w:jc w:val="center"/>
              <w:rPr>
                <w:b/>
              </w:rPr>
            </w:pPr>
            <w:r>
              <w:rPr>
                <w:b/>
              </w:rPr>
              <w:t>(dollars in thousands)</w:t>
            </w:r>
          </w:p>
        </w:tc>
        <w:tc>
          <w:tcPr>
            <w:tcW w:w="60"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before="0" w:after="0"/>
              <w:jc w:val="left"/>
              <w:rPr/>
            </w:pPr>
            <w:r>
              <w:rPr/>
              <w:t>Debt Obligations (1)</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152,735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0"/>
              <w:jc w:val="left"/>
              <w:rPr/>
            </w:pPr>
            <w:r>
              <w:rPr/>
              <w:t>$</w:t>
            </w:r>
          </w:p>
        </w:tc>
        <w:tc>
          <w:tcPr>
            <w:tcW w:w="8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0"/>
              <w:jc w:val="left"/>
              <w:rPr/>
            </w:pPr>
            <w:r>
              <w:rPr/>
              <w:t>Operating Leases (2)</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6,594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23,171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18,688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11,805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8,531</w:t>
            </w:r>
          </w:p>
        </w:tc>
        <w:tc>
          <w:tcPr>
            <w:tcW w:w="60"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before="0" w:after="0"/>
              <w:jc w:val="left"/>
              <w:rPr/>
            </w:pPr>
            <w:r>
              <w:rPr/>
              <w:t>Non-cancellable purchase obligations (3)</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9,778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6,898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3,383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760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0"/>
              <w:jc w:val="left"/>
              <w:rPr/>
            </w:pPr>
            <w:r>
              <w:rPr/>
              <w:t>Total Contractual Obligations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16,372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30,069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22,071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12,565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800" w:type="dxa"/>
            <w:tcBorders>
              <w:bottom w:val="single" w:sz="12" w:space="0" w:color="000000"/>
            </w:tcBorders>
            <w:tcMar>
              <w:bottom w:w="28" w:type="dxa"/>
            </w:tcMar>
            <w:vAlign w:val="bottom"/>
          </w:tcPr>
          <w:p>
            <w:pPr>
              <w:pStyle w:val="TableContents"/>
              <w:bidi w:val="0"/>
              <w:spacing w:before="0" w:after="0"/>
              <w:jc w:val="right"/>
              <w:rPr/>
            </w:pPr>
            <w:r>
              <w:rPr/>
              <w:t>158,785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bottom w:val="single" w:sz="12" w:space="0" w:color="000000"/>
            </w:tcBorders>
            <w:tcMar>
              <w:bottom w:w="28" w:type="dxa"/>
            </w:tcMar>
            <w:vAlign w:val="bottom"/>
          </w:tcPr>
          <w:p>
            <w:pPr>
              <w:pStyle w:val="TableContents"/>
              <w:bidi w:val="0"/>
              <w:spacing w:before="0" w:after="0"/>
              <w:jc w:val="left"/>
              <w:rPr/>
            </w:pPr>
            <w:r>
              <w:rPr/>
              <w:t>$</w:t>
            </w:r>
          </w:p>
        </w:tc>
        <w:tc>
          <w:tcPr>
            <w:tcW w:w="892" w:type="dxa"/>
            <w:tcBorders>
              <w:bottom w:val="single" w:sz="12" w:space="0" w:color="000000"/>
            </w:tcBorders>
            <w:tcMar>
              <w:bottom w:w="28" w:type="dxa"/>
            </w:tcMar>
            <w:vAlign w:val="bottom"/>
          </w:tcPr>
          <w:p>
            <w:pPr>
              <w:pStyle w:val="TableContents"/>
              <w:bidi w:val="0"/>
              <w:spacing w:before="0" w:after="0"/>
              <w:jc w:val="right"/>
              <w:rPr/>
            </w:pPr>
            <w:r>
              <w:rPr/>
              <w:t>8,531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pPr>
            <w:r>
              <w:rPr/>
              <w:t>(1)</w:t>
            </w:r>
          </w:p>
        </w:tc>
        <w:tc>
          <w:tcPr>
            <w:tcW w:w="9897" w:type="dxa"/>
            <w:tcBorders/>
            <w:vAlign w:val="center"/>
          </w:tcPr>
          <w:p>
            <w:pPr>
              <w:pStyle w:val="TableContents"/>
              <w:bidi w:val="0"/>
              <w:spacing w:before="0" w:after="0"/>
              <w:jc w:val="left"/>
              <w:rPr/>
            </w:pPr>
            <w:r>
              <w:rPr/>
              <w:t>Due to our voluntary prepayments, we have no remaining obligations to make quarterly amortization payments under our long-term loan.</w:t>
            </w:r>
          </w:p>
        </w:tc>
      </w:tr>
    </w:tbl>
    <w:tbl>
      <w:tblPr>
        <w:tblW w:w="9618" w:type="dxa"/>
        <w:jc w:val="left"/>
        <w:tblInd w:w="0" w:type="dxa"/>
        <w:tblLayout w:type="fixed"/>
        <w:tblCellMar>
          <w:top w:w="0" w:type="dxa"/>
          <w:left w:w="0" w:type="dxa"/>
          <w:bottom w:w="0" w:type="dxa"/>
          <w:right w:w="0" w:type="dxa"/>
        </w:tblCellMar>
      </w:tblPr>
      <w:tblGrid>
        <w:gridCol w:w="38"/>
        <w:gridCol w:w="290"/>
        <w:gridCol w:w="929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(2)</w:t>
            </w:r>
          </w:p>
        </w:tc>
        <w:tc>
          <w:tcPr>
            <w:tcW w:w="9290" w:type="dxa"/>
            <w:tcBorders/>
            <w:vAlign w:val="center"/>
          </w:tcPr>
          <w:p>
            <w:pPr>
              <w:pStyle w:val="TableContents"/>
              <w:bidi w:val="0"/>
              <w:spacing w:before="0" w:after="0"/>
              <w:jc w:val="left"/>
              <w:rPr/>
            </w:pPr>
            <w:r>
              <w:rPr/>
              <w:t>Represents future minimum lease commitments under non-cancellable operating lease agreements.</w:t>
            </w:r>
          </w:p>
        </w:tc>
      </w:tr>
    </w:tbl>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pPr>
            <w:r>
              <w:rPr/>
              <w:t>(3)</w:t>
            </w:r>
          </w:p>
        </w:tc>
        <w:tc>
          <w:tcPr>
            <w:tcW w:w="9891" w:type="dxa"/>
            <w:tcBorders/>
            <w:vAlign w:val="center"/>
          </w:tcPr>
          <w:p>
            <w:pPr>
              <w:pStyle w:val="TableContents"/>
              <w:bidi w:val="0"/>
              <w:spacing w:before="0" w:after="0"/>
              <w:jc w:val="left"/>
              <w:rPr/>
            </w:pPr>
            <w:r>
              <w:rPr/>
              <w:t>Primarily represents non-cancelable amounts for contractual commitments in respect of software and information technology.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September 30,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we have a provision related to unrecognized tax benefit liabilities totaling $9.5 million and other provisions related to severance pay and contribution plans, which have been excluded from the table above as we do not believe it is practicable to make reliable estimates of the periods in which payments for these obligations will be made.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Other Commercial Commitments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Recent Accounting Pronouncements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period covered by this report, there were no material recent accounting pronouncements impacting our accounting policies that are not already discussed in our 2023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- 42 -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discussion and analysis of financial condition results of operations are based upon our consolidated interim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critical accounting policies are those that materi</w:t>
      </w:r>
      <w:r>
        <w:rPr>
          <w:rFonts w:ascii="Times New Roman" w:hAnsi="Times New Roman"/>
          <w:color w:val="212529"/>
          <w:sz w:val="20"/>
          <w:shd w:fill="FFFFFF" w:val="clear"/>
        </w:rPr>
        <w:t xml:space="preserve">ally affect our consolidated financial statements and involve difficult, subjective or complex judgments by management. There have been no material changes to our critical accounting policies and estimates of and for the year ended December 31, 2023, included in our </w:t>
      </w:r>
      <w:r>
        <w:rPr>
          <w:rFonts w:ascii="Times New Roman" w:hAnsi="Times New Roman"/>
          <w:color w:val="000000"/>
          <w:sz w:val="20"/>
          <w:shd w:fill="FFFFFF" w:val="clear"/>
        </w:rPr>
        <w:t>2023 Form 10-K</w:t>
      </w:r>
      <w:r>
        <w:rPr>
          <w:rFonts w:ascii="Times New Roman" w:hAnsi="Times New Roman"/>
          <w:color w:val="212529"/>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 w:name="Item3.QuantitativeandQual"/>
      <w:bookmarkStart w:id="13" w:name="Item3.QuantitativeandQual"/>
      <w:bookmarkEnd w:id="13"/>
    </w:p>
    <w:tbl>
      <w:tblPr>
        <w:tblW w:w="6610" w:type="dxa"/>
        <w:jc w:val="left"/>
        <w:tblInd w:w="0" w:type="dxa"/>
        <w:tblLayout w:type="fixed"/>
        <w:tblCellMar>
          <w:top w:w="0" w:type="dxa"/>
          <w:left w:w="0" w:type="dxa"/>
          <w:bottom w:w="0" w:type="dxa"/>
          <w:right w:w="0" w:type="dxa"/>
        </w:tblCellMar>
      </w:tblPr>
      <w:tblGrid>
        <w:gridCol w:w="710"/>
        <w:gridCol w:w="5900"/>
      </w:tblGrid>
      <w:tr>
        <w:trPr/>
        <w:tc>
          <w:tcPr>
            <w:tcW w:w="710" w:type="dxa"/>
            <w:tcBorders/>
            <w:vAlign w:val="center"/>
          </w:tcPr>
          <w:p>
            <w:pPr>
              <w:pStyle w:val="TableContents"/>
              <w:bidi w:val="0"/>
              <w:spacing w:before="0" w:after="283"/>
              <w:jc w:val="left"/>
              <w:rPr>
                <w:b/>
                <w:i/>
              </w:rPr>
            </w:pPr>
            <w:r>
              <w:rPr>
                <w:b/>
                <w:i/>
              </w:rPr>
              <w:t>Item 3.</w:t>
            </w:r>
          </w:p>
        </w:tc>
        <w:tc>
          <w:tcPr>
            <w:tcW w:w="5900" w:type="dxa"/>
            <w:tcBorders/>
            <w:vAlign w:val="center"/>
          </w:tcPr>
          <w:p>
            <w:pPr>
              <w:pStyle w:val="TableContents"/>
              <w:bidi w:val="0"/>
              <w:spacing w:before="0" w:after="0"/>
              <w:jc w:val="both"/>
              <w:rPr>
                <w:b/>
                <w:i/>
              </w:rPr>
            </w:pPr>
            <w:r>
              <w:rPr>
                <w:b/>
                <w:i/>
              </w:rPr>
              <w:t>Quantitative and Qualitative Disclosures About Market Risk</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Foreign Currency Exchange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10% increase or decrease of the NIS, Euro, British pound sterling, or the Japanese yen against the U.S. dollar would have impacted the consolidated statements of income (loss) as follows:</w:t>
      </w:r>
    </w:p>
    <w:p>
      <w:pPr>
        <w:pStyle w:val="TextBody"/>
        <w:bidi w:val="0"/>
        <w:spacing w:before="0" w:after="0"/>
        <w:jc w:val="left"/>
        <w:rPr>
          <w:color w:val="000000"/>
          <w:shd w:fill="FFFFFF" w:val="clear"/>
        </w:rPr>
      </w:pPr>
      <w:r>
        <w:rPr>
          <w:color w:val="000000"/>
          <w:shd w:fill="FFFFFF" w:val="clear"/>
        </w:rPr>
        <w:t> </w:t>
      </w:r>
    </w:p>
    <w:tbl>
      <w:tblPr>
        <w:tblW w:w="4730" w:type="dxa"/>
        <w:jc w:val="left"/>
        <w:tblInd w:w="0" w:type="dxa"/>
        <w:tblLayout w:type="fixed"/>
        <w:tblCellMar>
          <w:top w:w="0" w:type="dxa"/>
          <w:left w:w="0" w:type="dxa"/>
          <w:bottom w:w="0" w:type="dxa"/>
          <w:right w:w="0" w:type="dxa"/>
        </w:tblCellMar>
      </w:tblPr>
      <w:tblGrid>
        <w:gridCol w:w="1070"/>
        <w:gridCol w:w="60"/>
        <w:gridCol w:w="140"/>
        <w:gridCol w:w="635"/>
        <w:gridCol w:w="95"/>
        <w:gridCol w:w="60"/>
        <w:gridCol w:w="140"/>
        <w:gridCol w:w="635"/>
        <w:gridCol w:w="95"/>
        <w:gridCol w:w="60"/>
        <w:gridCol w:w="140"/>
        <w:gridCol w:w="635"/>
        <w:gridCol w:w="95"/>
        <w:gridCol w:w="60"/>
        <w:gridCol w:w="140"/>
        <w:gridCol w:w="575"/>
        <w:gridCol w:w="95"/>
      </w:tblGrid>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350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Operating income (loss) impact</w:t>
            </w:r>
          </w:p>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705"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5"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350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(dollars in thousands)</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75" w:type="dxa"/>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left"/>
              <w:rPr>
                <w:b/>
              </w:rPr>
            </w:pPr>
            <w:r>
              <w:rPr>
                <w:b/>
              </w:rPr>
            </w:r>
          </w:p>
        </w:tc>
      </w:tr>
      <w:tr>
        <w:trPr/>
        <w:tc>
          <w:tcPr>
            <w:tcW w:w="1070" w:type="dxa"/>
            <w:tcBorders/>
            <w:shd w:fill="CCEEFF" w:val="clear"/>
            <w:vAlign w:val="bottom"/>
          </w:tcPr>
          <w:p>
            <w:pPr>
              <w:pStyle w:val="TableContents"/>
              <w:bidi w:val="0"/>
              <w:spacing w:before="0" w:after="0"/>
              <w:jc w:val="left"/>
              <w:rPr/>
            </w:pPr>
            <w:r>
              <w:rPr/>
              <w:t>NIS/USD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(1,260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1,260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398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575" w:type="dxa"/>
            <w:tcBorders/>
            <w:shd w:fill="CCEEFF" w:val="clear"/>
            <w:vAlign w:val="bottom"/>
          </w:tcPr>
          <w:p>
            <w:pPr>
              <w:pStyle w:val="TableContents"/>
              <w:bidi w:val="0"/>
              <w:spacing w:before="0" w:after="0"/>
              <w:jc w:val="right"/>
              <w:rPr/>
            </w:pPr>
            <w:r>
              <w:rPr/>
              <w:t>(398</w:t>
            </w:r>
          </w:p>
        </w:tc>
        <w:tc>
          <w:tcPr>
            <w:tcW w:w="95" w:type="dxa"/>
            <w:tcBorders/>
            <w:shd w:fill="CCEEFF" w:val="clear"/>
            <w:vAlign w:val="bottom"/>
          </w:tcPr>
          <w:p>
            <w:pPr>
              <w:pStyle w:val="TableContents"/>
              <w:bidi w:val="0"/>
              <w:spacing w:before="0" w:after="0"/>
              <w:jc w:val="left"/>
              <w:rPr/>
            </w:pPr>
            <w:r>
              <w:rPr/>
              <w:t>)</w:t>
            </w:r>
          </w:p>
        </w:tc>
      </w:tr>
      <w:tr>
        <w:trPr/>
        <w:tc>
          <w:tcPr>
            <w:tcW w:w="1070" w:type="dxa"/>
            <w:tcBorders/>
            <w:vAlign w:val="bottom"/>
          </w:tcPr>
          <w:p>
            <w:pPr>
              <w:pStyle w:val="TableContents"/>
              <w:bidi w:val="0"/>
              <w:spacing w:before="0" w:after="0"/>
              <w:jc w:val="left"/>
              <w:rPr/>
            </w:pPr>
            <w:r>
              <w:rPr/>
              <w:t>EUR/USD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3,077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(3,077</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214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575" w:type="dxa"/>
            <w:tcBorders/>
            <w:vAlign w:val="bottom"/>
          </w:tcPr>
          <w:p>
            <w:pPr>
              <w:pStyle w:val="TableContents"/>
              <w:bidi w:val="0"/>
              <w:spacing w:before="0" w:after="0"/>
              <w:jc w:val="right"/>
              <w:rPr/>
            </w:pPr>
            <w:r>
              <w:rPr/>
              <w:t>(214</w:t>
            </w:r>
          </w:p>
        </w:tc>
        <w:tc>
          <w:tcPr>
            <w:tcW w:w="95" w:type="dxa"/>
            <w:tcBorders/>
            <w:vAlign w:val="bottom"/>
          </w:tcPr>
          <w:p>
            <w:pPr>
              <w:pStyle w:val="TableContents"/>
              <w:bidi w:val="0"/>
              <w:spacing w:before="0" w:after="0"/>
              <w:jc w:val="left"/>
              <w:rPr/>
            </w:pPr>
            <w:r>
              <w:rPr/>
              <w:t>)</w:t>
            </w:r>
          </w:p>
        </w:tc>
      </w:tr>
      <w:tr>
        <w:trPr/>
        <w:tc>
          <w:tcPr>
            <w:tcW w:w="1070" w:type="dxa"/>
            <w:tcBorders/>
            <w:shd w:fill="CCEEFF" w:val="clear"/>
            <w:vAlign w:val="bottom"/>
          </w:tcPr>
          <w:p>
            <w:pPr>
              <w:pStyle w:val="TableContents"/>
              <w:bidi w:val="0"/>
              <w:spacing w:before="0" w:after="0"/>
              <w:jc w:val="left"/>
              <w:rPr/>
            </w:pPr>
            <w:r>
              <w:rPr/>
              <w:t>GBP/USD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(2,183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2,183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(470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575" w:type="dxa"/>
            <w:tcBorders/>
            <w:shd w:fill="CCEEFF" w:val="clear"/>
            <w:vAlign w:val="bottom"/>
          </w:tcPr>
          <w:p>
            <w:pPr>
              <w:pStyle w:val="TableContents"/>
              <w:bidi w:val="0"/>
              <w:spacing w:before="0" w:after="0"/>
              <w:jc w:val="right"/>
              <w:rPr/>
            </w:pPr>
            <w:r>
              <w:rPr/>
              <w:t>470</w:t>
            </w:r>
          </w:p>
        </w:tc>
        <w:tc>
          <w:tcPr>
            <w:tcW w:w="9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JPY/USD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700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(700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639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575" w:type="dxa"/>
            <w:tcBorders/>
            <w:vAlign w:val="bottom"/>
          </w:tcPr>
          <w:p>
            <w:pPr>
              <w:pStyle w:val="TableContents"/>
              <w:bidi w:val="0"/>
              <w:spacing w:before="0" w:after="0"/>
              <w:jc w:val="right"/>
              <w:rPr/>
            </w:pPr>
            <w:r>
              <w:rPr/>
              <w:t>(639</w:t>
            </w:r>
          </w:p>
        </w:tc>
        <w:tc>
          <w:tcPr>
            <w:tcW w:w="9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call and put options, to manage exposure to foreign currency risks. These derivative instruments are designated as cash flow hedges.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rate risk is the risk that the value or yield of fixed-income investments may decline if interest rates change.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- 43 -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we had approximately $152.7 million of outstanding borrowings under our long-term loan with a variable interest rate. See Liquidity and Capital Resources for information regarding our incremental revolving credit facility amendment.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Inflation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impacts of inflation have resulted in higher equipment and labor costs, consistent with its impact on the general economy.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Credit risk with respect to accounts receivable is generally not significant, as we routinely assess the creditworthiness of our partners and Advertisers. Historically, we generally have not experienced any material losses related to receivables from Advertisers. We do not require collateral. Due to these factors, no additional credit risk beyond amounts provided for collection losses is believed by management to be probable in our accounts receivable.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we had a single customer representing 17.4% of the trade receivables balance. For the three and nine months ended September 30, 2024, we had a single customer accounted for 10.4% and 12.3%, respectively, of total revenues. As of December 31, 2023, no single customer represented 10% or more of trade receivables. No single customer accounted for more than 10% of total revenue for the three and nine months ended September 30, 2023. See Notes 2 and 12 of Notes to the Unaudited Consolidated Interim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we maintained cash balances primarily in banks in the United States, the United Kingdom and Israel.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Historically we have not experienced losses related to these balances and believe our credit risk in this area is reasonable. As of September 30, 2024, we maintained cash balances with U.S. and United Kingdom banks that significantly exceed FDIC and FSCS insurance limits and expect we will continue to do so. We regularly monitor bank financial strength and other factors in determining where to maintain cash deposits but may not be able to fully mitigate the risk of possible bank failures.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2024 the Company did not hold short-term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- 44 -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4" w:name="Item4.ControlsandProcedur"/>
      <w:bookmarkStart w:id="15" w:name="Item4.ControlsandProcedur"/>
      <w:bookmarkEnd w:id="15"/>
    </w:p>
    <w:tbl>
      <w:tblPr>
        <w:tblW w:w="3325" w:type="dxa"/>
        <w:jc w:val="left"/>
        <w:tblInd w:w="0" w:type="dxa"/>
        <w:tblLayout w:type="fixed"/>
        <w:tblCellMar>
          <w:top w:w="0" w:type="dxa"/>
          <w:left w:w="0" w:type="dxa"/>
          <w:bottom w:w="0" w:type="dxa"/>
          <w:right w:w="0" w:type="dxa"/>
        </w:tblCellMar>
      </w:tblPr>
      <w:tblGrid>
        <w:gridCol w:w="740"/>
        <w:gridCol w:w="258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85" w:type="dxa"/>
            <w:tcBorders/>
            <w:vAlign w:val="center"/>
          </w:tcPr>
          <w:p>
            <w:pPr>
              <w:pStyle w:val="TableContents"/>
              <w:bidi w:val="0"/>
              <w:spacing w:before="0" w:after="0"/>
              <w:jc w:val="both"/>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September 30, 2024. Based upon that evaluation, our Chief Executive Officer and Chief Financial Officer concluded that, as of September 30, 2024, our disclosure controls and procedures were effective to accomplish their objectives at the reasonable assurance level.</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- 45 -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bookmarkStart w:id="16" w:name="PARTIIOTHERINFORMATION"/>
      <w:bookmarkEnd w:id="16"/>
      <w:r>
        <w:rPr>
          <w:rFonts w:ascii="Times New Roman" w:hAnsi="Times New Roman"/>
          <w:b/>
          <w:color w:val="000000"/>
          <w:sz w:val="20"/>
          <w:shd w:fill="FFFFFF" w:val="clear"/>
        </w:rPr>
        <w:t>PART II –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Item1.LegalProceedings"/>
      <w:bookmarkStart w:id="18" w:name="Item1.LegalProceedings"/>
      <w:bookmarkEnd w:id="18"/>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rPr>
            </w:pPr>
            <w:r>
              <w:rPr>
                <w:b/>
              </w:rPr>
              <w:t>Item 1.</w:t>
            </w:r>
          </w:p>
        </w:tc>
        <w:tc>
          <w:tcPr>
            <w:tcW w:w="1895" w:type="dxa"/>
            <w:tcBorders/>
            <w:vAlign w:val="center"/>
          </w:tcPr>
          <w:p>
            <w:pPr>
              <w:pStyle w:val="TableContents"/>
              <w:bidi w:val="0"/>
              <w:spacing w:before="0" w:after="0"/>
              <w:jc w:val="both"/>
              <w:rPr>
                <w:b/>
              </w:rPr>
            </w:pPr>
            <w:r>
              <w:rPr>
                <w:b/>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 w:name="Item1A.RiskFactors"/>
      <w:bookmarkStart w:id="20" w:name="Item1A.RiskFactors"/>
      <w:bookmarkEnd w:id="20"/>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rPr>
            </w:pPr>
            <w:r>
              <w:rPr>
                <w:b/>
              </w:rPr>
              <w:t>Item 1A.</w:t>
            </w:r>
          </w:p>
        </w:tc>
        <w:tc>
          <w:tcPr>
            <w:tcW w:w="1325" w:type="dxa"/>
            <w:tcBorders/>
            <w:vAlign w:val="center"/>
          </w:tcPr>
          <w:p>
            <w:pPr>
              <w:pStyle w:val="TableContents"/>
              <w:bidi w:val="0"/>
              <w:spacing w:before="0" w:after="0"/>
              <w:jc w:val="both"/>
              <w:rPr>
                <w:b/>
              </w:rPr>
            </w:pPr>
            <w:r>
              <w:rPr>
                <w:b/>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Investing in our Ordinary shares involves a high degree of risk. We describe risks associated with our business in Part I, Item 1A: “Risk Factors” of our 2023 Form 10-K. Each of the risks described in those Risk Factors may be relevant to decisions regarding an investment in or ownership of our Ordinary shares. The occurrence of any such risks could have a significant adverse effect on our reputation, business, financial condition, revenue, results of operations, growth, or ability to accomplish our strategic objectives, and could cause the trading price of our Ordinary shares to decline. You should carefully consider such risks and the other information contained in this report, including our condensed consolidated interim financial statements and related notes and Management’s Discussion and Analysis of Financial Condition and Results of Operations, before making investment decisions related to our Ordinary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are no additional material changes to the Risk Factors in our 2023 Form 10-K of which we are currently aware; but our Risk Factors cannot anticipate and fully address all possible risks of investing in our Ordinary shares, the risks of investing in our Ordinary shares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Item2.UnregisteredSalesof"/>
      <w:bookmarkStart w:id="22" w:name="Item2.UnregisteredSalesof"/>
      <w:bookmarkEnd w:id="22"/>
    </w:p>
    <w:tbl>
      <w:tblPr>
        <w:tblW w:w="6820" w:type="dxa"/>
        <w:jc w:val="left"/>
        <w:tblInd w:w="0" w:type="dxa"/>
        <w:tblLayout w:type="fixed"/>
        <w:tblCellMar>
          <w:top w:w="0" w:type="dxa"/>
          <w:left w:w="0" w:type="dxa"/>
          <w:bottom w:w="0" w:type="dxa"/>
          <w:right w:w="0" w:type="dxa"/>
        </w:tblCellMar>
      </w:tblPr>
      <w:tblGrid>
        <w:gridCol w:w="740"/>
        <w:gridCol w:w="6080"/>
      </w:tblGrid>
      <w:tr>
        <w:trPr/>
        <w:tc>
          <w:tcPr>
            <w:tcW w:w="740" w:type="dxa"/>
            <w:tcBorders/>
            <w:vAlign w:val="center"/>
          </w:tcPr>
          <w:p>
            <w:pPr>
              <w:pStyle w:val="TableContents"/>
              <w:bidi w:val="0"/>
              <w:spacing w:before="0" w:after="283"/>
              <w:jc w:val="left"/>
              <w:rPr>
                <w:b/>
              </w:rPr>
            </w:pPr>
            <w:r>
              <w:rPr>
                <w:b/>
              </w:rPr>
              <w:t>Item 2.</w:t>
            </w:r>
          </w:p>
        </w:tc>
        <w:tc>
          <w:tcPr>
            <w:tcW w:w="6080" w:type="dxa"/>
            <w:tcBorders/>
            <w:vAlign w:val="center"/>
          </w:tcPr>
          <w:p>
            <w:pPr>
              <w:pStyle w:val="TableContents"/>
              <w:bidi w:val="0"/>
              <w:spacing w:before="0" w:after="0"/>
              <w:jc w:val="both"/>
              <w:rPr>
                <w:b/>
              </w:rPr>
            </w:pPr>
            <w:r>
              <w:rPr>
                <w:b/>
              </w:rPr>
              <w:t>Unregistered Sales of Equity Securities and Use of Proceeds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Ordinary shares repurchased pursuant to our Ordinary share buyback program for the three months ended September 30, 2024.</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892"/>
        <w:gridCol w:w="60"/>
        <w:gridCol w:w="79"/>
        <w:gridCol w:w="1291"/>
        <w:gridCol w:w="60"/>
        <w:gridCol w:w="60"/>
        <w:gridCol w:w="316"/>
        <w:gridCol w:w="999"/>
        <w:gridCol w:w="60"/>
        <w:gridCol w:w="60"/>
        <w:gridCol w:w="114"/>
        <w:gridCol w:w="1630"/>
        <w:gridCol w:w="60"/>
        <w:gridCol w:w="60"/>
        <w:gridCol w:w="269"/>
        <w:gridCol w:w="2118"/>
        <w:gridCol w:w="77"/>
      </w:tblGrid>
      <w:tr>
        <w:trPr/>
        <w:tc>
          <w:tcPr>
            <w:tcW w:w="2892" w:type="dxa"/>
            <w:tcBorders>
              <w:bottom w:val="single" w:sz="12" w:space="0" w:color="000000"/>
            </w:tcBorders>
            <w:vAlign w:val="bottom"/>
          </w:tcPr>
          <w:p>
            <w:pPr>
              <w:pStyle w:val="TableContents"/>
              <w:bidi w:val="0"/>
              <w:spacing w:before="0" w:after="0"/>
              <w:jc w:val="left"/>
              <w:rPr>
                <w:b/>
              </w:rPr>
            </w:pPr>
            <w:r>
              <w:rPr>
                <w:b/>
              </w:rPr>
              <w:t>Period</w:t>
            </w:r>
          </w:p>
        </w:tc>
        <w:tc>
          <w:tcPr>
            <w:tcW w:w="60" w:type="dxa"/>
            <w:tcBorders/>
            <w:tcMar>
              <w:bottom w:w="0" w:type="dxa"/>
            </w:tcMar>
            <w:vAlign w:val="bottom"/>
          </w:tcPr>
          <w:p>
            <w:pPr>
              <w:pStyle w:val="TableContents"/>
              <w:bidi w:val="0"/>
              <w:spacing w:before="0" w:after="283"/>
              <w:jc w:val="left"/>
              <w:rPr/>
            </w:pPr>
            <w:r>
              <w:rPr/>
              <w:t> </w:t>
            </w:r>
          </w:p>
        </w:tc>
        <w:tc>
          <w:tcPr>
            <w:tcW w:w="1370" w:type="dxa"/>
            <w:gridSpan w:val="2"/>
            <w:tcBorders>
              <w:bottom w:val="single" w:sz="12" w:space="0" w:color="000000"/>
            </w:tcBorders>
            <w:vAlign w:val="bottom"/>
          </w:tcPr>
          <w:p>
            <w:pPr>
              <w:pStyle w:val="TableContents"/>
              <w:bidi w:val="0"/>
              <w:spacing w:before="0" w:after="0"/>
              <w:jc w:val="center"/>
              <w:rPr>
                <w:b/>
              </w:rPr>
            </w:pPr>
            <w:r>
              <w:rPr>
                <w:b/>
              </w:rPr>
              <w:t xml:space="preserve">(a) Total </w:t>
            </w:r>
          </w:p>
          <w:p>
            <w:pPr>
              <w:pStyle w:val="TableContents"/>
              <w:bidi w:val="0"/>
              <w:spacing w:before="0" w:after="0"/>
              <w:jc w:val="center"/>
              <w:rPr>
                <w:b/>
              </w:rPr>
            </w:pPr>
            <w:r>
              <w:rPr>
                <w:b/>
              </w:rPr>
              <w:t xml:space="preserve">Number of </w:t>
            </w:r>
          </w:p>
          <w:p>
            <w:pPr>
              <w:pStyle w:val="TableContents"/>
              <w:bidi w:val="0"/>
              <w:spacing w:before="0" w:after="0"/>
              <w:jc w:val="center"/>
              <w:rPr>
                <w:b/>
              </w:rPr>
            </w:pPr>
            <w:r>
              <w:rPr>
                <w:b/>
              </w:rPr>
              <w:t>Shares</w:t>
            </w:r>
          </w:p>
          <w:p>
            <w:pPr>
              <w:pStyle w:val="TableContents"/>
              <w:bidi w:val="0"/>
              <w:spacing w:before="0" w:after="0"/>
              <w:jc w:val="center"/>
              <w:rPr>
                <w:b/>
              </w:rPr>
            </w:pPr>
            <w:r>
              <w:rPr>
                <w:b/>
              </w:rPr>
              <w:t>Repurchased</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15" w:type="dxa"/>
            <w:gridSpan w:val="2"/>
            <w:tcBorders>
              <w:bottom w:val="single" w:sz="12" w:space="0" w:color="000000"/>
            </w:tcBorders>
            <w:vAlign w:val="bottom"/>
          </w:tcPr>
          <w:p>
            <w:pPr>
              <w:pStyle w:val="TableContents"/>
              <w:bidi w:val="0"/>
              <w:spacing w:before="0" w:after="0"/>
              <w:jc w:val="center"/>
              <w:rPr>
                <w:b/>
              </w:rPr>
            </w:pPr>
            <w:r>
              <w:rPr>
                <w:b/>
              </w:rPr>
              <w:t xml:space="preserve">(b) Average </w:t>
            </w:r>
          </w:p>
          <w:p>
            <w:pPr>
              <w:pStyle w:val="TableContents"/>
              <w:bidi w:val="0"/>
              <w:spacing w:before="0" w:after="0"/>
              <w:jc w:val="center"/>
              <w:rPr>
                <w:b/>
              </w:rPr>
            </w:pPr>
            <w:r>
              <w:rPr>
                <w:b/>
              </w:rPr>
              <w:t>Price Paid Per</w:t>
            </w:r>
          </w:p>
          <w:p>
            <w:pPr>
              <w:pStyle w:val="TableContents"/>
              <w:bidi w:val="0"/>
              <w:spacing w:lineRule="auto" w:line="240" w:before="0" w:after="0"/>
              <w:jc w:val="center"/>
              <w:rPr>
                <w:b/>
              </w:rPr>
            </w:pPr>
            <w:r>
              <w:rPr>
                <w:b/>
              </w:rPr>
              <w:t>Share (1)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44" w:type="dxa"/>
            <w:gridSpan w:val="2"/>
            <w:tcBorders>
              <w:bottom w:val="single" w:sz="12" w:space="0" w:color="000000"/>
            </w:tcBorders>
            <w:vAlign w:val="bottom"/>
          </w:tcPr>
          <w:p>
            <w:pPr>
              <w:pStyle w:val="TableContents"/>
              <w:bidi w:val="0"/>
              <w:spacing w:before="0" w:after="0"/>
              <w:jc w:val="center"/>
              <w:rPr>
                <w:b/>
              </w:rPr>
            </w:pPr>
            <w:r>
              <w:rPr>
                <w:b/>
              </w:rPr>
              <w:t>(c) Total Number</w:t>
            </w:r>
          </w:p>
          <w:p>
            <w:pPr>
              <w:pStyle w:val="TableContents"/>
              <w:bidi w:val="0"/>
              <w:spacing w:before="0" w:after="0"/>
              <w:jc w:val="center"/>
              <w:rPr>
                <w:b/>
              </w:rPr>
            </w:pPr>
            <w:r>
              <w:rPr>
                <w:b/>
              </w:rPr>
              <w:t>of Shares</w:t>
            </w:r>
          </w:p>
          <w:p>
            <w:pPr>
              <w:pStyle w:val="TableContents"/>
              <w:bidi w:val="0"/>
              <w:spacing w:before="0" w:after="0"/>
              <w:jc w:val="center"/>
              <w:rPr>
                <w:b/>
              </w:rPr>
            </w:pPr>
            <w:r>
              <w:rPr>
                <w:b/>
              </w:rPr>
              <w:t>Purchased as Part</w:t>
            </w:r>
          </w:p>
          <w:p>
            <w:pPr>
              <w:pStyle w:val="TableContents"/>
              <w:bidi w:val="0"/>
              <w:spacing w:before="0" w:after="0"/>
              <w:jc w:val="center"/>
              <w:rPr>
                <w:b/>
              </w:rPr>
            </w:pPr>
            <w:r>
              <w:rPr>
                <w:b/>
              </w:rPr>
              <w:t>of Publicly</w:t>
            </w:r>
          </w:p>
          <w:p>
            <w:pPr>
              <w:pStyle w:val="TableContents"/>
              <w:bidi w:val="0"/>
              <w:spacing w:before="0" w:after="0"/>
              <w:jc w:val="center"/>
              <w:rPr>
                <w:b/>
              </w:rPr>
            </w:pPr>
            <w:r>
              <w:rPr>
                <w:b/>
              </w:rPr>
              <w:t>Announced</w:t>
            </w:r>
          </w:p>
          <w:p>
            <w:pPr>
              <w:pStyle w:val="TableContents"/>
              <w:bidi w:val="0"/>
              <w:spacing w:before="0" w:after="0"/>
              <w:jc w:val="center"/>
              <w:rPr>
                <w:b/>
              </w:rPr>
            </w:pPr>
            <w:r>
              <w:rPr>
                <w:b/>
              </w:rPr>
              <w:t>Program</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387" w:type="dxa"/>
            <w:gridSpan w:val="2"/>
            <w:tcBorders>
              <w:bottom w:val="single" w:sz="12" w:space="0" w:color="000000"/>
            </w:tcBorders>
            <w:vAlign w:val="bottom"/>
          </w:tcPr>
          <w:p>
            <w:pPr>
              <w:pStyle w:val="TableContents"/>
              <w:bidi w:val="0"/>
              <w:spacing w:before="0" w:after="0"/>
              <w:jc w:val="center"/>
              <w:rPr>
                <w:b/>
              </w:rPr>
            </w:pPr>
            <w:r>
              <w:rPr>
                <w:b/>
              </w:rPr>
              <w:t xml:space="preserve">(d) Approximate Dollar </w:t>
            </w:r>
          </w:p>
          <w:p>
            <w:pPr>
              <w:pStyle w:val="TableContents"/>
              <w:bidi w:val="0"/>
              <w:spacing w:before="0" w:after="0"/>
              <w:jc w:val="center"/>
              <w:rPr>
                <w:b/>
              </w:rPr>
            </w:pPr>
            <w:r>
              <w:rPr>
                <w:b/>
              </w:rPr>
              <w:t xml:space="preserve">Value of Shares that May </w:t>
            </w:r>
          </w:p>
          <w:p>
            <w:pPr>
              <w:pStyle w:val="TableContents"/>
              <w:bidi w:val="0"/>
              <w:spacing w:before="0" w:after="0"/>
              <w:jc w:val="center"/>
              <w:rPr>
                <w:b/>
              </w:rPr>
            </w:pPr>
            <w:r>
              <w:rPr>
                <w:b/>
              </w:rPr>
              <w:t xml:space="preserve">Yet Be Purchased Under </w:t>
            </w:r>
          </w:p>
          <w:p>
            <w:pPr>
              <w:pStyle w:val="TableContents"/>
              <w:bidi w:val="0"/>
              <w:spacing w:lineRule="auto" w:line="240" w:before="0" w:after="0"/>
              <w:jc w:val="center"/>
              <w:rPr>
                <w:b/>
              </w:rPr>
            </w:pPr>
            <w:r>
              <w:rPr>
                <w:b/>
              </w:rPr>
              <w:t>the Plan or Program (2)</w:t>
            </w:r>
          </w:p>
        </w:tc>
        <w:tc>
          <w:tcPr>
            <w:tcW w:w="77" w:type="dxa"/>
            <w:tcBorders/>
            <w:tcMar>
              <w:bottom w:w="0" w:type="dxa"/>
            </w:tcMar>
            <w:vAlign w:val="bottom"/>
          </w:tcPr>
          <w:p>
            <w:pPr>
              <w:pStyle w:val="TableContents"/>
              <w:bidi w:val="0"/>
              <w:spacing w:before="0" w:after="283"/>
              <w:jc w:val="left"/>
              <w:rPr/>
            </w:pPr>
            <w:r>
              <w:rPr/>
              <w:t> </w:t>
            </w:r>
          </w:p>
        </w:tc>
      </w:tr>
      <w:tr>
        <w:trPr/>
        <w:tc>
          <w:tcPr>
            <w:tcW w:w="2892" w:type="dxa"/>
            <w:tcBorders/>
            <w:shd w:fill="CCEEFF" w:val="clear"/>
            <w:tcMar>
              <w:bottom w:w="0" w:type="dxa"/>
            </w:tcMar>
            <w:vAlign w:val="bottom"/>
          </w:tcPr>
          <w:p>
            <w:pPr>
              <w:pStyle w:val="TableContents"/>
              <w:bidi w:val="0"/>
              <w:spacing w:before="0" w:after="0"/>
              <w:jc w:val="left"/>
              <w:rPr/>
            </w:pPr>
            <w:r>
              <w:rPr/>
              <w:t>July 1 - July 31, 2024</w:t>
            </w:r>
          </w:p>
        </w:tc>
        <w:tc>
          <w:tcPr>
            <w:tcW w:w="60" w:type="dxa"/>
            <w:tcBorders/>
            <w:shd w:fill="CCEEFF" w:val="clear"/>
            <w:tcMar>
              <w:bottom w:w="0" w:type="dxa"/>
            </w:tcMar>
            <w:vAlign w:val="bottom"/>
          </w:tcPr>
          <w:p>
            <w:pPr>
              <w:pStyle w:val="TableContents"/>
              <w:bidi w:val="0"/>
              <w:spacing w:before="0" w:after="283"/>
              <w:jc w:val="right"/>
              <w:rPr/>
            </w:pPr>
            <w:r>
              <w:rPr/>
              <w:t> </w:t>
            </w:r>
          </w:p>
        </w:tc>
        <w:tc>
          <w:tcPr>
            <w:tcW w:w="79" w:type="dxa"/>
            <w:tcBorders/>
            <w:shd w:fill="CCEEFF" w:val="clear"/>
            <w:tcMar>
              <w:bottom w:w="0" w:type="dxa"/>
            </w:tcMar>
            <w:vAlign w:val="bottom"/>
          </w:tcPr>
          <w:p>
            <w:pPr>
              <w:pStyle w:val="TableContents"/>
              <w:bidi w:val="0"/>
              <w:spacing w:before="0" w:after="283"/>
              <w:jc w:val="left"/>
              <w:rPr/>
            </w:pPr>
            <w:r>
              <w:rPr/>
              <w:t> </w:t>
            </w:r>
          </w:p>
        </w:tc>
        <w:tc>
          <w:tcPr>
            <w:tcW w:w="1291" w:type="dxa"/>
            <w:tcBorders/>
            <w:shd w:fill="CCEEFF" w:val="clear"/>
            <w:tcMar>
              <w:bottom w:w="0" w:type="dxa"/>
            </w:tcMar>
            <w:vAlign w:val="bottom"/>
          </w:tcPr>
          <w:p>
            <w:pPr>
              <w:pStyle w:val="TableContents"/>
              <w:bidi w:val="0"/>
              <w:spacing w:before="0" w:after="0"/>
              <w:jc w:val="right"/>
              <w:rPr/>
            </w:pPr>
            <w:r>
              <w:rPr/>
              <w:t>900,000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0"/>
              <w:jc w:val="left"/>
              <w:rPr/>
            </w:pPr>
            <w:r>
              <w:rPr/>
              <w:t>$</w:t>
            </w:r>
          </w:p>
        </w:tc>
        <w:tc>
          <w:tcPr>
            <w:tcW w:w="999" w:type="dxa"/>
            <w:tcBorders/>
            <w:shd w:fill="CCEEFF" w:val="clear"/>
            <w:tcMar>
              <w:bottom w:w="0" w:type="dxa"/>
            </w:tcMar>
            <w:vAlign w:val="bottom"/>
          </w:tcPr>
          <w:p>
            <w:pPr>
              <w:pStyle w:val="TableContents"/>
              <w:bidi w:val="0"/>
              <w:spacing w:before="0" w:after="0"/>
              <w:jc w:val="right"/>
              <w:rPr/>
            </w:pPr>
            <w:r>
              <w:rPr/>
              <w:t>3.40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14"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900,000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69" w:type="dxa"/>
            <w:tcBorders/>
            <w:shd w:fill="CCEEFF" w:val="clear"/>
            <w:tcMar>
              <w:bottom w:w="0" w:type="dxa"/>
            </w:tcMar>
            <w:vAlign w:val="bottom"/>
          </w:tcPr>
          <w:p>
            <w:pPr>
              <w:pStyle w:val="TableContents"/>
              <w:bidi w:val="0"/>
              <w:spacing w:before="0" w:after="0"/>
              <w:jc w:val="left"/>
              <w:rPr/>
            </w:pPr>
            <w:r>
              <w:rPr/>
              <w:t>$</w:t>
            </w:r>
          </w:p>
        </w:tc>
        <w:tc>
          <w:tcPr>
            <w:tcW w:w="2118" w:type="dxa"/>
            <w:tcBorders/>
            <w:shd w:fill="CCEEFF" w:val="clear"/>
            <w:tcMar>
              <w:bottom w:w="0" w:type="dxa"/>
            </w:tcMar>
            <w:vAlign w:val="bottom"/>
          </w:tcPr>
          <w:p>
            <w:pPr>
              <w:pStyle w:val="TableContents"/>
              <w:bidi w:val="0"/>
              <w:spacing w:before="0" w:after="0"/>
              <w:jc w:val="right"/>
              <w:rPr/>
            </w:pPr>
            <w:r>
              <w:rPr/>
              <w:t>62,496,523</w:t>
            </w:r>
          </w:p>
        </w:tc>
        <w:tc>
          <w:tcPr>
            <w:tcW w:w="77" w:type="dxa"/>
            <w:tcBorders/>
            <w:shd w:fill="CCEEFF" w:val="clear"/>
            <w:tcMar>
              <w:bottom w:w="0" w:type="dxa"/>
            </w:tcMar>
            <w:vAlign w:val="bottom"/>
          </w:tcPr>
          <w:p>
            <w:pPr>
              <w:pStyle w:val="TableContents"/>
              <w:bidi w:val="0"/>
              <w:spacing w:before="0" w:after="283"/>
              <w:jc w:val="left"/>
              <w:rPr/>
            </w:pPr>
            <w:r>
              <w:rPr/>
              <w:t> </w:t>
            </w:r>
          </w:p>
        </w:tc>
      </w:tr>
      <w:tr>
        <w:trPr/>
        <w:tc>
          <w:tcPr>
            <w:tcW w:w="2892" w:type="dxa"/>
            <w:tcBorders/>
            <w:tcMar>
              <w:bottom w:w="0" w:type="dxa"/>
            </w:tcMar>
            <w:vAlign w:val="bottom"/>
          </w:tcPr>
          <w:p>
            <w:pPr>
              <w:pStyle w:val="TableContents"/>
              <w:bidi w:val="0"/>
              <w:spacing w:before="0" w:after="0"/>
              <w:jc w:val="left"/>
              <w:rPr/>
            </w:pPr>
            <w:r>
              <w:rPr/>
              <w:t>August 1 - August 31, 2024</w:t>
            </w:r>
          </w:p>
        </w:tc>
        <w:tc>
          <w:tcPr>
            <w:tcW w:w="60" w:type="dxa"/>
            <w:tcBorders/>
            <w:tcMar>
              <w:bottom w:w="0" w:type="dxa"/>
            </w:tcMar>
            <w:vAlign w:val="bottom"/>
          </w:tcPr>
          <w:p>
            <w:pPr>
              <w:pStyle w:val="TableContents"/>
              <w:bidi w:val="0"/>
              <w:spacing w:before="0" w:after="283"/>
              <w:jc w:val="right"/>
              <w:rPr/>
            </w:pPr>
            <w:r>
              <w:rPr/>
              <w:t> </w:t>
            </w:r>
          </w:p>
        </w:tc>
        <w:tc>
          <w:tcPr>
            <w:tcW w:w="79" w:type="dxa"/>
            <w:tcBorders/>
            <w:tcMar>
              <w:bottom w:w="0" w:type="dxa"/>
            </w:tcMar>
            <w:vAlign w:val="bottom"/>
          </w:tcPr>
          <w:p>
            <w:pPr>
              <w:pStyle w:val="TableContents"/>
              <w:bidi w:val="0"/>
              <w:spacing w:before="0" w:after="283"/>
              <w:jc w:val="left"/>
              <w:rPr/>
            </w:pPr>
            <w:r>
              <w:rPr/>
              <w:t> </w:t>
            </w:r>
          </w:p>
        </w:tc>
        <w:tc>
          <w:tcPr>
            <w:tcW w:w="1291" w:type="dxa"/>
            <w:tcBorders/>
            <w:tcMar>
              <w:bottom w:w="0" w:type="dxa"/>
            </w:tcMar>
            <w:vAlign w:val="bottom"/>
          </w:tcPr>
          <w:p>
            <w:pPr>
              <w:pStyle w:val="TableContents"/>
              <w:bidi w:val="0"/>
              <w:spacing w:before="0" w:after="0"/>
              <w:jc w:val="right"/>
              <w:rPr/>
            </w:pPr>
            <w:r>
              <w:rPr/>
              <w:t>1,100,000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16" w:type="dxa"/>
            <w:tcBorders/>
            <w:tcMar>
              <w:bottom w:w="0" w:type="dxa"/>
            </w:tcMar>
            <w:vAlign w:val="bottom"/>
          </w:tcPr>
          <w:p>
            <w:pPr>
              <w:pStyle w:val="TableContents"/>
              <w:bidi w:val="0"/>
              <w:spacing w:before="0" w:after="0"/>
              <w:jc w:val="left"/>
              <w:rPr/>
            </w:pPr>
            <w:r>
              <w:rPr/>
              <w:t>$</w:t>
            </w:r>
          </w:p>
        </w:tc>
        <w:tc>
          <w:tcPr>
            <w:tcW w:w="999" w:type="dxa"/>
            <w:tcBorders/>
            <w:tcMar>
              <w:bottom w:w="0" w:type="dxa"/>
            </w:tcMar>
            <w:vAlign w:val="bottom"/>
          </w:tcPr>
          <w:p>
            <w:pPr>
              <w:pStyle w:val="TableContents"/>
              <w:bidi w:val="0"/>
              <w:spacing w:before="0" w:after="0"/>
              <w:jc w:val="right"/>
              <w:rPr/>
            </w:pPr>
            <w:r>
              <w:rPr/>
              <w:t>3.48</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14" w:type="dxa"/>
            <w:tcBorders/>
            <w:tcMar>
              <w:bottom w:w="0" w:type="dxa"/>
            </w:tcMar>
            <w:vAlign w:val="bottom"/>
          </w:tcPr>
          <w:p>
            <w:pPr>
              <w:pStyle w:val="TableContents"/>
              <w:bidi w:val="0"/>
              <w:spacing w:before="0" w:after="283"/>
              <w:jc w:val="left"/>
              <w:rPr/>
            </w:pPr>
            <w:r>
              <w:rPr/>
              <w:t> </w:t>
            </w:r>
          </w:p>
        </w:tc>
        <w:tc>
          <w:tcPr>
            <w:tcW w:w="1630" w:type="dxa"/>
            <w:tcBorders/>
            <w:tcMar>
              <w:bottom w:w="0"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1,100,000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69" w:type="dxa"/>
            <w:tcBorders/>
            <w:tcMar>
              <w:bottom w:w="0" w:type="dxa"/>
            </w:tcMar>
            <w:vAlign w:val="bottom"/>
          </w:tcPr>
          <w:p>
            <w:pPr>
              <w:pStyle w:val="TableContents"/>
              <w:bidi w:val="0"/>
              <w:spacing w:before="0" w:after="0"/>
              <w:jc w:val="left"/>
              <w:rPr/>
            </w:pPr>
            <w:r>
              <w:rPr/>
              <w:t>$</w:t>
            </w:r>
          </w:p>
        </w:tc>
        <w:tc>
          <w:tcPr>
            <w:tcW w:w="2118" w:type="dxa"/>
            <w:tcBorders/>
            <w:tcMar>
              <w:bottom w:w="0" w:type="dxa"/>
            </w:tcMar>
            <w:vAlign w:val="bottom"/>
          </w:tcPr>
          <w:p>
            <w:pPr>
              <w:pStyle w:val="TableContents"/>
              <w:bidi w:val="0"/>
              <w:spacing w:before="0" w:after="0"/>
              <w:jc w:val="right"/>
              <w:rPr/>
            </w:pPr>
            <w:r>
              <w:rPr/>
              <w:t>58,670,668</w:t>
            </w:r>
          </w:p>
        </w:tc>
        <w:tc>
          <w:tcPr>
            <w:tcW w:w="77" w:type="dxa"/>
            <w:tcBorders/>
            <w:tcMar>
              <w:bottom w:w="0" w:type="dxa"/>
            </w:tcMar>
            <w:vAlign w:val="bottom"/>
          </w:tcPr>
          <w:p>
            <w:pPr>
              <w:pStyle w:val="TableContents"/>
              <w:bidi w:val="0"/>
              <w:spacing w:before="0" w:after="283"/>
              <w:jc w:val="left"/>
              <w:rPr/>
            </w:pPr>
            <w:r>
              <w:rPr/>
              <w:t> </w:t>
            </w:r>
          </w:p>
        </w:tc>
      </w:tr>
      <w:tr>
        <w:trPr/>
        <w:tc>
          <w:tcPr>
            <w:tcW w:w="2892" w:type="dxa"/>
            <w:tcBorders/>
            <w:shd w:fill="CCEEFF" w:val="clear"/>
            <w:tcMar>
              <w:bottom w:w="0" w:type="dxa"/>
            </w:tcMar>
            <w:vAlign w:val="bottom"/>
          </w:tcPr>
          <w:p>
            <w:pPr>
              <w:pStyle w:val="TableContents"/>
              <w:bidi w:val="0"/>
              <w:spacing w:before="0" w:after="0"/>
              <w:jc w:val="left"/>
              <w:rPr/>
            </w:pPr>
            <w:r>
              <w:rPr/>
              <w:t>September 1 - September 30, 2024</w:t>
            </w:r>
          </w:p>
        </w:tc>
        <w:tc>
          <w:tcPr>
            <w:tcW w:w="60" w:type="dxa"/>
            <w:tcBorders/>
            <w:shd w:fill="CCEEFF" w:val="clear"/>
            <w:tcMar>
              <w:bottom w:w="0" w:type="dxa"/>
            </w:tcMar>
            <w:vAlign w:val="bottom"/>
          </w:tcPr>
          <w:p>
            <w:pPr>
              <w:pStyle w:val="TableContents"/>
              <w:bidi w:val="0"/>
              <w:spacing w:before="0" w:after="283"/>
              <w:jc w:val="right"/>
              <w:rPr/>
            </w:pPr>
            <w:r>
              <w:rPr/>
              <w:t> </w:t>
            </w:r>
          </w:p>
        </w:tc>
        <w:tc>
          <w:tcPr>
            <w:tcW w:w="79" w:type="dxa"/>
            <w:tcBorders/>
            <w:shd w:fill="CCEEFF" w:val="clear"/>
            <w:tcMar>
              <w:bottom w:w="0" w:type="dxa"/>
            </w:tcMar>
            <w:vAlign w:val="bottom"/>
          </w:tcPr>
          <w:p>
            <w:pPr>
              <w:pStyle w:val="TableContents"/>
              <w:bidi w:val="0"/>
              <w:spacing w:before="0" w:after="283"/>
              <w:jc w:val="left"/>
              <w:rPr/>
            </w:pPr>
            <w:r>
              <w:rPr/>
              <w:t> </w:t>
            </w:r>
          </w:p>
        </w:tc>
        <w:tc>
          <w:tcPr>
            <w:tcW w:w="1291" w:type="dxa"/>
            <w:tcBorders/>
            <w:shd w:fill="CCEEFF" w:val="clear"/>
            <w:tcMar>
              <w:bottom w:w="0" w:type="dxa"/>
            </w:tcMar>
            <w:vAlign w:val="bottom"/>
          </w:tcPr>
          <w:p>
            <w:pPr>
              <w:pStyle w:val="TableContents"/>
              <w:bidi w:val="0"/>
              <w:spacing w:before="0" w:after="0"/>
              <w:jc w:val="right"/>
              <w:rPr/>
            </w:pPr>
            <w:r>
              <w:rPr/>
              <w:t>950,000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0"/>
              <w:jc w:val="left"/>
              <w:rPr/>
            </w:pPr>
            <w:r>
              <w:rPr/>
              <w:t>$</w:t>
            </w:r>
          </w:p>
        </w:tc>
        <w:tc>
          <w:tcPr>
            <w:tcW w:w="999" w:type="dxa"/>
            <w:tcBorders/>
            <w:shd w:fill="CCEEFF" w:val="clear"/>
            <w:tcMar>
              <w:bottom w:w="0" w:type="dxa"/>
            </w:tcMar>
            <w:vAlign w:val="bottom"/>
          </w:tcPr>
          <w:p>
            <w:pPr>
              <w:pStyle w:val="TableContents"/>
              <w:bidi w:val="0"/>
              <w:spacing w:before="0" w:after="0"/>
              <w:jc w:val="right"/>
              <w:rPr/>
            </w:pPr>
            <w:r>
              <w:rPr/>
              <w:t>3.25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14" w:type="dxa"/>
            <w:tcBorders/>
            <w:shd w:fill="CCEEFF" w:val="clear"/>
            <w:tcMar>
              <w:bottom w:w="0" w:type="dxa"/>
            </w:tcMar>
            <w:vAlign w:val="bottom"/>
          </w:tcPr>
          <w:p>
            <w:pPr>
              <w:pStyle w:val="TableContents"/>
              <w:bidi w:val="0"/>
              <w:spacing w:before="0" w:after="283"/>
              <w:jc w:val="left"/>
              <w:rPr/>
            </w:pPr>
            <w:r>
              <w:rPr/>
              <w:t> </w:t>
            </w:r>
          </w:p>
        </w:tc>
        <w:tc>
          <w:tcPr>
            <w:tcW w:w="1630" w:type="dxa"/>
            <w:tcBorders/>
            <w:shd w:fill="CCEEFF" w:val="clear"/>
            <w:tcMar>
              <w:bottom w:w="0"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950,000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69" w:type="dxa"/>
            <w:tcBorders/>
            <w:shd w:fill="CCEEFF" w:val="clear"/>
            <w:tcMar>
              <w:bottom w:w="0" w:type="dxa"/>
            </w:tcMar>
            <w:vAlign w:val="bottom"/>
          </w:tcPr>
          <w:p>
            <w:pPr>
              <w:pStyle w:val="TableContents"/>
              <w:bidi w:val="0"/>
              <w:spacing w:before="0" w:after="0"/>
              <w:jc w:val="left"/>
              <w:rPr/>
            </w:pPr>
            <w:r>
              <w:rPr/>
              <w:t>$</w:t>
            </w:r>
          </w:p>
        </w:tc>
        <w:tc>
          <w:tcPr>
            <w:tcW w:w="2118" w:type="dxa"/>
            <w:tcBorders/>
            <w:shd w:fill="CCEEFF" w:val="clear"/>
            <w:tcMar>
              <w:bottom w:w="0" w:type="dxa"/>
            </w:tcMar>
            <w:vAlign w:val="bottom"/>
          </w:tcPr>
          <w:p>
            <w:pPr>
              <w:pStyle w:val="TableContents"/>
              <w:bidi w:val="0"/>
              <w:spacing w:before="0" w:after="0"/>
              <w:jc w:val="right"/>
              <w:rPr/>
            </w:pPr>
            <w:r>
              <w:rPr/>
              <w:t>55,579,093</w:t>
            </w:r>
          </w:p>
        </w:tc>
        <w:tc>
          <w:tcPr>
            <w:tcW w:w="77"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3865" w:type="dxa"/>
        <w:jc w:val="left"/>
        <w:tblInd w:w="0" w:type="dxa"/>
        <w:tblLayout w:type="fixed"/>
        <w:tblCellMar>
          <w:top w:w="0" w:type="dxa"/>
          <w:left w:w="0" w:type="dxa"/>
          <w:bottom w:w="0" w:type="dxa"/>
          <w:right w:w="0" w:type="dxa"/>
        </w:tblCellMar>
      </w:tblPr>
      <w:tblGrid>
        <w:gridCol w:w="305"/>
        <w:gridCol w:w="3560"/>
      </w:tblGrid>
      <w:tr>
        <w:trPr/>
        <w:tc>
          <w:tcPr>
            <w:tcW w:w="305" w:type="dxa"/>
            <w:tcBorders/>
            <w:vAlign w:val="center"/>
          </w:tcPr>
          <w:p>
            <w:pPr>
              <w:pStyle w:val="TableContents"/>
              <w:bidi w:val="0"/>
              <w:spacing w:before="0" w:after="283"/>
              <w:jc w:val="left"/>
              <w:rPr/>
            </w:pPr>
            <w:r>
              <w:rPr/>
              <w:t>(1)</w:t>
            </w:r>
          </w:p>
        </w:tc>
        <w:tc>
          <w:tcPr>
            <w:tcW w:w="3560" w:type="dxa"/>
            <w:tcBorders/>
            <w:vAlign w:val="center"/>
          </w:tcPr>
          <w:p>
            <w:pPr>
              <w:pStyle w:val="TableContents"/>
              <w:bidi w:val="0"/>
              <w:spacing w:before="0" w:after="0"/>
              <w:jc w:val="both"/>
              <w:rPr/>
            </w:pPr>
            <w:r>
              <w:rPr/>
              <w:t>Excludes broker and transaction fees.</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jc w:val="both"/>
              <w:rPr>
                <w:sz w:val="20"/>
              </w:rPr>
            </w:pPr>
            <w:r>
              <w:rPr>
                <w:sz w:val="20"/>
              </w:rPr>
              <w:t>Our board of directors authorized a share buyback program of our outstanding Ordinary shares, which commenced in June 2023 and does not have an expiration date (the “Buyback Program”). In 2023, our board of directors authorized up to $80.0 million of buybacks under the Buyback Program. In February 2024, our board of directors authorized up to $100.0 million for use under the Buyback Program, including any remaining authority from the 2023 board of directors authorization, subject to satisfying required conditions under the Israeli Companies Law and the Companies Regulations (Reliefs for Corporations, Which Securities Are Listed on Foreign Stock Exchanges) 2000. The Buyback Program permits us to purchase our Ordinary shares from time to time in the open market, including through trading plans intended to comply with Rule 10b5-1 under the Exchange Act, in privately negotiated transactions or otherwise. The timing and amount of any share buybacks will be subject to market conditions and other factors determined by the Company. The Company may suspend, modify or discontinue the program at any time in its sole discretion without prior notice.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- 46 -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3" w:name="Item3.DefaultsuponSeniorS"/>
      <w:bookmarkStart w:id="24" w:name="Item3.DefaultsuponSeniorS"/>
      <w:bookmarkEnd w:id="24"/>
    </w:p>
    <w:tbl>
      <w:tblPr>
        <w:tblW w:w="3955" w:type="dxa"/>
        <w:jc w:val="left"/>
        <w:tblInd w:w="0" w:type="dxa"/>
        <w:tblLayout w:type="fixed"/>
        <w:tblCellMar>
          <w:top w:w="0" w:type="dxa"/>
          <w:left w:w="0" w:type="dxa"/>
          <w:bottom w:w="0" w:type="dxa"/>
          <w:right w:w="0" w:type="dxa"/>
        </w:tblCellMar>
      </w:tblPr>
      <w:tblGrid>
        <w:gridCol w:w="740"/>
        <w:gridCol w:w="3215"/>
      </w:tblGrid>
      <w:tr>
        <w:trPr/>
        <w:tc>
          <w:tcPr>
            <w:tcW w:w="740" w:type="dxa"/>
            <w:tcBorders/>
            <w:vAlign w:val="center"/>
          </w:tcPr>
          <w:p>
            <w:pPr>
              <w:pStyle w:val="TableContents"/>
              <w:bidi w:val="0"/>
              <w:spacing w:before="0" w:after="283"/>
              <w:jc w:val="left"/>
              <w:rPr>
                <w:b/>
              </w:rPr>
            </w:pPr>
            <w:r>
              <w:rPr>
                <w:b/>
              </w:rPr>
              <w:t>Item 3.</w:t>
            </w:r>
          </w:p>
        </w:tc>
        <w:tc>
          <w:tcPr>
            <w:tcW w:w="3215" w:type="dxa"/>
            <w:tcBorders/>
            <w:vAlign w:val="center"/>
          </w:tcPr>
          <w:p>
            <w:pPr>
              <w:pStyle w:val="TableContents"/>
              <w:bidi w:val="0"/>
              <w:spacing w:before="0" w:after="0"/>
              <w:jc w:val="both"/>
              <w:rPr>
                <w:b/>
              </w:rPr>
            </w:pPr>
            <w:r>
              <w:rPr>
                <w:b/>
              </w:rPr>
              <w:t>Defaults upon Senior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 w:name="Item4.MineSafetyDisclosur"/>
      <w:bookmarkStart w:id="26" w:name="Item4.MineSafetyDisclosur"/>
      <w:bookmarkEnd w:id="26"/>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rPr>
            </w:pPr>
            <w:r>
              <w:rPr>
                <w:b/>
              </w:rPr>
              <w:t>Item 4.</w:t>
            </w:r>
          </w:p>
        </w:tc>
        <w:tc>
          <w:tcPr>
            <w:tcW w:w="2450" w:type="dxa"/>
            <w:tcBorders/>
            <w:vAlign w:val="center"/>
          </w:tcPr>
          <w:p>
            <w:pPr>
              <w:pStyle w:val="TableContents"/>
              <w:bidi w:val="0"/>
              <w:spacing w:before="0" w:after="0"/>
              <w:jc w:val="both"/>
              <w:rPr>
                <w:b/>
              </w:rPr>
            </w:pPr>
            <w:r>
              <w:rPr>
                <w:b/>
              </w:rPr>
              <w:t>Mine Safety Disclosures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 w:name="Item5.OtherInformation"/>
      <w:bookmarkStart w:id="28" w:name="Item5.OtherInformation"/>
      <w:bookmarkEnd w:id="28"/>
    </w:p>
    <w:tbl>
      <w:tblPr>
        <w:tblW w:w="2665" w:type="dxa"/>
        <w:jc w:val="left"/>
        <w:tblInd w:w="0" w:type="dxa"/>
        <w:tblLayout w:type="fixed"/>
        <w:tblCellMar>
          <w:top w:w="0" w:type="dxa"/>
          <w:left w:w="0" w:type="dxa"/>
          <w:bottom w:w="0" w:type="dxa"/>
          <w:right w:w="0" w:type="dxa"/>
        </w:tblCellMar>
      </w:tblPr>
      <w:tblGrid>
        <w:gridCol w:w="740"/>
        <w:gridCol w:w="1925"/>
      </w:tblGrid>
      <w:tr>
        <w:trPr/>
        <w:tc>
          <w:tcPr>
            <w:tcW w:w="740" w:type="dxa"/>
            <w:tcBorders/>
            <w:vAlign w:val="center"/>
          </w:tcPr>
          <w:p>
            <w:pPr>
              <w:pStyle w:val="TableContents"/>
              <w:bidi w:val="0"/>
              <w:spacing w:before="0" w:after="283"/>
              <w:jc w:val="left"/>
              <w:rPr>
                <w:b/>
              </w:rPr>
            </w:pPr>
            <w:r>
              <w:rPr>
                <w:b/>
              </w:rPr>
              <w:t>Item 5.</w:t>
            </w:r>
          </w:p>
        </w:tc>
        <w:tc>
          <w:tcPr>
            <w:tcW w:w="1925" w:type="dxa"/>
            <w:tcBorders/>
            <w:vAlign w:val="center"/>
          </w:tcPr>
          <w:p>
            <w:pPr>
              <w:pStyle w:val="TableContents"/>
              <w:bidi w:val="0"/>
              <w:spacing w:before="0" w:after="0"/>
              <w:jc w:val="both"/>
              <w:rPr>
                <w:b/>
              </w:rPr>
            </w:pPr>
            <w:r>
              <w:rPr>
                <w:b/>
              </w:rPr>
              <w:t>Other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- 47 -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9" w:name="Item6.Exhibits"/>
      <w:bookmarkStart w:id="30" w:name="Item6.Exhibits"/>
      <w:bookmarkEnd w:id="30"/>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rPr>
            </w:pPr>
            <w:r>
              <w:rPr>
                <w:b/>
              </w:rPr>
              <w:t>Item 6.</w:t>
            </w:r>
          </w:p>
        </w:tc>
        <w:tc>
          <w:tcPr>
            <w:tcW w:w="875" w:type="dxa"/>
            <w:tcBorders/>
            <w:vAlign w:val="center"/>
          </w:tcPr>
          <w:p>
            <w:pPr>
              <w:pStyle w:val="TableContents"/>
              <w:bidi w:val="0"/>
              <w:spacing w:before="0" w:after="0"/>
              <w:jc w:val="both"/>
              <w:rPr>
                <w:b/>
              </w:rPr>
            </w:pPr>
            <w:r>
              <w:rPr>
                <w:b/>
              </w:rPr>
              <w:t>Exhibits</w:t>
            </w:r>
          </w:p>
        </w:tc>
      </w:tr>
    </w:tbl>
    <w:p>
      <w:pPr>
        <w:pStyle w:val="TextBody"/>
        <w:bidi w:val="0"/>
        <w:spacing w:before="0" w:after="0"/>
        <w:jc w:val="left"/>
        <w:rPr/>
      </w:pPr>
      <w:r>
        <w:rPr/>
      </w:r>
    </w:p>
    <w:tbl>
      <w:tblPr>
        <w:tblW w:w="10205" w:type="dxa"/>
        <w:jc w:val="left"/>
        <w:tblInd w:w="-15" w:type="dxa"/>
        <w:tblLayout w:type="fixed"/>
        <w:tblCellMar>
          <w:top w:w="28" w:type="dxa"/>
          <w:left w:w="28" w:type="dxa"/>
          <w:bottom w:w="28" w:type="dxa"/>
          <w:right w:w="0" w:type="dxa"/>
        </w:tblCellMar>
      </w:tblPr>
      <w:tblGrid>
        <w:gridCol w:w="60"/>
        <w:gridCol w:w="967"/>
        <w:gridCol w:w="60"/>
        <w:gridCol w:w="9057"/>
        <w:gridCol w:w="61"/>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67" w:type="dxa"/>
            <w:tcBorders>
              <w:top w:val="single" w:sz="12" w:space="0" w:color="000000"/>
              <w:bottom w:val="single" w:sz="12" w:space="0" w:color="000000"/>
            </w:tcBorders>
            <w:tcMar>
              <w:left w:w="0" w:type="dxa"/>
            </w:tcMar>
            <w:vAlign w:val="center"/>
          </w:tcPr>
          <w:p>
            <w:pPr>
              <w:pStyle w:val="TableContents"/>
              <w:bidi w:val="0"/>
              <w:spacing w:before="0" w:after="0"/>
              <w:jc w:val="left"/>
              <w:rPr>
                <w:b/>
              </w:rPr>
            </w:pPr>
            <w:r>
              <w:rPr>
                <w:b/>
              </w:rPr>
              <w:t>Exhibit No.</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057" w:type="dxa"/>
            <w:tcBorders>
              <w:top w:val="single" w:sz="12" w:space="0" w:color="000000"/>
              <w:bottom w:val="single" w:sz="12" w:space="0" w:color="000000"/>
            </w:tcBorders>
            <w:tcMar>
              <w:left w:w="0" w:type="dxa"/>
            </w:tcMar>
            <w:vAlign w:val="center"/>
          </w:tcPr>
          <w:p>
            <w:pPr>
              <w:pStyle w:val="TableContents"/>
              <w:bidi w:val="0"/>
              <w:spacing w:before="0" w:after="0"/>
              <w:jc w:val="center"/>
              <w:rPr>
                <w:b/>
              </w:rPr>
            </w:pPr>
            <w:r>
              <w:rPr>
                <w:b/>
              </w:rPr>
              <w:t>Exhibit Description</w:t>
            </w:r>
          </w:p>
        </w:tc>
        <w:tc>
          <w:tcPr>
            <w:tcW w:w="61"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top w:w="0" w:type="dxa"/>
              <w:left w:w="0" w:type="dxa"/>
            </w:tcMar>
            <w:vAlign w:val="center"/>
          </w:tcPr>
          <w:p>
            <w:pPr>
              <w:pStyle w:val="TableContents"/>
              <w:bidi w:val="0"/>
              <w:spacing w:before="0" w:after="0"/>
              <w:jc w:val="both"/>
              <w:rPr/>
            </w:pPr>
            <w:hyperlink w:anchor="ef20034533_ex10-1.htm">
              <w:r>
                <w:rPr>
                  <w:rStyle w:val="InternetLink"/>
                </w:rPr>
                <w:t>10.1</w:t>
              </w:r>
            </w:hyperlink>
            <w:r>
              <w:rPr/>
              <w:t>#</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5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Digital Property and Demand Services Agreement, dated as of November 28, 2022, and amendments through June 30, 2024, by and between Taboola, Inc. and Yahoo Inc. and its affiliates</w:t>
            </w:r>
          </w:p>
        </w:tc>
        <w:tc>
          <w:tcPr>
            <w:tcW w:w="61"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67" w:type="dxa"/>
            <w:tcBorders>
              <w:bottom w:val="single" w:sz="12" w:space="0" w:color="000000"/>
            </w:tcBorders>
            <w:tcMar>
              <w:top w:w="0" w:type="dxa"/>
              <w:left w:w="0" w:type="dxa"/>
            </w:tcMar>
            <w:vAlign w:val="center"/>
          </w:tcPr>
          <w:p>
            <w:pPr>
              <w:pStyle w:val="TableContents"/>
              <w:bidi w:val="0"/>
              <w:spacing w:before="0" w:after="0"/>
              <w:jc w:val="both"/>
              <w:rPr/>
            </w:pPr>
            <w:hyperlink w:anchor="ef20034533_ex31-1.htm">
              <w:r>
                <w:rPr>
                  <w:rStyle w:val="InternetLink"/>
                </w:rPr>
                <w:t>31.1</w:t>
              </w:r>
            </w:hyperlink>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7" w:type="dxa"/>
            <w:tcBorders>
              <w:bottom w:val="single" w:sz="12" w:space="0" w:color="000000"/>
            </w:tcBorders>
            <w:tcMar>
              <w:top w:w="0" w:type="dxa"/>
              <w:left w:w="0" w:type="dxa"/>
            </w:tcMar>
            <w:vAlign w:val="center"/>
          </w:tcPr>
          <w:p>
            <w:pPr>
              <w:pStyle w:val="TableContents"/>
              <w:bidi w:val="0"/>
              <w:spacing w:before="0" w:after="0"/>
              <w:jc w:val="both"/>
              <w:rPr/>
            </w:pPr>
            <w:r>
              <w:rPr/>
              <w:t>Rule 13a-14(a)/15d-14(a) Certification of Chief Executive Officer</w:t>
            </w:r>
          </w:p>
        </w:tc>
        <w:tc>
          <w:tcPr>
            <w:tcW w:w="61"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top w:w="0" w:type="dxa"/>
              <w:left w:w="0" w:type="dxa"/>
            </w:tcMar>
            <w:vAlign w:val="center"/>
          </w:tcPr>
          <w:p>
            <w:pPr>
              <w:pStyle w:val="TableContents"/>
              <w:bidi w:val="0"/>
              <w:spacing w:before="0" w:after="0"/>
              <w:jc w:val="both"/>
              <w:rPr/>
            </w:pPr>
            <w:hyperlink w:anchor="ef20034533_ex31-2.htm">
              <w:r>
                <w:rPr>
                  <w:rStyle w:val="InternetLink"/>
                </w:rPr>
                <w:t>31.2</w:t>
              </w:r>
            </w:hyperlink>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5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Rule 13a-14(a)/15d-14(a) Certification of Chief Financial Officer</w:t>
            </w:r>
          </w:p>
        </w:tc>
        <w:tc>
          <w:tcPr>
            <w:tcW w:w="61"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67" w:type="dxa"/>
            <w:tcBorders>
              <w:bottom w:val="single" w:sz="12" w:space="0" w:color="000000"/>
            </w:tcBorders>
            <w:tcMar>
              <w:top w:w="0" w:type="dxa"/>
              <w:left w:w="0" w:type="dxa"/>
            </w:tcMar>
            <w:vAlign w:val="center"/>
          </w:tcPr>
          <w:p>
            <w:pPr>
              <w:pStyle w:val="TableContents"/>
              <w:bidi w:val="0"/>
              <w:spacing w:before="0" w:after="0"/>
              <w:jc w:val="both"/>
              <w:rPr/>
            </w:pPr>
            <w:hyperlink w:anchor="ef20034533_ex32.htm">
              <w:r>
                <w:rPr>
                  <w:rStyle w:val="InternetLink"/>
                </w:rPr>
                <w:t>32</w:t>
              </w:r>
            </w:hyperlink>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7" w:type="dxa"/>
            <w:tcBorders>
              <w:bottom w:val="single" w:sz="12" w:space="0" w:color="000000"/>
            </w:tcBorders>
            <w:tcMar>
              <w:top w:w="0" w:type="dxa"/>
              <w:left w:w="0" w:type="dxa"/>
            </w:tcMar>
            <w:vAlign w:val="center"/>
          </w:tcPr>
          <w:p>
            <w:pPr>
              <w:pStyle w:val="TableContents"/>
              <w:bidi w:val="0"/>
              <w:spacing w:before="0" w:after="0"/>
              <w:jc w:val="both"/>
              <w:rPr/>
            </w:pPr>
            <w:r>
              <w:rPr/>
              <w:t>Section 1350 Certifications</w:t>
            </w:r>
          </w:p>
        </w:tc>
        <w:tc>
          <w:tcPr>
            <w:tcW w:w="61"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101.INS</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5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c>
          <w:tcPr>
            <w:tcW w:w="61"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67" w:type="dxa"/>
            <w:tcBorders>
              <w:bottom w:val="single" w:sz="12" w:space="0" w:color="000000"/>
            </w:tcBorders>
            <w:tcMar>
              <w:top w:w="0" w:type="dxa"/>
              <w:left w:w="0" w:type="dxa"/>
            </w:tcMar>
            <w:vAlign w:val="center"/>
          </w:tcPr>
          <w:p>
            <w:pPr>
              <w:pStyle w:val="TableContents"/>
              <w:bidi w:val="0"/>
              <w:spacing w:before="0" w:after="0"/>
              <w:jc w:val="both"/>
              <w:rPr/>
            </w:pPr>
            <w:r>
              <w:rPr/>
              <w:t>101.SCH</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7" w:type="dxa"/>
            <w:tcBorders>
              <w:bottom w:val="single" w:sz="12" w:space="0" w:color="000000"/>
            </w:tcBorders>
            <w:tcMar>
              <w:top w:w="0" w:type="dxa"/>
              <w:left w:w="0" w:type="dxa"/>
            </w:tcMar>
            <w:vAlign w:val="center"/>
          </w:tcPr>
          <w:p>
            <w:pPr>
              <w:pStyle w:val="TableContents"/>
              <w:bidi w:val="0"/>
              <w:spacing w:before="0" w:after="0"/>
              <w:jc w:val="both"/>
              <w:rPr/>
            </w:pPr>
            <w:r>
              <w:rPr/>
              <w:t>Inline XBRL Taxonomy Extension Schema Document.</w:t>
            </w:r>
          </w:p>
        </w:tc>
        <w:tc>
          <w:tcPr>
            <w:tcW w:w="61"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101.CAL</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5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Inline XBRL Taxonomy Extension Calculation Linkbase Document.</w:t>
            </w:r>
          </w:p>
        </w:tc>
        <w:tc>
          <w:tcPr>
            <w:tcW w:w="61"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67" w:type="dxa"/>
            <w:tcBorders>
              <w:bottom w:val="single" w:sz="12" w:space="0" w:color="000000"/>
            </w:tcBorders>
            <w:tcMar>
              <w:top w:w="0" w:type="dxa"/>
              <w:left w:w="0" w:type="dxa"/>
            </w:tcMar>
            <w:vAlign w:val="center"/>
          </w:tcPr>
          <w:p>
            <w:pPr>
              <w:pStyle w:val="TableContents"/>
              <w:bidi w:val="0"/>
              <w:spacing w:before="0" w:after="0"/>
              <w:jc w:val="both"/>
              <w:rPr/>
            </w:pPr>
            <w:r>
              <w:rPr/>
              <w:t>101.DEF</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7" w:type="dxa"/>
            <w:tcBorders>
              <w:bottom w:val="single" w:sz="12" w:space="0" w:color="000000"/>
            </w:tcBorders>
            <w:tcMar>
              <w:top w:w="0" w:type="dxa"/>
              <w:left w:w="0" w:type="dxa"/>
            </w:tcMar>
            <w:vAlign w:val="center"/>
          </w:tcPr>
          <w:p>
            <w:pPr>
              <w:pStyle w:val="TableContents"/>
              <w:bidi w:val="0"/>
              <w:spacing w:before="0" w:after="0"/>
              <w:jc w:val="both"/>
              <w:rPr/>
            </w:pPr>
            <w:r>
              <w:rPr/>
              <w:t>Inline XBRL Taxonomy Extension Definition Linkbase Document.</w:t>
            </w:r>
          </w:p>
        </w:tc>
        <w:tc>
          <w:tcPr>
            <w:tcW w:w="61"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101.LAB</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5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Inline XBRL Taxonomy Extension Labels Linkbase Document.</w:t>
            </w:r>
          </w:p>
        </w:tc>
        <w:tc>
          <w:tcPr>
            <w:tcW w:w="61"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67" w:type="dxa"/>
            <w:tcBorders>
              <w:bottom w:val="single" w:sz="12" w:space="0" w:color="000000"/>
            </w:tcBorders>
            <w:tcMar>
              <w:top w:w="0" w:type="dxa"/>
              <w:left w:w="0" w:type="dxa"/>
            </w:tcMar>
            <w:vAlign w:val="center"/>
          </w:tcPr>
          <w:p>
            <w:pPr>
              <w:pStyle w:val="TableContents"/>
              <w:bidi w:val="0"/>
              <w:spacing w:before="0" w:after="0"/>
              <w:jc w:val="both"/>
              <w:rPr/>
            </w:pPr>
            <w:r>
              <w:rPr/>
              <w:t>101.PRE</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7" w:type="dxa"/>
            <w:tcBorders>
              <w:bottom w:val="single" w:sz="12" w:space="0" w:color="000000"/>
            </w:tcBorders>
            <w:tcMar>
              <w:top w:w="0" w:type="dxa"/>
              <w:left w:w="0" w:type="dxa"/>
            </w:tcMar>
            <w:vAlign w:val="center"/>
          </w:tcPr>
          <w:p>
            <w:pPr>
              <w:pStyle w:val="TableContents"/>
              <w:bidi w:val="0"/>
              <w:spacing w:before="0" w:after="0"/>
              <w:jc w:val="both"/>
              <w:rPr/>
            </w:pPr>
            <w:r>
              <w:rPr/>
              <w:t>Inline XBRL Taxonomy Extension Presentation Linkbase Document.</w:t>
            </w:r>
          </w:p>
        </w:tc>
        <w:tc>
          <w:tcPr>
            <w:tcW w:w="61"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67"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both"/>
              <w:rPr/>
            </w:pPr>
            <w:r>
              <w:rPr/>
              <w:t>104</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57" w:type="dxa"/>
            <w:tcBorders>
              <w:bottom w:val="single" w:sz="12" w:space="0" w:color="000000"/>
            </w:tcBorders>
            <w:shd w:fill="CCEEFF" w:val="clear"/>
            <w:tcMar>
              <w:top w:w="0" w:type="dxa"/>
              <w:left w:w="0" w:type="dxa"/>
            </w:tcMar>
            <w:vAlign w:val="center"/>
          </w:tcPr>
          <w:p>
            <w:pPr>
              <w:pStyle w:val="TableContents"/>
              <w:bidi w:val="0"/>
              <w:spacing w:before="0" w:after="0"/>
              <w:jc w:val="both"/>
              <w:rPr/>
            </w:pPr>
            <w:r>
              <w:rPr/>
              <w:t>Cover Page Interactive Data File (formatted as inline XBRL and contained in Exhibit 101).</w:t>
            </w:r>
          </w:p>
        </w:tc>
        <w:tc>
          <w:tcPr>
            <w:tcW w:w="61"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Certain confidential portions (indicated by brackets and asterisks) have been omitted from this exhibit.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- 48 -</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31" w:name="SIGNATURE"/>
      <w:bookmarkEnd w:id="31"/>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Quarterly Report on Form 10-Q to be signed on its behalf by the undersigned, thereunto duly authorized, in New York, New York, on this 7th day of November 2024.</w:t>
      </w:r>
    </w:p>
    <w:p>
      <w:pPr>
        <w:pStyle w:val="TextBody"/>
        <w:bidi w:val="0"/>
        <w:spacing w:before="0" w:after="0"/>
        <w:jc w:val="left"/>
        <w:rPr/>
      </w:pPr>
      <w:r>
        <w:rPr/>
      </w:r>
    </w:p>
    <w:tbl>
      <w:tblPr>
        <w:tblW w:w="2788" w:type="dxa"/>
        <w:jc w:val="left"/>
        <w:tblInd w:w="0" w:type="dxa"/>
        <w:tblLayout w:type="fixed"/>
        <w:tblCellMar>
          <w:top w:w="0" w:type="dxa"/>
          <w:left w:w="0" w:type="dxa"/>
          <w:bottom w:w="0" w:type="dxa"/>
          <w:right w:w="0" w:type="dxa"/>
        </w:tblCellMar>
      </w:tblPr>
      <w:tblGrid>
        <w:gridCol w:w="23"/>
        <w:gridCol w:w="2765"/>
      </w:tblGrid>
      <w:tr>
        <w:trPr/>
        <w:tc>
          <w:tcPr>
            <w:tcW w:w="23" w:type="dxa"/>
            <w:tcBorders/>
            <w:vAlign w:val="center"/>
          </w:tcPr>
          <w:p>
            <w:pPr>
              <w:pStyle w:val="TableContents"/>
              <w:bidi w:val="0"/>
              <w:spacing w:before="0" w:after="283"/>
              <w:jc w:val="left"/>
              <w:rPr/>
            </w:pPr>
            <w:r>
              <w:rPr/>
            </w:r>
          </w:p>
        </w:tc>
        <w:tc>
          <w:tcPr>
            <w:tcW w:w="2765" w:type="dxa"/>
            <w:tcBorders/>
            <w:vAlign w:val="center"/>
          </w:tcPr>
          <w:p>
            <w:pPr>
              <w:pStyle w:val="TableContents"/>
              <w:bidi w:val="0"/>
              <w:spacing w:before="0" w:after="0"/>
              <w:jc w:val="both"/>
              <w:rPr>
                <w:color w:val="000000"/>
              </w:rPr>
            </w:pPr>
            <w:r>
              <w:rPr>
                <w:color w:val="000000"/>
              </w:rPr>
              <w:t xml:space="preserve">By: </w:t>
            </w:r>
            <w:r>
              <w:rPr>
                <w:color w:val="000000"/>
                <w:u w:val="single"/>
              </w:rPr>
              <w:t>/s/ Stephen Walker</w:t>
            </w:r>
          </w:p>
        </w:tc>
      </w:tr>
      <w:tr>
        <w:trPr/>
        <w:tc>
          <w:tcPr>
            <w:tcW w:w="23" w:type="dxa"/>
            <w:tcBorders/>
            <w:vAlign w:val="center"/>
          </w:tcPr>
          <w:p>
            <w:pPr>
              <w:pStyle w:val="TableContents"/>
              <w:bidi w:val="0"/>
              <w:spacing w:before="0" w:after="283"/>
              <w:jc w:val="left"/>
              <w:rPr/>
            </w:pPr>
            <w:r>
              <w:rPr/>
            </w:r>
          </w:p>
        </w:tc>
        <w:tc>
          <w:tcPr>
            <w:tcW w:w="2765" w:type="dxa"/>
            <w:tcBorders/>
            <w:vAlign w:val="center"/>
          </w:tcPr>
          <w:p>
            <w:pPr>
              <w:pStyle w:val="TableContents"/>
              <w:bidi w:val="0"/>
              <w:spacing w:before="0" w:after="0"/>
              <w:jc w:val="both"/>
              <w:rPr>
                <w:color w:val="000000"/>
              </w:rPr>
            </w:pPr>
            <w:r>
              <w:rPr>
                <w:color w:val="000000"/>
              </w:rPr>
              <w:t>Name: Stephen Walker</w:t>
            </w:r>
          </w:p>
        </w:tc>
      </w:tr>
      <w:tr>
        <w:trPr/>
        <w:tc>
          <w:tcPr>
            <w:tcW w:w="23" w:type="dxa"/>
            <w:tcBorders/>
            <w:vAlign w:val="center"/>
          </w:tcPr>
          <w:p>
            <w:pPr>
              <w:pStyle w:val="TableContents"/>
              <w:bidi w:val="0"/>
              <w:spacing w:before="0" w:after="283"/>
              <w:jc w:val="left"/>
              <w:rPr/>
            </w:pPr>
            <w:r>
              <w:rPr/>
            </w:r>
          </w:p>
        </w:tc>
        <w:tc>
          <w:tcPr>
            <w:tcW w:w="2765" w:type="dxa"/>
            <w:tcBorders/>
            <w:vAlign w:val="center"/>
          </w:tcPr>
          <w:p>
            <w:pPr>
              <w:pStyle w:val="TableContents"/>
              <w:bidi w:val="0"/>
              <w:spacing w:before="0" w:after="0"/>
              <w:jc w:val="both"/>
              <w:rPr>
                <w:color w:val="000000"/>
              </w:rPr>
            </w:pPr>
            <w:r>
              <w:rPr>
                <w:color w:val="00000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- 49 -</w:t>
      </w:r>
    </w:p>
    <w:p>
      <w:pPr>
        <w:pStyle w:val="HorizontalLine"/>
        <w:bidi w:val="0"/>
        <w:jc w:val="center"/>
        <w:rPr/>
      </w:pPr>
      <w:r>
        <w:rPr/>
      </w:r>
    </w:p>
    <w:p>
      <w:pPr>
        <w:pStyle w:val="HorizontalLine"/>
        <w:pBdr>
          <w:bottom w:val="single" w:sz="12" w:space="0" w:color="808080"/>
        </w:pBdr>
        <w:bidi w:val="0"/>
        <w:jc w:val="left"/>
        <w:rPr/>
      </w:pPr>
      <w:r>
        <w:rPr/>
      </w:r>
      <w:bookmarkStart w:id="32" w:name="ef20034533_ex10-1.htm"/>
      <w:bookmarkStart w:id="33" w:name="ksef20034533_ex101"/>
      <w:bookmarkStart w:id="34" w:name="ef20034533_ex10-1.htm"/>
      <w:bookmarkStart w:id="35" w:name="ksef20034533_ex101"/>
      <w:bookmarkEnd w:id="34"/>
      <w:bookmarkEnd w:id="35"/>
      <w:r>
        <w:br w:type="page"/>
      </w:r>
    </w:p>
    <w:p>
      <w:pPr>
        <w:pStyle w:val="TextBody"/>
        <w:bidi w:val="0"/>
        <w:spacing w:before="0" w:after="0"/>
        <w:ind w:left="0" w:right="0" w:firstLine="936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brackets [***], has been omitted pursuant to Item 601(b)(10)(iv) of Regulation S-K.</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drawing>
          <wp:inline distT="0" distB="0" distL="0" distR="0">
            <wp:extent cx="14097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3429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TABOOLA,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DIGITAL PROPERTY AND DEMAND SERVICES AGREEMENT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Digital Property and Demand Services Agreement, together with the attached Terms and Conditions and Appendices (collectively, the “</w:t>
      </w:r>
      <w:r>
        <w:rPr>
          <w:rFonts w:ascii="Times New Roman" w:hAnsi="Times New Roman"/>
          <w:b/>
          <w:color w:val="000000"/>
          <w:sz w:val="20"/>
        </w:rPr>
        <w:t>Agreement</w:t>
      </w:r>
      <w:r>
        <w:rPr>
          <w:rFonts w:ascii="Times New Roman" w:hAnsi="Times New Roman"/>
          <w:color w:val="000000"/>
          <w:sz w:val="20"/>
        </w:rPr>
        <w:t xml:space="preserve">”) is entered into by and between </w:t>
      </w:r>
      <w:r>
        <w:rPr>
          <w:rFonts w:ascii="Times New Roman" w:hAnsi="Times New Roman"/>
          <w:b/>
          <w:color w:val="000000"/>
          <w:sz w:val="20"/>
        </w:rPr>
        <w:t xml:space="preserve">Taboola, Inc. </w:t>
      </w:r>
      <w:r>
        <w:rPr>
          <w:rFonts w:ascii="Times New Roman" w:hAnsi="Times New Roman"/>
          <w:color w:val="000000"/>
          <w:sz w:val="20"/>
        </w:rPr>
        <w:t>(“</w:t>
      </w:r>
      <w:r>
        <w:rPr>
          <w:rFonts w:ascii="Times New Roman" w:hAnsi="Times New Roman"/>
          <w:b/>
          <w:color w:val="000000"/>
          <w:sz w:val="20"/>
        </w:rPr>
        <w:t>Taboola</w:t>
      </w:r>
      <w:r>
        <w:rPr>
          <w:rFonts w:ascii="Times New Roman" w:hAnsi="Times New Roman"/>
          <w:color w:val="000000"/>
          <w:sz w:val="20"/>
        </w:rPr>
        <w:t>”) and the below named Company and its Affiliates and subsidiaries (the “</w:t>
      </w:r>
      <w:r>
        <w:rPr>
          <w:rFonts w:ascii="Times New Roman" w:hAnsi="Times New Roman"/>
          <w:b/>
          <w:color w:val="000000"/>
          <w:sz w:val="20"/>
        </w:rPr>
        <w:t>Parties</w:t>
      </w:r>
      <w:r>
        <w:rPr>
          <w:rFonts w:ascii="Times New Roman" w:hAnsi="Times New Roman"/>
          <w:color w:val="000000"/>
          <w:sz w:val="20"/>
        </w:rPr>
        <w:t>”, each individually, a “</w:t>
      </w:r>
      <w:r>
        <w:rPr>
          <w:rFonts w:ascii="Times New Roman" w:hAnsi="Times New Roman"/>
          <w:b/>
          <w:color w:val="000000"/>
          <w:sz w:val="20"/>
        </w:rPr>
        <w:t>Party</w:t>
      </w:r>
      <w:r>
        <w:rPr>
          <w:rFonts w:ascii="Times New Roman" w:hAnsi="Times New Roman"/>
          <w:color w:val="000000"/>
          <w:sz w:val="20"/>
        </w:rPr>
        <w:t>”), and effective as of November 28, 2022 (the “</w:t>
      </w:r>
      <w:r>
        <w:rPr>
          <w:rFonts w:ascii="Times New Roman" w:hAnsi="Times New Roman"/>
          <w:b/>
          <w:color w:val="000000"/>
          <w:sz w:val="20"/>
        </w:rPr>
        <w:t>Effective Date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this Agreement sets forth the terms under which Company shall (i) provide Taboola with Placements (as defined below) on Company’s owned and operated digital properties and mobile applications listed in Section II below (the “</w:t>
      </w:r>
      <w:r>
        <w:rPr>
          <w:rFonts w:ascii="Times New Roman" w:hAnsi="Times New Roman"/>
          <w:b/>
          <w:color w:val="000000"/>
          <w:sz w:val="20"/>
        </w:rPr>
        <w:t>Properties</w:t>
      </w:r>
      <w:r>
        <w:rPr>
          <w:rFonts w:ascii="Times New Roman" w:hAnsi="Times New Roman"/>
          <w:color w:val="000000"/>
          <w:sz w:val="20"/>
        </w:rPr>
        <w:t>”, each individually, a “</w:t>
      </w:r>
      <w:r>
        <w:rPr>
          <w:rFonts w:ascii="Times New Roman" w:hAnsi="Times New Roman"/>
          <w:b/>
          <w:color w:val="000000"/>
          <w:sz w:val="20"/>
        </w:rPr>
        <w:t>Property</w:t>
      </w:r>
      <w:r>
        <w:rPr>
          <w:rFonts w:ascii="Times New Roman" w:hAnsi="Times New Roman"/>
          <w:color w:val="000000"/>
          <w:sz w:val="20"/>
        </w:rPr>
        <w:t>”), (ii) book Native Advertisement campaigns from Company’s advertiser clients (“</w:t>
      </w:r>
      <w:r>
        <w:rPr>
          <w:rFonts w:ascii="Times New Roman" w:hAnsi="Times New Roman"/>
          <w:b/>
          <w:color w:val="000000"/>
          <w:sz w:val="20"/>
        </w:rPr>
        <w:t>Company Advertisers</w:t>
      </w:r>
      <w:r>
        <w:rPr>
          <w:rFonts w:ascii="Times New Roman" w:hAnsi="Times New Roman"/>
          <w:color w:val="000000"/>
          <w:sz w:val="20"/>
        </w:rPr>
        <w:t>”) through the UCAM/Taboola Interface; (iii) provide Taboola with certain data and information in order for Taboola to optimize the  Services (as defined below); and (iv) engage Taboola in connection with Additional Taboola Offerings (as defined below), subject to Section XI;</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with respect to Taboola’s supply side business, Taboola shall provide code for its content distribution platform (the “</w:t>
      </w:r>
      <w:r>
        <w:rPr>
          <w:rFonts w:ascii="Times New Roman" w:hAnsi="Times New Roman"/>
          <w:b/>
          <w:color w:val="000000"/>
          <w:sz w:val="20"/>
        </w:rPr>
        <w:t>Platform</w:t>
      </w:r>
      <w:r>
        <w:rPr>
          <w:rFonts w:ascii="Times New Roman" w:hAnsi="Times New Roman"/>
          <w:color w:val="000000"/>
          <w:sz w:val="20"/>
        </w:rPr>
        <w:t>”) for Company to implement on the Placements, and such code will allow Taboola to use its proprietary algorithm, along with certain data and information provided by Company, to optimize, personalize, analyze, and recommend to users or visitors of the Properties (the “</w:t>
      </w:r>
      <w:r>
        <w:rPr>
          <w:rFonts w:ascii="Times New Roman" w:hAnsi="Times New Roman"/>
          <w:b/>
          <w:color w:val="000000"/>
          <w:sz w:val="20"/>
        </w:rPr>
        <w:t>Visitors</w:t>
      </w:r>
      <w:r>
        <w:rPr>
          <w:rFonts w:ascii="Times New Roman" w:hAnsi="Times New Roman"/>
          <w:color w:val="000000"/>
          <w:sz w:val="20"/>
        </w:rPr>
        <w:t>”) the following:</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6" w:name="z0c6efddee05840c682ccf3c467ac5a78"/>
      <w:bookmarkStart w:id="37" w:name="z0c6efddee05840c682ccf3c467ac5a78"/>
      <w:bookmarkEnd w:id="37"/>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0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 Company’s election, content, videos, engagement experiences, tools, and utilities owned or created by or licensed to Company with the ability for Company to grant the rights as contemplated in the Agreement (collectively, the “</w:t>
            </w:r>
            <w:r>
              <w:rPr>
                <w:rFonts w:ascii="Times New Roman" w:hAnsi="Times New Roman"/>
                <w:b/>
                <w:sz w:val="20"/>
              </w:rPr>
              <w:t>Company Content</w:t>
            </w:r>
            <w:r>
              <w:rPr>
                <w:rFonts w:ascii="Times New Roman" w:hAnsi="Times New Roman"/>
                <w:sz w:val="20"/>
              </w:rPr>
              <w:t>”, where if the Company Content is licensed from a third party it shall be deemed “</w:t>
            </w:r>
            <w:r>
              <w:rPr>
                <w:rFonts w:ascii="Times New Roman" w:hAnsi="Times New Roman"/>
                <w:b/>
                <w:sz w:val="20"/>
              </w:rPr>
              <w:t>Company Licensed Content</w:t>
            </w: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8" w:name="zcb1249192c0c4c95b6f058b109bab892"/>
      <w:bookmarkStart w:id="39" w:name="zcb1249192c0c4c95b6f058b109bab892"/>
      <w:bookmarkEnd w:id="39"/>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1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Native Advertisements from Company Advertisers to be displayed on the Properties (which shall also be Company Content);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0" w:name="zdd21328f7d5c4ba3b2a47111a77cccde"/>
      <w:bookmarkStart w:id="41" w:name="zdd21328f7d5c4ba3b2a47111a77cccde"/>
      <w:bookmarkEnd w:id="41"/>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pPr>
            <w:r>
              <w:rPr/>
            </w:r>
          </w:p>
        </w:tc>
        <w:tc>
          <w:tcPr>
            <w:tcW w:w="2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988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Native Advertisements from Taboola’s advertisers (“</w:t>
            </w:r>
            <w:r>
              <w:rPr>
                <w:rFonts w:ascii="Times New Roman" w:hAnsi="Times New Roman"/>
                <w:b/>
                <w:sz w:val="20"/>
              </w:rPr>
              <w:t>Taboola</w:t>
            </w:r>
            <w:r>
              <w:rPr>
                <w:rFonts w:ascii="Times New Roman" w:hAnsi="Times New Roman"/>
                <w:sz w:val="20"/>
              </w:rPr>
              <w:t> </w:t>
            </w:r>
            <w:r>
              <w:rPr>
                <w:rFonts w:ascii="Times New Roman" w:hAnsi="Times New Roman"/>
                <w:b/>
                <w:sz w:val="20"/>
              </w:rPr>
              <w:t>Advertisers</w:t>
            </w:r>
            <w:r>
              <w:rPr>
                <w:rFonts w:ascii="Times New Roman" w:hAnsi="Times New Roman"/>
                <w:sz w:val="20"/>
              </w:rPr>
              <w:t>”) to be displayed on the Placements (the “</w:t>
            </w:r>
            <w:r>
              <w:rPr>
                <w:rFonts w:ascii="Times New Roman" w:hAnsi="Times New Roman"/>
                <w:b/>
                <w:sz w:val="20"/>
              </w:rPr>
              <w:t>Taboola Sponsored Content</w:t>
            </w:r>
            <w:r>
              <w:rPr>
                <w:rFonts w:ascii="Times New Roman" w:hAnsi="Times New Roman"/>
                <w:sz w:val="20"/>
              </w:rPr>
              <w:t>”, together with the Company Content, the “</w:t>
            </w:r>
            <w:r>
              <w:rPr>
                <w:rFonts w:ascii="Times New Roman" w:hAnsi="Times New Roman"/>
                <w:b/>
                <w:sz w:val="20"/>
              </w:rPr>
              <w:t>Recommendations</w:t>
            </w:r>
            <w:r>
              <w:rPr>
                <w:rFonts w:ascii="Times New Roman" w:hAnsi="Times New Roman"/>
                <w:sz w:val="20"/>
              </w:rPr>
              <w:t>”) for which Taboola Advertisers pay Taboola advertising fees to distribute on its network of digital properties.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Taboola’s provision of (i) Recommendations to Visitors via the Platform, or SDK technology (if applicable) to deliver the Platform; (ii) Native Advertisement services to Company Advertisers through the UCAM/Taboola Interface; and (iii) related support services with respect to (i) and (ii) (i.e., optimization, attribution, reporting, or analytics) is referred to herein as the “</w:t>
      </w:r>
      <w:r>
        <w:rPr>
          <w:rFonts w:ascii="Times New Roman" w:hAnsi="Times New Roman"/>
          <w:b/>
          <w:color w:val="000000"/>
          <w:sz w:val="20"/>
        </w:rPr>
        <w:t>Services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Now therefore</w:t>
      </w:r>
      <w:r>
        <w:rPr>
          <w:rFonts w:ascii="Times New Roman" w:hAnsi="Times New Roman"/>
          <w:color w:val="000000"/>
          <w:sz w:val="20"/>
        </w:rPr>
        <w:t>, in consideration of the covenants herein and for valuable consideration, the receipt and sufficiency of which are hereby acknowledged, the Parties hereby agree as follows: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2" w:name="z13beb769603247aca5b990d5bb8c0f05"/>
      <w:bookmarkStart w:id="43" w:name="z13beb769603247aca5b990d5bb8c0f05"/>
      <w:bookmarkEnd w:id="43"/>
    </w:p>
    <w:tbl>
      <w:tblPr>
        <w:tblW w:w="7705" w:type="dxa"/>
        <w:jc w:val="left"/>
        <w:tblInd w:w="-15" w:type="dxa"/>
        <w:tblLayout w:type="fixed"/>
        <w:tblCellMar>
          <w:top w:w="28" w:type="dxa"/>
          <w:left w:w="28" w:type="dxa"/>
          <w:bottom w:w="0" w:type="dxa"/>
          <w:right w:w="28" w:type="dxa"/>
        </w:tblCellMar>
      </w:tblPr>
      <w:tblGrid>
        <w:gridCol w:w="4955"/>
        <w:gridCol w:w="2750"/>
      </w:tblGrid>
      <w:tr>
        <w:trPr/>
        <w:tc>
          <w:tcPr>
            <w:tcW w:w="7705" w:type="dxa"/>
            <w:gridSpan w:val="2"/>
            <w:tcBorders>
              <w:top w:val="single" w:sz="12" w:space="0" w:color="000000"/>
              <w:left w:val="single" w:sz="12" w:space="0" w:color="000000"/>
              <w:right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  Company Information:</w:t>
            </w:r>
          </w:p>
        </w:tc>
      </w:tr>
      <w:tr>
        <w:trPr/>
        <w:tc>
          <w:tcPr>
            <w:tcW w:w="4955" w:type="dxa"/>
            <w:tcBorders>
              <w:left w:val="single" w:sz="12" w:space="0" w:color="000000"/>
            </w:tcBorders>
            <w:tcMar>
              <w:top w:w="0" w:type="dxa"/>
              <w:right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top w:val="single" w:sz="12" w:space="0" w:color="000000"/>
              <w:left w:val="single" w:sz="12" w:space="0" w:color="000000"/>
            </w:tcBorders>
            <w:tcMar>
              <w:right w:w="0" w:type="dxa"/>
            </w:tcMar>
            <w:vAlign w:val="center"/>
          </w:tcPr>
          <w:p>
            <w:pPr>
              <w:pStyle w:val="TableContents"/>
              <w:bidi w:val="0"/>
              <w:spacing w:before="0" w:after="283"/>
              <w:jc w:val="left"/>
              <w:rPr/>
            </w:pPr>
            <w:r>
              <w:rPr/>
              <w:t> </w:t>
            </w:r>
          </w:p>
        </w:tc>
        <w:tc>
          <w:tcPr>
            <w:tcW w:w="2750" w:type="dxa"/>
            <w:tcBorders>
              <w:top w:val="single" w:sz="12" w:space="0" w:color="000000"/>
              <w:right w:val="single" w:sz="12" w:space="0" w:color="000000"/>
            </w:tcBorders>
            <w:tcMar>
              <w:left w:w="0" w:type="dxa"/>
            </w:tcMar>
            <w:vAlign w:val="center"/>
          </w:tcPr>
          <w:p>
            <w:pPr>
              <w:pStyle w:val="TableContents"/>
              <w:bidi w:val="0"/>
              <w:spacing w:before="0" w:after="283"/>
              <w:jc w:val="left"/>
              <w:rPr/>
            </w:pPr>
            <w:r>
              <w:rPr/>
              <w:t> </w:t>
            </w:r>
          </w:p>
        </w:tc>
      </w:tr>
      <w:tr>
        <w:trPr/>
        <w:tc>
          <w:tcPr>
            <w:tcW w:w="4955" w:type="dxa"/>
            <w:tcBorders>
              <w:left w:val="single" w:sz="12" w:space="0" w:color="000000"/>
            </w:tcBorders>
            <w:tcMar>
              <w:top w:w="0" w:type="dxa"/>
              <w:righ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Company’s Legal Entity Name (“</w:t>
            </w:r>
            <w:r>
              <w:rPr>
                <w:rFonts w:ascii="Times New Roman" w:hAnsi="Times New Roman"/>
                <w:b/>
                <w:sz w:val="20"/>
              </w:rPr>
              <w:t>Company</w:t>
            </w:r>
            <w:r>
              <w:rPr>
                <w:rFonts w:ascii="Times New Roman" w:hAnsi="Times New Roman"/>
                <w:sz w:val="20"/>
              </w:rPr>
              <w:t>”): Yahoo Inc.</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bottom w:val="single" w:sz="12" w:space="0" w:color="000000"/>
            </w:tcBorders>
            <w:tcMar>
              <w:top w:w="0" w:type="dxa"/>
              <w:bottom w:w="28" w:type="dxa"/>
              <w:right w:w="0"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Business Type: X   Corporation ☐    Sole Trader / Individual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sz w:val="20"/>
              </w:rPr>
            </w:pPr>
            <w:r>
              <w:rPr>
                <w:sz w:val="20"/>
              </w:rPr>
              <w:t>Office Street: 770 Broadway</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State of Incorporation: Delaware</w:t>
            </w:r>
          </w:p>
        </w:tc>
        <w:tc>
          <w:tcPr>
            <w:tcW w:w="2750" w:type="dxa"/>
            <w:tcBorders>
              <w:right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Office City: New York</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Company Corporate ID / Tax ID:</w:t>
            </w:r>
          </w:p>
        </w:tc>
        <w:tc>
          <w:tcPr>
            <w:tcW w:w="2750" w:type="dxa"/>
            <w:tcBorders>
              <w:right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Office State / Province: New York</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Main Contact Name:</w:t>
            </w:r>
          </w:p>
        </w:tc>
        <w:tc>
          <w:tcPr>
            <w:tcW w:w="2750" w:type="dxa"/>
            <w:tcBorders>
              <w:right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Office Postal Code: 10003</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Main Contact Title:</w:t>
            </w:r>
          </w:p>
        </w:tc>
        <w:tc>
          <w:tcPr>
            <w:tcW w:w="2750" w:type="dxa"/>
            <w:tcBorders>
              <w:right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Office Country: US</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Main Contact Email:</w:t>
            </w:r>
          </w:p>
        </w:tc>
        <w:tc>
          <w:tcPr>
            <w:tcW w:w="2750" w:type="dxa"/>
            <w:tcBorders>
              <w:right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Billing Contact Name:</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Main Contact Phone:</w:t>
            </w:r>
          </w:p>
        </w:tc>
        <w:tc>
          <w:tcPr>
            <w:tcW w:w="2750" w:type="dxa"/>
            <w:tcBorders>
              <w:right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Billing Contact Title:</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Billing Currency: USD</w:t>
            </w:r>
          </w:p>
        </w:tc>
        <w:tc>
          <w:tcPr>
            <w:tcW w:w="2750" w:type="dxa"/>
            <w:tcBorders>
              <w:right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Billing Contact Email:</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495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750" w:type="dxa"/>
            <w:tcBorders>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95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Taboola Sales Representative:</w:t>
            </w:r>
          </w:p>
        </w:tc>
        <w:tc>
          <w:tcPr>
            <w:tcW w:w="2750" w:type="dxa"/>
            <w:tcBorders>
              <w:bottom w:val="single" w:sz="12" w:space="0" w:color="000000"/>
              <w:right w:val="single" w:sz="12" w:space="0" w:color="000000"/>
            </w:tcBorders>
            <w:tcMar>
              <w:top w:w="0" w:type="dxa"/>
              <w:left w:w="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Billing Contact Phone:</w:t>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w:t>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ind w:left="100" w:right="137" w:hanging="0"/>
              <w:jc w:val="both"/>
              <w:rPr>
                <w:rFonts w:ascii="Times New Roman" w:hAnsi="Times New Roman"/>
                <w:b/>
                <w:sz w:val="20"/>
              </w:rPr>
            </w:pPr>
            <w:r>
              <w:rPr>
                <w:rFonts w:ascii="Times New Roman" w:hAnsi="Times New Roman"/>
                <w:b/>
                <w:sz w:val="20"/>
              </w:rPr>
              <w:t>II.  Definitions:</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283"/>
              <w:jc w:val="left"/>
              <w:rPr/>
            </w:pPr>
            <w:r>
              <w:rPr/>
            </w:r>
          </w:p>
        </w:tc>
      </w:tr>
      <w:tr>
        <w:trPr/>
        <w:tc>
          <w:tcPr>
            <w:tcW w:w="10205" w:type="dxa"/>
            <w:tcBorders>
              <w:top w:val="single" w:sz="12" w:space="0" w:color="000000"/>
              <w:left w:val="single" w:sz="12" w:space="0" w:color="000000"/>
              <w:bottom w:val="single" w:sz="12" w:space="0" w:color="000000"/>
              <w:right w:val="single" w:sz="12" w:space="0" w:color="000000"/>
            </w:tcBorders>
            <w:tcMar>
              <w:bottom w:w="28" w:type="dxa"/>
            </w:tcMar>
            <w:vAlign w:val="center"/>
          </w:tcPr>
          <w:p>
            <w:pPr>
              <w:pStyle w:val="TableContents"/>
              <w:bidi w:val="0"/>
              <w:spacing w:before="0" w:after="0"/>
              <w:ind w:left="100" w:right="137" w:hanging="0"/>
              <w:jc w:val="both"/>
              <w:rPr/>
            </w:pPr>
            <w:r>
              <w:rPr/>
              <w:t>“</w:t>
            </w:r>
            <w:r>
              <w:rPr>
                <w:rFonts w:ascii="Times New Roman" w:hAnsi="Times New Roman"/>
                <w:b/>
                <w:sz w:val="20"/>
              </w:rPr>
              <w:t>Ads”</w:t>
            </w:r>
            <w:r>
              <w:rPr>
                <w:rFonts w:ascii="Times New Roman" w:hAnsi="Times New Roman"/>
                <w:sz w:val="16"/>
              </w:rPr>
              <w:t> </w:t>
            </w:r>
            <w:r>
              <w:rPr>
                <w:rFonts w:ascii="Times New Roman" w:hAnsi="Times New Roman"/>
                <w:sz w:val="20"/>
              </w:rPr>
              <w:t>means graphical, interactive, mobile, video, rich media, artwork, copy, active URLs for advertisements, or text-based advertisements, and the tags therefor, including banner advertisements, buttons, towers, and/or skyscrapers, as well as non-graphical elements such as tracking pixels and third-party pixels.</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Advertiser First Party Data</w:t>
            </w:r>
            <w:r>
              <w:rPr>
                <w:rFonts w:ascii="Times New Roman" w:hAnsi="Times New Roman"/>
                <w:sz w:val="20"/>
              </w:rPr>
              <w:t>” means data provided by a Company Advertiser (e.g., mobile advertising IDs, hashed email addresses) for targeting an advertising campaign.</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Affiliate</w:t>
            </w:r>
            <w:r>
              <w:rPr>
                <w:rFonts w:ascii="Times New Roman" w:hAnsi="Times New Roman"/>
                <w:sz w:val="20"/>
              </w:rPr>
              <w:t>” means an entity that controls, is controlled by, or is under common control with such party, where “</w:t>
            </w:r>
            <w:r>
              <w:rPr>
                <w:rFonts w:ascii="Times New Roman" w:hAnsi="Times New Roman"/>
                <w:b/>
                <w:sz w:val="20"/>
              </w:rPr>
              <w:t>control</w:t>
            </w:r>
            <w:r>
              <w:rPr>
                <w:rFonts w:ascii="Times New Roman" w:hAnsi="Times New Roman"/>
                <w:sz w:val="20"/>
              </w:rPr>
              <w:t>” means the power to direct the management and policies of such party or ownership of at least fifty percent (50%) of the common stock or other voting interests of such party; provided that, with respect to Company (Yahoo), the term “Affiliate” shall be limited to only those entities that are directly or indirectly controlled by Yahoo Inc. or Yahoo Aggregation Holdings LLC.</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Aggregate eCPM</w:t>
            </w:r>
            <w:r>
              <w:rPr>
                <w:rFonts w:ascii="Times New Roman" w:hAnsi="Times New Roman"/>
                <w:sz w:val="20"/>
              </w:rPr>
              <w:t>” means Gross Revenue across all Placements divided by the aggregate Viewable Impressions across all Placements multiplied by one thousand (1,000).</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 xml:space="preserve">Anonymized” </w:t>
            </w:r>
            <w:r>
              <w:rPr>
                <w:rFonts w:ascii="Times New Roman" w:hAnsi="Times New Roman"/>
                <w:sz w:val="20"/>
                <w:shd w:fill="F8F8F8" w:val="clear"/>
              </w:rPr>
              <w:t>means the removal or replacement of personal identifiers in data records so that the resulting data is no longer personally identifiable.  Company uses a multi-step process to replace, truncate, or delete identifiers in order to anonymize data.</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Bad</w:t>
            </w:r>
            <w:r>
              <w:rPr>
                <w:rFonts w:ascii="Times New Roman" w:hAnsi="Times New Roman"/>
                <w:sz w:val="20"/>
              </w:rPr>
              <w:t> </w:t>
            </w:r>
            <w:r>
              <w:rPr>
                <w:rFonts w:ascii="Times New Roman" w:hAnsi="Times New Roman"/>
                <w:b/>
                <w:sz w:val="20"/>
              </w:rPr>
              <w:t>Debt</w:t>
            </w:r>
            <w:r>
              <w:rPr>
                <w:rFonts w:ascii="Times New Roman" w:hAnsi="Times New Roman"/>
                <w:sz w:val="20"/>
              </w:rPr>
              <w:t>” means collection costs, defaults, charge backs and reversals to Taboola Advertisers.</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Bid Request Data”</w:t>
            </w:r>
            <w:r>
              <w:rPr>
                <w:rFonts w:ascii="Times New Roman" w:hAnsi="Times New Roman"/>
                <w:sz w:val="16"/>
              </w:rPr>
              <w:t xml:space="preserve"> </w:t>
            </w:r>
            <w:r>
              <w:rPr>
                <w:rFonts w:ascii="Times New Roman" w:hAnsi="Times New Roman"/>
                <w:sz w:val="20"/>
              </w:rPr>
              <w:t>means data transmitted from Company to Taboola for the purpose of soliciting bids on a Viewable Impression by Taboola and its Programmatic Bidders.</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Company Audience Data</w:t>
            </w:r>
            <w:r>
              <w:rPr>
                <w:rFonts w:ascii="Times New Roman" w:hAnsi="Times New Roman"/>
                <w:sz w:val="20"/>
              </w:rPr>
              <w:t>” means [***].</w:t>
            </w:r>
          </w:p>
          <w:p>
            <w:pPr>
              <w:pStyle w:val="TableContents"/>
              <w:bidi w:val="0"/>
              <w:spacing w:before="0" w:after="0"/>
              <w:jc w:val="left"/>
              <w:rPr/>
            </w:pPr>
            <w:r>
              <w:rPr/>
              <w:t xml:space="preserve">  </w:t>
            </w:r>
          </w:p>
          <w:p>
            <w:pPr>
              <w:pStyle w:val="TableContents"/>
              <w:bidi w:val="0"/>
              <w:spacing w:before="0" w:after="0"/>
              <w:ind w:left="100" w:right="137" w:hanging="0"/>
              <w:jc w:val="both"/>
              <w:rPr>
                <w:rFonts w:ascii="Times New Roman" w:hAnsi="Times New Roman"/>
                <w:sz w:val="20"/>
              </w:rPr>
            </w:pPr>
            <w:r>
              <w:rPr>
                <w:rFonts w:ascii="Times New Roman" w:hAnsi="Times New Roman"/>
                <w:sz w:val="20"/>
              </w:rPr>
              <w:t>"</w:t>
            </w:r>
            <w:r>
              <w:rPr>
                <w:rFonts w:ascii="Times New Roman" w:hAnsi="Times New Roman"/>
                <w:b/>
                <w:sz w:val="20"/>
              </w:rPr>
              <w:t>Company Data</w:t>
            </w:r>
            <w:r>
              <w:rPr>
                <w:rFonts w:ascii="Times New Roman" w:hAnsi="Times New Roman"/>
                <w:sz w:val="20"/>
              </w:rPr>
              <w:t>” means collectively the Company Audience Data and Company Targeting Data.</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 xml:space="preserve">Company DSP” </w:t>
            </w:r>
            <w:r>
              <w:rPr>
                <w:rFonts w:ascii="Times New Roman" w:hAnsi="Times New Roman"/>
                <w:sz w:val="20"/>
              </w:rPr>
              <w:t>means the buy-side technology platform owned by Company that is designed to enable advertisers to manage and buy advertising inventory programmatically.</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Company Targeting Data</w:t>
            </w:r>
            <w:r>
              <w:rPr>
                <w:rFonts w:ascii="Times New Roman" w:hAnsi="Times New Roman"/>
                <w:sz w:val="20"/>
              </w:rPr>
              <w:t>” means [***].</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eCPM”</w:t>
            </w:r>
            <w:r>
              <w:rPr>
                <w:rFonts w:ascii="Times New Roman" w:hAnsi="Times New Roman"/>
                <w:sz w:val="20"/>
              </w:rPr>
              <w:t xml:space="preserve"> means Gross Revenue per thousand impressions.</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ex-TAC”</w:t>
            </w:r>
            <w:r>
              <w:rPr>
                <w:rFonts w:ascii="Times New Roman" w:hAnsi="Times New Roman"/>
                <w:sz w:val="20"/>
              </w:rPr>
              <w:t xml:space="preserve"> means Gross Revenue less the Revenue Share.</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Gross Revenue”</w:t>
            </w:r>
            <w:r>
              <w:rPr>
                <w:rFonts w:ascii="Times New Roman" w:hAnsi="Times New Roman"/>
                <w:sz w:val="16"/>
              </w:rPr>
              <w:t xml:space="preserve"> </w:t>
            </w:r>
            <w:r>
              <w:rPr>
                <w:rFonts w:ascii="Times New Roman" w:hAnsi="Times New Roman"/>
                <w:sz w:val="20"/>
              </w:rPr>
              <w:t>means [***]: (i) [***]; and (ii)  [***].</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HB Bid</w:t>
            </w:r>
            <w:r>
              <w:rPr>
                <w:rFonts w:ascii="Times New Roman" w:hAnsi="Times New Roman"/>
                <w:sz w:val="16"/>
              </w:rPr>
              <w:t xml:space="preserve">” </w:t>
            </w:r>
            <w:r>
              <w:rPr>
                <w:rFonts w:ascii="Times New Roman" w:hAnsi="Times New Roman"/>
                <w:sz w:val="20"/>
              </w:rPr>
              <w:t>an offer made by Taboola for a particular HB Placement.</w:t>
            </w:r>
          </w:p>
          <w:p>
            <w:pPr>
              <w:pStyle w:val="TableContents"/>
              <w:bidi w:val="0"/>
              <w:spacing w:before="0" w:after="0"/>
              <w:ind w:left="100" w:right="137" w:hanging="0"/>
              <w:jc w:val="both"/>
              <w:rPr>
                <w:rFonts w:ascii="Times New Roman" w:hAnsi="Times New Roman"/>
                <w:sz w:val="20"/>
              </w:rPr>
            </w:pPr>
            <w:r>
              <w:rPr>
                <w:rFonts w:ascii="Times New Roman" w:hAnsi="Times New Roman"/>
                <w:sz w:val="20"/>
              </w:rPr>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4" w:name="zd5b992cc31324fabaf8290e1c2888ffb"/>
      <w:bookmarkStart w:id="45" w:name="zd5b992cc31324fabaf8290e1c2888ffb"/>
      <w:bookmarkEnd w:id="45"/>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sz w:val="20"/>
              </w:rPr>
            </w:pPr>
            <w:r>
              <w:rPr>
                <w:sz w:val="20"/>
              </w:rPr>
            </w:r>
          </w:p>
          <w:p>
            <w:pPr>
              <w:pStyle w:val="TableContents"/>
              <w:bidi w:val="0"/>
              <w:spacing w:before="0" w:after="0"/>
              <w:ind w:left="100" w:right="137" w:hanging="0"/>
              <w:jc w:val="both"/>
              <w:rPr/>
            </w:pPr>
            <w:r>
              <w:rPr/>
              <w:t>“</w:t>
            </w:r>
            <w:r>
              <w:rPr>
                <w:rFonts w:ascii="Times New Roman" w:hAnsi="Times New Roman"/>
                <w:b/>
                <w:sz w:val="20"/>
              </w:rPr>
              <w:t>Initial Baseline Uplift</w:t>
            </w:r>
            <w:r>
              <w:rPr>
                <w:rFonts w:ascii="Times New Roman" w:hAnsi="Times New Roman"/>
                <w:sz w:val="16"/>
              </w:rPr>
              <w:t xml:space="preserve">” </w:t>
            </w:r>
            <w:r>
              <w:rPr>
                <w:rFonts w:ascii="Times New Roman" w:hAnsi="Times New Roman"/>
                <w:sz w:val="20"/>
              </w:rPr>
              <w:t>means the [***] of ex-TAC value provided by Taboola [***].</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Native Advertisement</w:t>
            </w:r>
            <w:r>
              <w:rPr>
                <w:rFonts w:ascii="Times New Roman" w:hAnsi="Times New Roman"/>
                <w:sz w:val="16"/>
              </w:rPr>
              <w:t xml:space="preserve">” </w:t>
            </w:r>
            <w:r>
              <w:rPr>
                <w:rFonts w:ascii="Times New Roman" w:hAnsi="Times New Roman"/>
                <w:sz w:val="20"/>
              </w:rPr>
              <w:t>means integration of Ads in the form of content (including video) within a website or application regardless of device in such a way that such Advertisements are not distinct from the rest of the site/application in terms of content, format, style or placement.  For the avoidance of doubt, Native Advertisements do not include the standard IAB ad unit display ads and display video advertisements, in banner video advertisements, ecommerce advertisements, affiliate links, product listings, or results delivered on a search results page.</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Native API Advertisers</w:t>
            </w:r>
            <w:r>
              <w:rPr>
                <w:rFonts w:ascii="Times New Roman" w:hAnsi="Times New Roman"/>
                <w:sz w:val="20"/>
              </w:rPr>
              <w:t>” means Company Advertisers that only purchase Native Advertisements with Company programmatically through UCAM using the Gemini API.</w:t>
            </w:r>
          </w:p>
          <w:p>
            <w:pPr>
              <w:pStyle w:val="TableContents"/>
              <w:bidi w:val="0"/>
              <w:spacing w:before="0" w:after="0"/>
              <w:jc w:val="left"/>
              <w:rPr/>
            </w:pPr>
            <w:r>
              <w:rPr/>
              <w:t xml:space="preserve">  </w:t>
            </w:r>
          </w:p>
          <w:p>
            <w:pPr>
              <w:pStyle w:val="TableContents"/>
              <w:bidi w:val="0"/>
              <w:spacing w:before="0" w:after="0"/>
              <w:ind w:left="100" w:right="137" w:hanging="0"/>
              <w:jc w:val="both"/>
              <w:rPr/>
            </w:pPr>
            <w:r>
              <w:rPr/>
              <w:t>“</w:t>
            </w:r>
            <w:r>
              <w:rPr>
                <w:rFonts w:ascii="Times New Roman" w:hAnsi="Times New Roman"/>
                <w:b/>
                <w:sz w:val="20"/>
              </w:rPr>
              <w:t>Native Only Advertisers</w:t>
            </w:r>
            <w:r>
              <w:rPr>
                <w:rFonts w:ascii="Times New Roman" w:hAnsi="Times New Roman"/>
                <w:sz w:val="20"/>
              </w:rPr>
              <w:t>” means Company Advertisers that only purchase Native Ads from Company through UCAM.</w:t>
            </w:r>
          </w:p>
          <w:p>
            <w:pPr>
              <w:pStyle w:val="TableContents"/>
              <w:bidi w:val="0"/>
              <w:spacing w:before="0" w:after="0"/>
              <w:ind w:left="200" w:right="274" w:hanging="0"/>
              <w:jc w:val="both"/>
              <w:rPr>
                <w:rFonts w:ascii="Times New Roman" w:hAnsi="Times New Roman"/>
                <w:sz w:val="20"/>
              </w:rPr>
            </w:pPr>
            <w:r>
              <w:rPr>
                <w:rFonts w:ascii="Times New Roman" w:hAnsi="Times New Roman"/>
                <w:sz w:val="20"/>
              </w:rPr>
            </w:r>
          </w:p>
          <w:p>
            <w:pPr>
              <w:pStyle w:val="TableContents"/>
              <w:bidi w:val="0"/>
              <w:spacing w:before="0" w:after="0"/>
              <w:ind w:left="200" w:right="274" w:hanging="0"/>
              <w:jc w:val="both"/>
              <w:rPr/>
            </w:pPr>
            <w:r>
              <w:rPr/>
              <w:t>“</w:t>
            </w:r>
            <w:r>
              <w:rPr>
                <w:rFonts w:ascii="Times New Roman" w:hAnsi="Times New Roman"/>
                <w:b/>
                <w:sz w:val="20"/>
              </w:rPr>
              <w:t>No Fault Adverse Change</w:t>
            </w:r>
            <w:r>
              <w:rPr>
                <w:rFonts w:ascii="Times New Roman" w:hAnsi="Times New Roman"/>
                <w:sz w:val="20"/>
              </w:rPr>
              <w:t>” means any event, change, development or effect on the business, condition (financial or otherwise) or results of operations of a Party that directly results from (i) general changes or developments in the economy or the financial, debt, capital, credit or securities markets in the United States or elsewhere in the world, including as a result of changes in geopolitical conditions, (ii) general changes or developments in the industries in which a Party operates, (iii) changes in any applicable Laws, including any interpretation or enforcement thereof, (iv) any natural disaster, act of God or other comparable events, or any epidemics, pandemics, disease outbreaks, or public health emergencies, (v) any outbreak or escalation of hostilities or war (whether or not declared), military actions or any act of sabotage, terrorism, or national or international political or social conditions and (vi) any action taken or omitted to be taken by or at the prior written request, or with the prior written consent of, the other Party or that is expressly required or expressly permitted by this Agreement.</w:t>
            </w:r>
          </w:p>
          <w:p>
            <w:pPr>
              <w:pStyle w:val="TableContents"/>
              <w:bidi w:val="0"/>
              <w:spacing w:before="0" w:after="0"/>
              <w:jc w:val="both"/>
              <w:rPr/>
            </w:pPr>
            <w:r>
              <w:rPr/>
              <w:t xml:space="preserve">  </w:t>
            </w:r>
          </w:p>
          <w:p>
            <w:pPr>
              <w:pStyle w:val="TableContents"/>
              <w:bidi w:val="0"/>
              <w:spacing w:before="0" w:after="0"/>
              <w:ind w:left="200" w:right="274" w:hanging="0"/>
              <w:jc w:val="both"/>
              <w:rPr/>
            </w:pPr>
            <w:r>
              <w:rPr/>
              <w:t>“</w:t>
            </w:r>
            <w:r>
              <w:rPr>
                <w:rFonts w:ascii="Times New Roman" w:hAnsi="Times New Roman"/>
                <w:b/>
                <w:sz w:val="20"/>
              </w:rPr>
              <w:t>Omnichannel Advertiser</w:t>
            </w:r>
            <w:r>
              <w:rPr>
                <w:rFonts w:ascii="Times New Roman" w:hAnsi="Times New Roman"/>
                <w:sz w:val="20"/>
              </w:rPr>
              <w:t>” means a Company Advertiser that can purchase various forms of Ads from Company.   Omnichannel Advertisers include Native Only Advertisers and Native Only API Advertisers that do not migrate to Taboola as part of the Demand Migration and Services Plan.</w:t>
            </w:r>
          </w:p>
          <w:p>
            <w:pPr>
              <w:pStyle w:val="TableContents"/>
              <w:bidi w:val="0"/>
              <w:spacing w:before="0" w:after="0"/>
              <w:jc w:val="both"/>
              <w:rPr/>
            </w:pPr>
            <w:r>
              <w:rPr/>
              <w:t xml:space="preserve">  </w:t>
            </w:r>
          </w:p>
          <w:p>
            <w:pPr>
              <w:pStyle w:val="TableContents"/>
              <w:bidi w:val="0"/>
              <w:spacing w:before="0" w:after="0"/>
              <w:ind w:left="200" w:right="274" w:hanging="0"/>
              <w:jc w:val="both"/>
              <w:rPr/>
            </w:pPr>
            <w:r>
              <w:rPr/>
              <w:t>“</w:t>
            </w:r>
            <w:r>
              <w:rPr>
                <w:rFonts w:ascii="Times New Roman" w:hAnsi="Times New Roman"/>
                <w:b/>
                <w:sz w:val="20"/>
              </w:rPr>
              <w:t>Performance Decrease</w:t>
            </w:r>
            <w:r>
              <w:rPr>
                <w:rFonts w:ascii="Times New Roman" w:hAnsi="Times New Roman"/>
                <w:sz w:val="20"/>
              </w:rPr>
              <w:t>” occurs where the actual volume of Viewable Impressions and/or the eCPM is lower than [***].</w:t>
            </w:r>
          </w:p>
          <w:p>
            <w:pPr>
              <w:pStyle w:val="TableContents"/>
              <w:bidi w:val="0"/>
              <w:spacing w:before="0" w:after="0"/>
              <w:ind w:left="200" w:right="274" w:hanging="0"/>
              <w:jc w:val="both"/>
              <w:rPr/>
            </w:pPr>
            <w:r>
              <w:rPr/>
              <w:t>“</w:t>
            </w:r>
            <w:r>
              <w:rPr>
                <w:rFonts w:ascii="Times New Roman" w:hAnsi="Times New Roman"/>
                <w:b/>
                <w:sz w:val="20"/>
              </w:rPr>
              <w:t>Programmatic Bidder</w:t>
            </w:r>
            <w:r>
              <w:rPr>
                <w:rFonts w:ascii="Times New Roman" w:hAnsi="Times New Roman"/>
                <w:sz w:val="20"/>
              </w:rPr>
              <w:t>” means a platform (e.g., a demand-side platform) that bids programmatically into the Taboola [***] (e.g., via real time bidding) for the purchase of advertising inventory on behalf of the bidder’s advertisers.</w:t>
            </w:r>
          </w:p>
          <w:p>
            <w:pPr>
              <w:pStyle w:val="TableContents"/>
              <w:bidi w:val="0"/>
              <w:spacing w:before="0" w:after="0"/>
              <w:jc w:val="both"/>
              <w:rPr/>
            </w:pPr>
            <w:r>
              <w:rPr/>
              <w:t xml:space="preserve">  </w:t>
            </w:r>
          </w:p>
          <w:p>
            <w:pPr>
              <w:pStyle w:val="TableContents"/>
              <w:bidi w:val="0"/>
              <w:spacing w:before="0" w:after="0"/>
              <w:ind w:left="200" w:right="274" w:hanging="0"/>
              <w:jc w:val="both"/>
              <w:rPr/>
            </w:pPr>
            <w:r>
              <w:rPr/>
              <w:t>“</w:t>
            </w:r>
            <w:r>
              <w:rPr>
                <w:rFonts w:ascii="Times New Roman" w:hAnsi="Times New Roman"/>
                <w:b/>
                <w:sz w:val="20"/>
              </w:rPr>
              <w:t>[***]</w:t>
            </w:r>
            <w:r>
              <w:rPr>
                <w:rFonts w:ascii="Times New Roman" w:hAnsi="Times New Roman"/>
                <w:sz w:val="16"/>
              </w:rPr>
              <w:t> </w:t>
            </w:r>
            <w:r>
              <w:rPr>
                <w:rFonts w:ascii="Times New Roman" w:hAnsi="Times New Roman"/>
                <w:b/>
                <w:sz w:val="20"/>
              </w:rPr>
              <w:t>Ad Spend”</w:t>
            </w:r>
            <w:r>
              <w:rPr>
                <w:rFonts w:ascii="Times New Roman" w:hAnsi="Times New Roman"/>
                <w:sz w:val="16"/>
              </w:rPr>
              <w:t xml:space="preserve"> </w:t>
            </w:r>
            <w:r>
              <w:rPr>
                <w:rFonts w:ascii="Times New Roman" w:hAnsi="Times New Roman"/>
                <w:sz w:val="20"/>
              </w:rPr>
              <w:t>means [***] of gross revenue earned by Company during [***] (annualized) from Native Advertisements on the Placements.</w:t>
            </w:r>
          </w:p>
          <w:p>
            <w:pPr>
              <w:pStyle w:val="TableContents"/>
              <w:bidi w:val="0"/>
              <w:spacing w:before="0" w:after="0"/>
              <w:jc w:val="both"/>
              <w:rPr/>
            </w:pPr>
            <w:r>
              <w:rPr/>
              <w:t xml:space="preserve">  </w:t>
            </w:r>
          </w:p>
          <w:p>
            <w:pPr>
              <w:pStyle w:val="TableContents"/>
              <w:bidi w:val="0"/>
              <w:spacing w:before="0" w:after="0"/>
              <w:ind w:left="200" w:right="274" w:hanging="0"/>
              <w:jc w:val="both"/>
              <w:rPr/>
            </w:pPr>
            <w:r>
              <w:rPr/>
              <w:t>“</w:t>
            </w:r>
            <w:r>
              <w:rPr>
                <w:rFonts w:ascii="Times New Roman" w:hAnsi="Times New Roman"/>
                <w:b/>
                <w:sz w:val="20"/>
              </w:rPr>
              <w:t>Responsible Party</w:t>
            </w:r>
            <w:r>
              <w:rPr>
                <w:rFonts w:ascii="Times New Roman" w:hAnsi="Times New Roman"/>
                <w:sz w:val="20"/>
              </w:rPr>
              <w:t>” means a Party deemed responsible for [***].</w:t>
            </w:r>
          </w:p>
          <w:p>
            <w:pPr>
              <w:pStyle w:val="TableContents"/>
              <w:bidi w:val="0"/>
              <w:spacing w:before="0" w:after="0"/>
              <w:jc w:val="both"/>
              <w:rPr/>
            </w:pPr>
            <w:r>
              <w:rPr/>
              <w:t xml:space="preserve">  </w:t>
            </w:r>
          </w:p>
          <w:p>
            <w:pPr>
              <w:pStyle w:val="TableContents"/>
              <w:bidi w:val="0"/>
              <w:spacing w:before="0" w:after="0"/>
              <w:ind w:left="200" w:right="274" w:hanging="0"/>
              <w:jc w:val="both"/>
              <w:rPr/>
            </w:pPr>
            <w:r>
              <w:rPr/>
              <w:t>“</w:t>
            </w:r>
            <w:r>
              <w:rPr>
                <w:rFonts w:ascii="Times New Roman" w:hAnsi="Times New Roman"/>
                <w:b/>
                <w:sz w:val="20"/>
              </w:rPr>
              <w:t>Revenue Share Percentage</w:t>
            </w:r>
            <w:r>
              <w:rPr>
                <w:rFonts w:ascii="Times New Roman" w:hAnsi="Times New Roman"/>
                <w:sz w:val="20"/>
              </w:rPr>
              <w:t>” means the percentage of Gross Revenue that Company is entitled to, namely [***], or as adjusted by the Parties in Section VII.I.3.c.</w:t>
            </w:r>
          </w:p>
          <w:p>
            <w:pPr>
              <w:pStyle w:val="TableContents"/>
              <w:bidi w:val="0"/>
              <w:spacing w:before="0" w:after="0"/>
              <w:jc w:val="both"/>
              <w:rPr/>
            </w:pPr>
            <w:r>
              <w:rPr/>
              <w:t xml:space="preserve">  </w:t>
            </w:r>
          </w:p>
          <w:p>
            <w:pPr>
              <w:pStyle w:val="TableContents"/>
              <w:bidi w:val="0"/>
              <w:spacing w:before="0" w:after="0"/>
              <w:ind w:left="200" w:right="274" w:hanging="0"/>
              <w:jc w:val="both"/>
              <w:rPr/>
            </w:pPr>
            <w:r>
              <w:rPr/>
              <w:t>“</w:t>
            </w:r>
            <w:r>
              <w:rPr>
                <w:rFonts w:ascii="Times New Roman" w:hAnsi="Times New Roman"/>
                <w:b/>
                <w:sz w:val="20"/>
              </w:rPr>
              <w:t>Seasonality Index”</w:t>
            </w:r>
            <w:r>
              <w:rPr>
                <w:rFonts w:ascii="Times New Roman" w:hAnsi="Times New Roman"/>
                <w:sz w:val="16"/>
              </w:rPr>
              <w:t xml:space="preserve"> </w:t>
            </w:r>
            <w:r>
              <w:rPr>
                <w:rFonts w:ascii="Times New Roman" w:hAnsi="Times New Roman"/>
                <w:sz w:val="20"/>
              </w:rPr>
              <w:t>means an index of the eCPM based on historical monthly performance of the [***] and Viewable Impressions for each Placement Group based on historical quarterly volume over the [***]. The Parties may mutually agree to modify the definition of Seasonality Index at any time throughout the Term.</w:t>
            </w:r>
          </w:p>
          <w:p>
            <w:pPr>
              <w:pStyle w:val="TableContents"/>
              <w:bidi w:val="0"/>
              <w:spacing w:before="0" w:after="0"/>
              <w:jc w:val="both"/>
              <w:rPr/>
            </w:pPr>
            <w:r>
              <w:rPr/>
              <w:t xml:space="preserve">  </w:t>
            </w:r>
          </w:p>
          <w:p>
            <w:pPr>
              <w:pStyle w:val="TableContents"/>
              <w:bidi w:val="0"/>
              <w:spacing w:before="0" w:after="0"/>
              <w:ind w:left="200" w:right="274" w:hanging="0"/>
              <w:jc w:val="both"/>
              <w:rPr/>
            </w:pPr>
            <w:r>
              <w:rPr/>
              <w:t>“</w:t>
            </w:r>
            <w:r>
              <w:rPr>
                <w:rFonts w:ascii="Times New Roman" w:hAnsi="Times New Roman"/>
                <w:b/>
                <w:sz w:val="20"/>
              </w:rPr>
              <w:t>Taboola Ads</w:t>
            </w:r>
            <w:r>
              <w:rPr>
                <w:rFonts w:ascii="Times New Roman" w:hAnsi="Times New Roman"/>
                <w:sz w:val="20"/>
              </w:rPr>
              <w:t>” means the demand-side platform owned and operated by Taboola.</w:t>
            </w:r>
          </w:p>
          <w:p>
            <w:pPr>
              <w:pStyle w:val="TableContents"/>
              <w:bidi w:val="0"/>
              <w:spacing w:before="0" w:after="0"/>
              <w:jc w:val="both"/>
              <w:rPr/>
            </w:pPr>
            <w:r>
              <w:rPr/>
              <w:t xml:space="preserve">  </w:t>
            </w:r>
          </w:p>
          <w:p>
            <w:pPr>
              <w:pStyle w:val="TableContents"/>
              <w:bidi w:val="0"/>
              <w:spacing w:before="0" w:after="0"/>
              <w:ind w:left="200" w:right="274" w:hanging="0"/>
              <w:jc w:val="both"/>
              <w:rPr/>
            </w:pPr>
            <w:r>
              <w:rPr/>
              <w:t>“</w:t>
            </w:r>
            <w:r>
              <w:rPr>
                <w:rFonts w:ascii="Times New Roman" w:hAnsi="Times New Roman"/>
                <w:b/>
                <w:sz w:val="20"/>
              </w:rPr>
              <w:t>Taboola Network</w:t>
            </w:r>
            <w:r>
              <w:rPr>
                <w:rFonts w:ascii="Times New Roman" w:hAnsi="Times New Roman"/>
                <w:sz w:val="20"/>
              </w:rPr>
              <w:t>” means the network of third-party digital properties and mobile applications in which Taboola has the right to monetize the ad inventory on such digital properties and mobile applications.</w:t>
            </w:r>
          </w:p>
          <w:p>
            <w:pPr>
              <w:pStyle w:val="TableContents"/>
              <w:bidi w:val="0"/>
              <w:spacing w:before="0" w:after="0"/>
              <w:ind w:left="300" w:right="411" w:hanging="0"/>
              <w:jc w:val="both"/>
              <w:rPr>
                <w:rFonts w:ascii="Times New Roman" w:hAnsi="Times New Roman"/>
                <w:sz w:val="20"/>
              </w:rPr>
            </w:pPr>
            <w:r>
              <w:rPr>
                <w:rFonts w:ascii="Times New Roman" w:hAnsi="Times New Roman"/>
                <w:sz w:val="20"/>
              </w:rPr>
            </w:r>
          </w:p>
          <w:p>
            <w:pPr>
              <w:pStyle w:val="TableContents"/>
              <w:bidi w:val="0"/>
              <w:spacing w:before="0" w:after="0"/>
              <w:ind w:left="300" w:right="411" w:hanging="0"/>
              <w:jc w:val="both"/>
              <w:rPr/>
            </w:pPr>
            <w:r>
              <w:rPr/>
              <w:t>“</w:t>
            </w:r>
            <w:r>
              <w:rPr>
                <w:rFonts w:ascii="Times New Roman" w:hAnsi="Times New Roman"/>
                <w:b/>
                <w:sz w:val="20"/>
              </w:rPr>
              <w:t>Taboola RPM Index</w:t>
            </w:r>
            <w:r>
              <w:rPr>
                <w:rFonts w:ascii="Times New Roman" w:hAnsi="Times New Roman"/>
                <w:sz w:val="20"/>
              </w:rPr>
              <w:t>” means: [***][***].</w:t>
            </w:r>
          </w:p>
          <w:p>
            <w:pPr>
              <w:pStyle w:val="TableContents"/>
              <w:bidi w:val="0"/>
              <w:spacing w:before="0" w:after="0"/>
              <w:ind w:left="300" w:right="411" w:hanging="0"/>
              <w:jc w:val="both"/>
              <w:rPr>
                <w:sz w:val="20"/>
              </w:rPr>
            </w:pPr>
            <w:r>
              <w:rPr>
                <w:sz w:val="20"/>
              </w:rPr>
            </w:r>
          </w:p>
          <w:p>
            <w:pPr>
              <w:pStyle w:val="TableContents"/>
              <w:bidi w:val="0"/>
              <w:spacing w:before="0" w:after="0"/>
              <w:ind w:left="400" w:right="548" w:hanging="0"/>
              <w:jc w:val="both"/>
              <w:rPr/>
            </w:pPr>
            <w:r>
              <w:rPr/>
              <w:t>“</w:t>
            </w:r>
            <w:r>
              <w:rPr>
                <w:rFonts w:ascii="Times New Roman" w:hAnsi="Times New Roman"/>
                <w:b/>
                <w:sz w:val="20"/>
              </w:rPr>
              <w:t>Taboola Data</w:t>
            </w:r>
            <w:r>
              <w:rPr>
                <w:rFonts w:ascii="Times New Roman" w:hAnsi="Times New Roman"/>
                <w:sz w:val="20"/>
              </w:rPr>
              <w:t>” shall mean the pseudonymized data Taboola collects from providing its Services to its third-party publisher network (excluding Company Properties) which optimizes its algorithm.</w:t>
            </w:r>
          </w:p>
          <w:p>
            <w:pPr>
              <w:pStyle w:val="TableContents"/>
              <w:bidi w:val="0"/>
              <w:spacing w:before="0" w:after="0"/>
              <w:jc w:val="both"/>
              <w:rPr/>
            </w:pPr>
            <w:r>
              <w:rPr/>
              <w:t xml:space="preserve">  </w:t>
            </w:r>
          </w:p>
          <w:p>
            <w:pPr>
              <w:pStyle w:val="TableContents"/>
              <w:bidi w:val="0"/>
              <w:spacing w:before="0" w:after="0"/>
              <w:ind w:left="400" w:right="548" w:hanging="0"/>
              <w:jc w:val="both"/>
              <w:rPr/>
            </w:pPr>
            <w:r>
              <w:rPr/>
              <w:t>“</w:t>
            </w:r>
            <w:r>
              <w:rPr>
                <w:rFonts w:ascii="Times New Roman" w:hAnsi="Times New Roman"/>
                <w:b/>
                <w:sz w:val="20"/>
              </w:rPr>
              <w:t>Taboola [***]</w:t>
            </w:r>
            <w:r>
              <w:rPr>
                <w:rFonts w:ascii="Times New Roman" w:hAnsi="Times New Roman"/>
                <w:sz w:val="20"/>
              </w:rPr>
              <w:t>” means the supply-side technology platform owned by Taboola that is designed to enable publishers to manage and sell their advertising inventory.</w:t>
            </w:r>
          </w:p>
          <w:p>
            <w:pPr>
              <w:pStyle w:val="TableContents"/>
              <w:bidi w:val="0"/>
              <w:spacing w:before="0" w:after="0"/>
              <w:jc w:val="both"/>
              <w:rPr/>
            </w:pPr>
            <w:r>
              <w:rPr/>
              <w:t xml:space="preserve">  </w:t>
            </w:r>
          </w:p>
          <w:p>
            <w:pPr>
              <w:pStyle w:val="TableContents"/>
              <w:bidi w:val="0"/>
              <w:spacing w:before="0" w:after="0"/>
              <w:ind w:left="400" w:right="548" w:hanging="0"/>
              <w:jc w:val="both"/>
              <w:rPr/>
            </w:pPr>
            <w:r>
              <w:rPr/>
              <w:t>“</w:t>
            </w:r>
            <w:r>
              <w:rPr>
                <w:rFonts w:ascii="Times New Roman" w:hAnsi="Times New Roman"/>
                <w:b/>
                <w:sz w:val="20"/>
              </w:rPr>
              <w:t>UCAM</w:t>
            </w:r>
            <w:r>
              <w:rPr>
                <w:rFonts w:ascii="Times New Roman" w:hAnsi="Times New Roman"/>
                <w:sz w:val="20"/>
              </w:rPr>
              <w:t>” means the unified campaign management flow on Company DSP through which Company advertisers can book advertising campaigns for various advertising formats, including without limitation, Native Advertisements, display advertising, video advertising, digital out-of-home and connected TV.</w:t>
            </w:r>
          </w:p>
          <w:p>
            <w:pPr>
              <w:pStyle w:val="TableContents"/>
              <w:bidi w:val="0"/>
              <w:spacing w:before="0" w:after="0"/>
              <w:jc w:val="both"/>
              <w:rPr/>
            </w:pPr>
            <w:r>
              <w:rPr/>
              <w:t xml:space="preserve">  </w:t>
            </w:r>
          </w:p>
          <w:p>
            <w:pPr>
              <w:pStyle w:val="TableContents"/>
              <w:bidi w:val="0"/>
              <w:spacing w:before="0" w:after="0"/>
              <w:ind w:left="400" w:right="548" w:hanging="0"/>
              <w:jc w:val="both"/>
              <w:rPr/>
            </w:pPr>
            <w:r>
              <w:rPr/>
              <w:t>“</w:t>
            </w:r>
            <w:r>
              <w:rPr>
                <w:rFonts w:ascii="Times New Roman" w:hAnsi="Times New Roman"/>
                <w:b/>
                <w:sz w:val="20"/>
              </w:rPr>
              <w:t>UCAM/Taboola Interface</w:t>
            </w:r>
            <w:r>
              <w:rPr>
                <w:rFonts w:ascii="Times New Roman" w:hAnsi="Times New Roman"/>
                <w:sz w:val="20"/>
              </w:rPr>
              <w:t>” means the interface between UCAM and Taboola Ads that enables Company Advertisers to purchase Native Advertisement inventory on Taboola’s network of publishers.</w:t>
            </w:r>
          </w:p>
          <w:p>
            <w:pPr>
              <w:pStyle w:val="TableContents"/>
              <w:bidi w:val="0"/>
              <w:spacing w:before="0" w:after="0"/>
              <w:jc w:val="both"/>
              <w:rPr/>
            </w:pPr>
            <w:r>
              <w:rPr/>
              <w:t xml:space="preserve">  </w:t>
            </w:r>
          </w:p>
          <w:p>
            <w:pPr>
              <w:pStyle w:val="TableContents"/>
              <w:bidi w:val="0"/>
              <w:spacing w:before="0" w:after="0"/>
              <w:ind w:left="400" w:right="548" w:hanging="0"/>
              <w:jc w:val="both"/>
              <w:rPr/>
            </w:pPr>
            <w:r>
              <w:rPr/>
              <w:t>“</w:t>
            </w:r>
            <w:r>
              <w:rPr>
                <w:rFonts w:ascii="Times New Roman" w:hAnsi="Times New Roman"/>
                <w:b/>
                <w:sz w:val="20"/>
              </w:rPr>
              <w:t>Verified Ad Spend”</w:t>
            </w:r>
            <w:r>
              <w:rPr>
                <w:rFonts w:ascii="Times New Roman" w:hAnsi="Times New Roman"/>
                <w:sz w:val="16"/>
              </w:rPr>
              <w:t xml:space="preserve"> </w:t>
            </w:r>
            <w:r>
              <w:rPr>
                <w:rFonts w:ascii="Times New Roman" w:hAnsi="Times New Roman"/>
                <w:sz w:val="20"/>
              </w:rPr>
              <w:t>is the [***] Aggregate eCPM multiplied by [***].</w:t>
            </w:r>
          </w:p>
          <w:p>
            <w:pPr>
              <w:pStyle w:val="TableContents"/>
              <w:bidi w:val="0"/>
              <w:spacing w:before="0" w:after="0"/>
              <w:ind w:left="400" w:right="548" w:hanging="0"/>
              <w:jc w:val="both"/>
              <w:rPr>
                <w:rFonts w:ascii="Times New Roman" w:hAnsi="Times New Roman"/>
                <w:sz w:val="20"/>
              </w:rPr>
            </w:pPr>
            <w:r>
              <w:rPr>
                <w:rFonts w:ascii="Times New Roman" w:hAnsi="Times New Roman"/>
                <w:sz w:val="20"/>
              </w:rPr>
            </w:r>
          </w:p>
          <w:p>
            <w:pPr>
              <w:pStyle w:val="TableContents"/>
              <w:bidi w:val="0"/>
              <w:spacing w:before="0" w:after="0"/>
              <w:ind w:left="400" w:right="548" w:hanging="0"/>
              <w:jc w:val="both"/>
              <w:rPr/>
            </w:pPr>
            <w:r>
              <w:rPr/>
              <w:t>“</w:t>
            </w:r>
            <w:r>
              <w:rPr>
                <w:rFonts w:ascii="Times New Roman" w:hAnsi="Times New Roman"/>
                <w:b/>
                <w:sz w:val="20"/>
              </w:rPr>
              <w:t>Viewable Impressions</w:t>
            </w:r>
            <w:r>
              <w:rPr>
                <w:rFonts w:ascii="Times New Roman" w:hAnsi="Times New Roman"/>
                <w:sz w:val="20"/>
              </w:rPr>
              <w:t>” means in the case of Native Advertisements, an ad is deemed viewable when at least fifty percent (50%) of its pixels appear on-screen for at least one (1) second and, in the case of video, a video ad is deemed viewable when at least fifty percent (50%) of its pixels appear on-screen for at least two (2) consecutive seconds.</w:t>
            </w:r>
          </w:p>
          <w:p>
            <w:pPr>
              <w:pStyle w:val="TableContents"/>
              <w:bidi w:val="0"/>
              <w:spacing w:before="0" w:after="0"/>
              <w:ind w:left="400" w:right="548" w:hanging="0"/>
              <w:jc w:val="both"/>
              <w:rPr>
                <w:sz w:val="20"/>
              </w:rPr>
            </w:pPr>
            <w:r>
              <w:rPr>
                <w:sz w:val="20"/>
              </w:rPr>
            </w:r>
          </w:p>
          <w:p>
            <w:pPr>
              <w:pStyle w:val="TableContents"/>
              <w:bidi w:val="0"/>
              <w:spacing w:before="0" w:after="0"/>
              <w:jc w:val="left"/>
              <w:rPr/>
            </w:pPr>
            <w:r>
              <w:rPr/>
              <w:t>“</w:t>
            </w:r>
            <w:r>
              <w:rPr>
                <w:rFonts w:ascii="Times New Roman" w:hAnsi="Times New Roman"/>
                <w:b/>
                <w:sz w:val="20"/>
              </w:rPr>
              <w:t>Winning Bid</w:t>
            </w:r>
            <w:r>
              <w:rPr>
                <w:rFonts w:ascii="Times New Roman" w:hAnsi="Times New Roman"/>
                <w:sz w:val="20"/>
              </w:rPr>
              <w:t>” an HB Bid that is selected by the Header Bidding Integration (measured in cost per thousand impressions) for a particular HB Placement.</w:t>
            </w:r>
          </w:p>
          <w:p>
            <w:pPr>
              <w:pStyle w:val="TableContents"/>
              <w:bidi w:val="0"/>
              <w:spacing w:before="0" w:after="0"/>
              <w:ind w:left="300" w:right="411" w:hanging="0"/>
              <w:jc w:val="both"/>
              <w:rPr>
                <w:rFonts w:ascii="Times New Roman" w:hAnsi="Times New Roman"/>
                <w:sz w:val="20"/>
              </w:rPr>
            </w:pPr>
            <w:r>
              <w:rPr>
                <w:rFonts w:ascii="Times New Roman" w:hAnsi="Times New Roman"/>
                <w:sz w:val="20"/>
              </w:rPr>
            </w:r>
          </w:p>
        </w:tc>
      </w:tr>
    </w:tbl>
    <w:p>
      <w:pPr>
        <w:pStyle w:val="TextBody"/>
        <w:bidi w:val="0"/>
        <w:spacing w:before="0" w:after="0"/>
        <w:jc w:val="left"/>
        <w:rPr/>
      </w:pPr>
      <w:r>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3</w:t>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ind w:left="100" w:right="52" w:hanging="0"/>
              <w:jc w:val="both"/>
              <w:rPr>
                <w:rFonts w:ascii="Times New Roman" w:hAnsi="Times New Roman"/>
                <w:b/>
                <w:sz w:val="20"/>
              </w:rPr>
            </w:pPr>
            <w:r>
              <w:rPr>
                <w:rFonts w:ascii="Times New Roman" w:hAnsi="Times New Roman"/>
                <w:b/>
                <w:sz w:val="20"/>
              </w:rPr>
              <w:t>III.  List of the Properties where the Platform will be implemented*:</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ind w:left="100" w:right="52" w:hanging="0"/>
              <w:jc w:val="both"/>
              <w:rPr>
                <w:rFonts w:ascii="Times New Roman" w:hAnsi="Times New Roman"/>
                <w:sz w:val="20"/>
              </w:rPr>
            </w:pPr>
            <w:r>
              <w:rPr>
                <w:rFonts w:ascii="Times New Roman" w:hAnsi="Times New Roman"/>
                <w:sz w:val="20"/>
              </w:rPr>
              <w:t>1. See Appendix A.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top w:val="single" w:sz="12" w:space="0" w:color="000000"/>
              <w:left w:val="single" w:sz="12" w:space="0" w:color="000000"/>
              <w:bottom w:val="single" w:sz="12" w:space="0" w:color="000000"/>
              <w:right w:val="single" w:sz="12" w:space="0" w:color="000000"/>
            </w:tcBorders>
            <w:tcMar>
              <w:bottom w:w="28" w:type="dxa"/>
            </w:tcMar>
            <w:vAlign w:val="center"/>
          </w:tcPr>
          <w:p>
            <w:pPr>
              <w:pStyle w:val="TableContents"/>
              <w:bidi w:val="0"/>
              <w:spacing w:before="0" w:after="0"/>
              <w:jc w:val="left"/>
              <w:rPr>
                <w:sz w:val="20"/>
              </w:rPr>
            </w:pPr>
            <w:r>
              <w:rPr>
                <w:sz w:val="20"/>
              </w:rPr>
            </w:r>
          </w:p>
          <w:p>
            <w:pPr>
              <w:pStyle w:val="TableContents"/>
              <w:bidi w:val="0"/>
              <w:spacing w:before="0" w:after="0"/>
              <w:jc w:val="left"/>
              <w:rPr>
                <w:sz w:val="20"/>
              </w:rPr>
            </w:pPr>
            <w:r>
              <w:rPr>
                <w:sz w:val="20"/>
              </w:rPr>
              <w:t>*To the extent Company acquires any additional property during the Term (each an “</w:t>
            </w:r>
            <w:r>
              <w:rPr>
                <w:rFonts w:ascii="Times New Roman" w:hAnsi="Times New Roman"/>
                <w:b/>
                <w:sz w:val="20"/>
              </w:rPr>
              <w:t>Additional Property</w:t>
            </w:r>
            <w:r>
              <w:rPr>
                <w:sz w:val="20"/>
              </w:rPr>
              <w:t>”), such additional property will be added to this Agreement as a “Property” by mutual written agreement (email shall not be sufficient) and shall be subject to the exclusivity restriction set forth in Paragraph 5 of the Terms and Conditions upon the closing date of Company’s acquisition thereof, provided however, if such Additional Property is subject to an exclusive Native Advertisement agreement, the Additional Property will be added hereto, and be subject to the exclusivity restriction set forth in Paragraph 5, after the expiration of such agreement.</w:t>
            </w:r>
          </w:p>
          <w:p>
            <w:pPr>
              <w:pStyle w:val="TableContents"/>
              <w:bidi w:val="0"/>
              <w:spacing w:before="0" w:after="0"/>
              <w:jc w:val="left"/>
              <w:rPr>
                <w:sz w:val="20"/>
              </w:rPr>
            </w:pPr>
            <w:r>
              <w:rPr>
                <w:sz w:val="20"/>
              </w:rPr>
            </w:r>
          </w:p>
          <w:p>
            <w:pPr>
              <w:pStyle w:val="TableContents"/>
              <w:bidi w:val="0"/>
              <w:spacing w:before="0" w:after="0"/>
              <w:jc w:val="both"/>
              <w:rPr>
                <w:rFonts w:ascii="Times New Roman" w:hAnsi="Times New Roman"/>
                <w:sz w:val="20"/>
              </w:rPr>
            </w:pPr>
            <w:r>
              <w:rPr>
                <w:rFonts w:ascii="Times New Roman" w:hAnsi="Times New Roman"/>
                <w:sz w:val="20"/>
              </w:rPr>
              <w:t>An Additional Property will not be factored into the Baseline until twelve (12) months after: (1) the closing date of Company’s acquisition thereof; or (2) the expiration of an exclusive Native Advertisement agreement for such Additional Property, if applicable.</w:t>
            </w:r>
          </w:p>
          <w:p>
            <w:pPr>
              <w:pStyle w:val="TableContents"/>
              <w:bidi w:val="0"/>
              <w:spacing w:before="0" w:after="0"/>
              <w:jc w:val="left"/>
              <w:rPr>
                <w:sz w:val="20"/>
              </w:rPr>
            </w:pPr>
            <w:r>
              <w:rPr>
                <w:sz w:val="20"/>
              </w:rPr>
            </w:r>
          </w:p>
        </w:tc>
      </w:tr>
    </w:tbl>
    <w:p>
      <w:pPr>
        <w:pStyle w:val="TextBody"/>
        <w:bidi w:val="0"/>
        <w:spacing w:before="0" w:after="0"/>
        <w:jc w:val="left"/>
        <w:rPr>
          <w:sz w:val="20"/>
        </w:rPr>
      </w:pPr>
      <w:r>
        <w:rPr>
          <w:sz w:val="20"/>
        </w:rPr>
      </w:r>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ind w:left="100" w:right="141" w:hanging="0"/>
              <w:jc w:val="both"/>
              <w:rPr>
                <w:rFonts w:ascii="Times New Roman" w:hAnsi="Times New Roman"/>
                <w:b/>
                <w:sz w:val="20"/>
              </w:rPr>
            </w:pPr>
            <w:r>
              <w:rPr>
                <w:rFonts w:ascii="Times New Roman" w:hAnsi="Times New Roman"/>
                <w:b/>
                <w:sz w:val="20"/>
              </w:rPr>
              <w:t>IV.  Transition Period:</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ind w:left="100" w:right="141" w:hanging="0"/>
              <w:jc w:val="both"/>
              <w:rPr>
                <w:rFonts w:ascii="Times New Roman" w:hAnsi="Times New Roman"/>
                <w:sz w:val="20"/>
              </w:rPr>
            </w:pPr>
            <w:r>
              <w:rPr>
                <w:rFonts w:ascii="Times New Roman" w:hAnsi="Times New Roman"/>
                <w:sz w:val="20"/>
              </w:rPr>
            </w:r>
          </w:p>
          <w:p>
            <w:pPr>
              <w:pStyle w:val="TableContents"/>
              <w:bidi w:val="0"/>
              <w:spacing w:before="0" w:after="0"/>
              <w:ind w:left="100" w:right="141" w:hanging="0"/>
              <w:jc w:val="both"/>
              <w:rPr>
                <w:rFonts w:ascii="Times New Roman" w:hAnsi="Times New Roman"/>
                <w:sz w:val="20"/>
              </w:rPr>
            </w:pPr>
            <w:r>
              <w:rPr>
                <w:rFonts w:ascii="Times New Roman" w:hAnsi="Times New Roman"/>
                <w:sz w:val="20"/>
              </w:rPr>
              <w:t>The Services will be implemented during a transition period (“</w:t>
            </w:r>
            <w:r>
              <w:rPr>
                <w:rFonts w:ascii="Times New Roman" w:hAnsi="Times New Roman"/>
                <w:b/>
                <w:sz w:val="20"/>
              </w:rPr>
              <w:t>Transition Period</w:t>
            </w:r>
            <w:r>
              <w:rPr>
                <w:rFonts w:ascii="Times New Roman" w:hAnsi="Times New Roman"/>
                <w:sz w:val="20"/>
              </w:rPr>
              <w:t>”), which will commence on the Effective Date and the Transition Period will conclude on the date when the conditions described below have been achieved (the “</w:t>
            </w:r>
            <w:r>
              <w:rPr>
                <w:rFonts w:ascii="Times New Roman" w:hAnsi="Times New Roman"/>
                <w:b/>
                <w:sz w:val="20"/>
              </w:rPr>
              <w:t>Transition Period End Date</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ind w:left="100" w:right="141" w:hanging="0"/>
              <w:jc w:val="left"/>
              <w:rPr/>
            </w:pPr>
            <w:r>
              <w:rPr>
                <w:rFonts w:ascii="Times New Roman" w:hAnsi="Times New Roman"/>
                <w:sz w:val="20"/>
              </w:rPr>
              <w:t>A.</w:t>
            </w:r>
            <w:r>
              <w:rPr/>
              <w:t>          </w:t>
            </w:r>
            <w:r>
              <w:rPr>
                <w:rFonts w:ascii="Times New Roman" w:hAnsi="Times New Roman"/>
                <w:b/>
                <w:sz w:val="20"/>
              </w:rPr>
              <w:t>Placements/Audience Segment</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ind w:left="100" w:right="141" w:hanging="0"/>
              <w:jc w:val="left"/>
              <w:rPr/>
            </w:pPr>
            <w:r>
              <w:rPr>
                <w:rFonts w:ascii="Times New Roman" w:hAnsi="Times New Roman"/>
                <w:sz w:val="20"/>
              </w:rPr>
              <w:t>(i)</w:t>
            </w:r>
            <w:r>
              <w:rPr/>
              <w:t>          </w:t>
            </w:r>
            <w:r>
              <w:rPr>
                <w:rFonts w:ascii="Times New Roman" w:hAnsi="Times New Roman"/>
                <w:sz w:val="20"/>
              </w:rPr>
              <w:t xml:space="preserve">Completion of the JavaScript Implementation Period (as defined below) [***] </w:t>
            </w:r>
          </w:p>
          <w:p>
            <w:pPr>
              <w:pStyle w:val="TableContents"/>
              <w:bidi w:val="0"/>
              <w:spacing w:before="0" w:after="0"/>
              <w:ind w:left="100" w:right="141" w:hanging="0"/>
              <w:jc w:val="left"/>
              <w:rPr/>
            </w:pPr>
            <w:r>
              <w:rPr>
                <w:rFonts w:ascii="Times New Roman" w:hAnsi="Times New Roman"/>
                <w:sz w:val="20"/>
              </w:rPr>
              <w:t>(ii)</w:t>
            </w:r>
            <w:r>
              <w:rPr/>
              <w:t>          </w:t>
            </w:r>
            <w:r>
              <w:rPr>
                <w:rFonts w:ascii="Times New Roman" w:hAnsi="Times New Roman"/>
                <w:sz w:val="20"/>
              </w:rPr>
              <w:t>[***]; and [***].</w:t>
            </w:r>
          </w:p>
          <w:p>
            <w:pPr>
              <w:pStyle w:val="TableContents"/>
              <w:bidi w:val="0"/>
              <w:spacing w:before="0" w:after="0"/>
              <w:jc w:val="left"/>
              <w:rPr/>
            </w:pPr>
            <w:r>
              <w:rPr/>
              <w:t> </w:t>
            </w:r>
          </w:p>
          <w:p>
            <w:pPr>
              <w:pStyle w:val="TableContents"/>
              <w:bidi w:val="0"/>
              <w:spacing w:before="0" w:after="0"/>
              <w:ind w:left="100" w:right="141" w:hanging="0"/>
              <w:jc w:val="left"/>
              <w:rPr/>
            </w:pPr>
            <w:r>
              <w:rPr>
                <w:rFonts w:ascii="Times New Roman" w:hAnsi="Times New Roman"/>
                <w:sz w:val="20"/>
              </w:rPr>
              <w:t>B.</w:t>
            </w:r>
            <w:r>
              <w:rPr/>
              <w:t>          </w:t>
            </w:r>
            <w:r>
              <w:rPr>
                <w:rFonts w:ascii="Times New Roman" w:hAnsi="Times New Roman"/>
                <w:b/>
                <w:sz w:val="20"/>
              </w:rPr>
              <w:t>Demand Services</w:t>
            </w:r>
            <w:r>
              <w:rPr>
                <w:rFonts w:ascii="Times New Roman" w:hAnsi="Times New Roman"/>
                <w:sz w:val="20"/>
              </w:rPr>
              <w:t>: Company will [***] to transition Native API and Native Only Advertisers to Taboola (as further described in Section X) [***], more specifically:</w:t>
            </w:r>
          </w:p>
          <w:p>
            <w:pPr>
              <w:pStyle w:val="TableContents"/>
              <w:bidi w:val="0"/>
              <w:spacing w:before="0" w:after="0"/>
              <w:jc w:val="left"/>
              <w:rPr/>
            </w:pPr>
            <w:r>
              <w:rPr/>
              <w:t> </w:t>
            </w:r>
          </w:p>
          <w:p>
            <w:pPr>
              <w:pStyle w:val="TableContents"/>
              <w:bidi w:val="0"/>
              <w:spacing w:before="0" w:after="0"/>
              <w:ind w:left="100" w:right="141" w:hanging="0"/>
              <w:jc w:val="left"/>
              <w:rPr/>
            </w:pPr>
            <w:r>
              <w:rPr>
                <w:rFonts w:ascii="Times New Roman" w:hAnsi="Times New Roman"/>
                <w:sz w:val="20"/>
              </w:rPr>
              <w:t>(i)</w:t>
            </w:r>
            <w:r>
              <w:rPr/>
              <w:t>          </w:t>
            </w:r>
            <w:r>
              <w:rPr>
                <w:rFonts w:ascii="Times New Roman" w:hAnsi="Times New Roman"/>
                <w:sz w:val="20"/>
              </w:rPr>
              <w:t>Native API Advertisers and Native Only Advertisers will be transferred to Taboola (where reasonably possible); and</w:t>
            </w:r>
          </w:p>
          <w:p>
            <w:pPr>
              <w:pStyle w:val="TableContents"/>
              <w:bidi w:val="0"/>
              <w:spacing w:before="0" w:after="0"/>
              <w:ind w:left="100" w:right="141" w:hanging="0"/>
              <w:jc w:val="left"/>
              <w:rPr/>
            </w:pPr>
            <w:r>
              <w:rPr>
                <w:rFonts w:ascii="Times New Roman" w:hAnsi="Times New Roman"/>
                <w:sz w:val="20"/>
              </w:rPr>
              <w:t>(ii)</w:t>
            </w:r>
            <w:r>
              <w:rPr/>
              <w:t>          </w:t>
            </w:r>
            <w:r>
              <w:rPr>
                <w:rFonts w:ascii="Times New Roman" w:hAnsi="Times New Roman"/>
                <w:sz w:val="20"/>
              </w:rPr>
              <w:t>Omnichannel Advertisers can use the UCAM/Taboola Interface to buy Native Advertisement inventory.</w:t>
            </w:r>
          </w:p>
          <w:p>
            <w:pPr>
              <w:pStyle w:val="TableContents"/>
              <w:bidi w:val="0"/>
              <w:spacing w:before="0" w:after="0"/>
              <w:jc w:val="left"/>
              <w:rPr/>
            </w:pPr>
            <w:r>
              <w:rPr/>
              <w:t> </w:t>
            </w:r>
          </w:p>
          <w:p>
            <w:pPr>
              <w:pStyle w:val="TableContents"/>
              <w:bidi w:val="0"/>
              <w:spacing w:before="0" w:after="0"/>
              <w:ind w:left="100" w:right="141" w:hanging="0"/>
              <w:jc w:val="left"/>
              <w:rPr/>
            </w:pPr>
            <w:r>
              <w:rPr>
                <w:rFonts w:ascii="Times New Roman" w:hAnsi="Times New Roman"/>
                <w:sz w:val="20"/>
              </w:rPr>
              <w:t>C.</w:t>
            </w:r>
            <w:r>
              <w:rPr/>
              <w:t>          </w:t>
            </w:r>
            <w:r>
              <w:rPr>
                <w:rFonts w:ascii="Times New Roman" w:hAnsi="Times New Roman"/>
                <w:b/>
                <w:sz w:val="20"/>
              </w:rPr>
              <w:t>Technical Integration Plan</w:t>
            </w:r>
            <w:r>
              <w:rPr>
                <w:rFonts w:ascii="Times New Roman" w:hAnsi="Times New Roman"/>
                <w:sz w:val="20"/>
              </w:rPr>
              <w:t>: Completion of Phase(s) 0 through 2 of the Technical Integration Plan attached hereto as Appendix B or a mutually agreed upon threshold for migrated Company Advertisers to be defined within Phase 2.</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6" w:name="z9c44381966e24b9d906f21d04db78605"/>
      <w:bookmarkStart w:id="47" w:name="z9c44381966e24b9d906f21d04db78605"/>
      <w:bookmarkEnd w:id="47"/>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ind w:left="0" w:right="197" w:hanging="0"/>
              <w:jc w:val="both"/>
              <w:rPr>
                <w:rFonts w:ascii="Times New Roman" w:hAnsi="Times New Roman"/>
                <w:b/>
                <w:sz w:val="20"/>
              </w:rPr>
            </w:pPr>
            <w:r>
              <w:rPr>
                <w:rFonts w:ascii="Times New Roman" w:hAnsi="Times New Roman"/>
                <w:b/>
                <w:sz w:val="20"/>
              </w:rPr>
              <w:t>V.  Placements Screenshots &amp; Placement Groups:</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left"/>
              <w:rPr/>
            </w:pPr>
            <w:r>
              <w:rPr/>
              <w:t> </w:t>
            </w:r>
          </w:p>
          <w:p>
            <w:pPr>
              <w:pStyle w:val="TableContents"/>
              <w:bidi w:val="0"/>
              <w:spacing w:before="0" w:after="0"/>
              <w:ind w:left="720" w:right="197" w:hanging="360"/>
              <w:jc w:val="both"/>
              <w:rPr/>
            </w:pPr>
            <w:r>
              <w:rPr>
                <w:rFonts w:ascii="Times New Roman" w:hAnsi="Times New Roman"/>
                <w:sz w:val="20"/>
              </w:rPr>
              <w:t>A.</w:t>
            </w:r>
            <w:r>
              <w:rPr/>
              <w:t xml:space="preserve">  </w:t>
            </w:r>
            <w:r>
              <w:rPr>
                <w:rFonts w:ascii="Times New Roman" w:hAnsi="Times New Roman"/>
                <w:sz w:val="20"/>
              </w:rPr>
              <w:t>Attached hereto as Appendix C are Native Advertisement format screenshots that illustrate the Native Advertising placements of specific Native Advertisement format categories [***] on the Properties in which Taboola will serve Recommendations and implement the Platform (collectively, the “</w:t>
            </w:r>
            <w:r>
              <w:rPr>
                <w:rFonts w:ascii="Times New Roman" w:hAnsi="Times New Roman"/>
                <w:b/>
                <w:sz w:val="20"/>
              </w:rPr>
              <w:t>Placements</w:t>
            </w:r>
            <w:r>
              <w:rPr>
                <w:rFonts w:ascii="Times New Roman" w:hAnsi="Times New Roman"/>
                <w:sz w:val="20"/>
              </w:rPr>
              <w:t>''). [***]. [***].  The Placements shall be comprised of: [***].</w:t>
            </w:r>
          </w:p>
          <w:p>
            <w:pPr>
              <w:pStyle w:val="TableContents"/>
              <w:bidi w:val="0"/>
              <w:spacing w:before="0" w:after="0"/>
              <w:jc w:val="left"/>
              <w:rPr/>
            </w:pPr>
            <w:r>
              <w:rPr/>
              <w:t> </w:t>
            </w:r>
          </w:p>
          <w:p>
            <w:pPr>
              <w:pStyle w:val="TableContents"/>
              <w:bidi w:val="0"/>
              <w:spacing w:before="0" w:after="0"/>
              <w:ind w:left="720" w:right="197" w:hanging="360"/>
              <w:jc w:val="both"/>
              <w:rPr/>
            </w:pPr>
            <w:r>
              <w:rPr>
                <w:rFonts w:ascii="Times New Roman" w:hAnsi="Times New Roman"/>
                <w:sz w:val="20"/>
              </w:rPr>
              <w:t>B.</w:t>
            </w:r>
            <w:r>
              <w:rPr/>
              <w:t xml:space="preserve">  </w:t>
            </w:r>
            <w:r>
              <w:rPr>
                <w:rFonts w:ascii="Times New Roman" w:hAnsi="Times New Roman"/>
                <w:sz w:val="20"/>
              </w:rPr>
              <w:t>Company has grouped such Placements [***], and each such group of Placements shall be defined as a “</w:t>
            </w:r>
            <w:r>
              <w:rPr>
                <w:rFonts w:ascii="Times New Roman" w:hAnsi="Times New Roman"/>
                <w:b/>
                <w:sz w:val="20"/>
              </w:rPr>
              <w:t>Placement Group</w:t>
            </w:r>
            <w:r>
              <w:rPr>
                <w:rFonts w:ascii="Times New Roman" w:hAnsi="Times New Roman"/>
                <w:sz w:val="20"/>
              </w:rPr>
              <w:t>” and collectively, “</w:t>
            </w:r>
            <w:r>
              <w:rPr>
                <w:rFonts w:ascii="Times New Roman" w:hAnsi="Times New Roman"/>
                <w:b/>
                <w:sz w:val="20"/>
              </w:rPr>
              <w:t>Placement Groups</w:t>
            </w:r>
            <w:r>
              <w:rPr>
                <w:rFonts w:ascii="Times New Roman" w:hAnsi="Times New Roman"/>
                <w:sz w:val="20"/>
              </w:rPr>
              <w:t>.” [***].</w:t>
            </w:r>
          </w:p>
          <w:p>
            <w:pPr>
              <w:pStyle w:val="TableContents"/>
              <w:bidi w:val="0"/>
              <w:spacing w:before="0" w:after="0"/>
              <w:jc w:val="left"/>
              <w:rPr/>
            </w:pPr>
            <w:r>
              <w:rPr/>
              <w:t> </w:t>
            </w:r>
          </w:p>
          <w:p>
            <w:pPr>
              <w:pStyle w:val="TableContents"/>
              <w:bidi w:val="0"/>
              <w:spacing w:before="0" w:after="0"/>
              <w:ind w:left="720" w:right="197" w:hanging="360"/>
              <w:jc w:val="both"/>
              <w:rPr/>
            </w:pPr>
            <w:r>
              <w:rPr>
                <w:rFonts w:ascii="Times New Roman" w:hAnsi="Times New Roman"/>
                <w:sz w:val="20"/>
              </w:rPr>
              <w:t>C.</w:t>
            </w:r>
            <w:r>
              <w:rPr/>
              <w:t xml:space="preserve">  </w:t>
            </w:r>
            <w:r>
              <w:rPr>
                <w:rFonts w:ascii="Times New Roman" w:hAnsi="Times New Roman"/>
                <w:sz w:val="20"/>
              </w:rPr>
              <w:t>Unless otherwise mutually agreed upon by the Parties, the Parties will review and evaluate the structure and composition of the Placement Groups at the same time the Baseline is set each year. [***].</w:t>
            </w:r>
          </w:p>
          <w:p>
            <w:pPr>
              <w:pStyle w:val="TableContents"/>
              <w:bidi w:val="0"/>
              <w:spacing w:before="0" w:after="0"/>
              <w:jc w:val="left"/>
              <w:rPr/>
            </w:pPr>
            <w:r>
              <w:rPr/>
              <w:t> </w:t>
            </w:r>
          </w:p>
          <w:p>
            <w:pPr>
              <w:pStyle w:val="TableContents"/>
              <w:bidi w:val="0"/>
              <w:spacing w:before="0" w:after="0"/>
              <w:ind w:left="720" w:right="197" w:hanging="360"/>
              <w:jc w:val="both"/>
              <w:rPr/>
            </w:pPr>
            <w:r>
              <w:rPr>
                <w:rFonts w:ascii="Times New Roman" w:hAnsi="Times New Roman"/>
                <w:sz w:val="20"/>
              </w:rPr>
              <w:t>D.</w:t>
            </w:r>
            <w:r>
              <w:rPr/>
              <w:t xml:space="preserve">   </w:t>
            </w:r>
            <w:r>
              <w:rPr>
                <w:rFonts w:ascii="Times New Roman" w:hAnsi="Times New Roman"/>
                <w:sz w:val="20"/>
              </w:rPr>
              <w:t>In some instances, certain Placements will not merit their own Placement Group due to characteristics that do not align or perform similarly with any other Placement Groups.  The Parties will group these “miscellaneous” Placements together (the “</w:t>
            </w:r>
            <w:r>
              <w:rPr>
                <w:rFonts w:ascii="Times New Roman" w:hAnsi="Times New Roman"/>
                <w:b/>
                <w:sz w:val="20"/>
              </w:rPr>
              <w:t>Miscellaneous Placement Group</w:t>
            </w:r>
            <w:r>
              <w:rPr>
                <w:rFonts w:ascii="Times New Roman" w:hAnsi="Times New Roman"/>
                <w:sz w:val="20"/>
              </w:rPr>
              <w:t>”). [***].</w:t>
            </w:r>
          </w:p>
          <w:p>
            <w:pPr>
              <w:pStyle w:val="TableContents"/>
              <w:bidi w:val="0"/>
              <w:spacing w:before="0" w:after="0"/>
              <w:jc w:val="left"/>
              <w:rPr/>
            </w:pPr>
            <w:r>
              <w:rPr/>
              <w:t> </w:t>
            </w:r>
          </w:p>
          <w:p>
            <w:pPr>
              <w:pStyle w:val="TableContents"/>
              <w:bidi w:val="0"/>
              <w:spacing w:before="0" w:after="0"/>
              <w:ind w:left="720" w:right="197" w:hanging="360"/>
              <w:jc w:val="both"/>
              <w:rPr/>
            </w:pPr>
            <w:r>
              <w:rPr>
                <w:rFonts w:ascii="Times New Roman" w:hAnsi="Times New Roman"/>
                <w:sz w:val="20"/>
              </w:rPr>
              <w:t>E.</w:t>
            </w:r>
            <w:r>
              <w:rPr/>
              <w:t xml:space="preserve">   </w:t>
            </w:r>
            <w:r>
              <w:rPr>
                <w:rFonts w:ascii="Times New Roman" w:hAnsi="Times New Roman"/>
                <w:sz w:val="20"/>
              </w:rPr>
              <w:t>Between the Effective Date and ninety (90) days after the Transition Period End Date, Company will ensure that the volume of the Viewable Impressions generated by each Placement Group does not decline by more than [***].</w:t>
            </w:r>
          </w:p>
          <w:p>
            <w:pPr>
              <w:pStyle w:val="TableContents"/>
              <w:bidi w:val="0"/>
              <w:spacing w:before="0" w:after="0"/>
              <w:jc w:val="left"/>
              <w:rPr/>
            </w:pPr>
            <w:r>
              <w:rPr/>
              <w:t> </w:t>
            </w:r>
          </w:p>
          <w:p>
            <w:pPr>
              <w:pStyle w:val="TableContents"/>
              <w:bidi w:val="0"/>
              <w:spacing w:before="0" w:after="0"/>
              <w:ind w:left="720" w:right="197" w:hanging="360"/>
              <w:jc w:val="both"/>
              <w:rPr/>
            </w:pPr>
            <w:r>
              <w:rPr>
                <w:rFonts w:ascii="Times New Roman" w:hAnsi="Times New Roman"/>
                <w:sz w:val="20"/>
              </w:rPr>
              <w:t>F.</w:t>
            </w:r>
            <w:r>
              <w:rPr/>
              <w:t xml:space="preserve">     </w:t>
            </w:r>
            <w:r>
              <w:rPr>
                <w:rFonts w:ascii="Times New Roman" w:hAnsi="Times New Roman"/>
                <w:sz w:val="20"/>
              </w:rPr>
              <w:t>[***] after the Transition Period End Date, [***].  [***] (i) [***]; or (ii) [***].</w:t>
            </w:r>
          </w:p>
          <w:p>
            <w:pPr>
              <w:pStyle w:val="TableContents"/>
              <w:bidi w:val="0"/>
              <w:spacing w:before="0" w:after="0"/>
              <w:ind w:left="720" w:right="197" w:hanging="360"/>
              <w:jc w:val="both"/>
              <w:rPr>
                <w:rFonts w:ascii="Times New Roman" w:hAnsi="Times New Roman"/>
                <w:sz w:val="20"/>
              </w:rPr>
            </w:pPr>
            <w:r>
              <w:rPr>
                <w:rFonts w:ascii="Times New Roman" w:hAnsi="Times New Roman"/>
                <w:sz w:val="20"/>
              </w:rPr>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 w:name="za0f2ae238b27450f9b249ac0fc38feaf"/>
      <w:bookmarkStart w:id="49" w:name="za0f2ae238b27450f9b249ac0fc38feaf"/>
      <w:bookmarkEnd w:id="49"/>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ind w:left="124" w:right="0" w:hanging="0"/>
              <w:jc w:val="both"/>
              <w:rPr>
                <w:rFonts w:ascii="Times New Roman" w:hAnsi="Times New Roman"/>
                <w:b/>
                <w:sz w:val="20"/>
              </w:rPr>
            </w:pPr>
            <w:r>
              <w:rPr>
                <w:rFonts w:ascii="Times New Roman" w:hAnsi="Times New Roman"/>
                <w:b/>
                <w:sz w:val="20"/>
              </w:rPr>
              <w:t>VI. The Platform:</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ind w:left="122" w:right="203" w:hanging="0"/>
              <w:jc w:val="both"/>
              <w:rPr>
                <w:rFonts w:ascii="Times New Roman" w:hAnsi="Times New Roman"/>
                <w:sz w:val="20"/>
              </w:rPr>
            </w:pPr>
            <w:r>
              <w:rPr>
                <w:rFonts w:ascii="Times New Roman" w:hAnsi="Times New Roman"/>
                <w:sz w:val="20"/>
              </w:rPr>
            </w:r>
          </w:p>
          <w:p>
            <w:pPr>
              <w:pStyle w:val="TableContents"/>
              <w:bidi w:val="0"/>
              <w:spacing w:before="0" w:after="0"/>
              <w:ind w:left="122" w:right="203" w:hanging="0"/>
              <w:jc w:val="both"/>
              <w:rPr>
                <w:rFonts w:ascii="Times New Roman" w:hAnsi="Times New Roman"/>
                <w:sz w:val="20"/>
              </w:rPr>
            </w:pPr>
            <w:r>
              <w:rPr>
                <w:rFonts w:ascii="Times New Roman" w:hAnsi="Times New Roman"/>
                <w:sz w:val="20"/>
              </w:rPr>
              <w:t>Subject to the prior written approval of Company (email shall be sufficient) (on a per Placement basis), the Platform will be displayed in the Placements and will consist of one (1) or more of the following components: (a) one (1) or more units for Native Advertisements that consist of a thumbnail image, text, or both that link to Recommendations (the “</w:t>
            </w:r>
            <w:r>
              <w:rPr>
                <w:rFonts w:ascii="Times New Roman" w:hAnsi="Times New Roman"/>
                <w:b/>
                <w:sz w:val="20"/>
              </w:rPr>
              <w:t>Widget</w:t>
            </w:r>
            <w:r>
              <w:rPr>
                <w:rFonts w:ascii="Times New Roman" w:hAnsi="Times New Roman"/>
                <w:sz w:val="20"/>
              </w:rPr>
              <w:t>”); (b) various cards displayed in either rows,  thumbnails, or units displaying Recommendations (collectively, the “</w:t>
            </w:r>
            <w:r>
              <w:rPr>
                <w:rFonts w:ascii="Times New Roman" w:hAnsi="Times New Roman"/>
                <w:b/>
                <w:sz w:val="20"/>
              </w:rPr>
              <w:t>Content Cards</w:t>
            </w:r>
            <w:r>
              <w:rPr>
                <w:rFonts w:ascii="Times New Roman" w:hAnsi="Times New Roman"/>
                <w:sz w:val="20"/>
              </w:rPr>
              <w:t>”), which Taboola will (i) reasonably select in a manner to best optimize performance and personalize the Visitor experience and (ii) present in a continuously scrolling feed (the “</w:t>
            </w:r>
            <w:r>
              <w:rPr>
                <w:rFonts w:ascii="Times New Roman" w:hAnsi="Times New Roman"/>
                <w:b/>
                <w:sz w:val="20"/>
              </w:rPr>
              <w:t>Feed</w:t>
            </w:r>
            <w:r>
              <w:rPr>
                <w:rFonts w:ascii="Times New Roman" w:hAnsi="Times New Roman"/>
                <w:sz w:val="20"/>
              </w:rPr>
              <w:t>”) [***] and (c) any new components added to a Widget, Content Card or Feed or any new formats or elements that Taboola may develop in the future. Any changes to existing components of a format with the Platform (e.g., size, font, color, location of elements) do not require Company approval.</w:t>
            </w:r>
          </w:p>
          <w:p>
            <w:pPr>
              <w:pStyle w:val="TableContents"/>
              <w:bidi w:val="0"/>
              <w:spacing w:before="0" w:after="0"/>
              <w:ind w:left="122" w:right="203" w:hanging="0"/>
              <w:jc w:val="both"/>
              <w:rPr>
                <w:rFonts w:ascii="Times New Roman" w:hAnsi="Times New Roman"/>
                <w:sz w:val="20"/>
                <w:szCs w:val="20"/>
              </w:rPr>
            </w:pPr>
            <w:r>
              <w:rPr>
                <w:rFonts w:ascii="Times New Roman" w:hAnsi="Times New Roman"/>
                <w:sz w:val="20"/>
                <w:szCs w:val="20"/>
              </w:rPr>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0" w:name="z96ba21363cea4ad5a356d76626dc62dd"/>
      <w:bookmarkStart w:id="51" w:name="z96ba21363cea4ad5a356d76626dc62dd"/>
      <w:bookmarkEnd w:id="51"/>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ind w:left="124" w:right="0" w:hanging="0"/>
              <w:jc w:val="both"/>
              <w:rPr>
                <w:rFonts w:ascii="Times New Roman" w:hAnsi="Times New Roman"/>
                <w:b/>
                <w:sz w:val="20"/>
              </w:rPr>
            </w:pPr>
            <w:r>
              <w:rPr>
                <w:rFonts w:ascii="Times New Roman" w:hAnsi="Times New Roman"/>
                <w:b/>
                <w:sz w:val="20"/>
              </w:rPr>
              <w:t>VII.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ind w:left="360" w:right="0" w:hanging="0"/>
              <w:jc w:val="both"/>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 Definition. </w:t>
            </w:r>
            <w:r>
              <w:rPr>
                <w:rFonts w:ascii="Times New Roman" w:hAnsi="Times New Roman"/>
                <w:sz w:val="20"/>
              </w:rPr>
              <w:t>[***]</w:t>
            </w:r>
          </w:p>
          <w:p>
            <w:pPr>
              <w:pStyle w:val="TableContents"/>
              <w:bidi w:val="0"/>
              <w:spacing w:before="0" w:after="0"/>
              <w:ind w:left="20" w:right="0" w:hanging="0"/>
              <w:jc w:val="both"/>
              <w:rPr/>
            </w:pPr>
            <w:r>
              <w:rPr/>
              <w:t> </w:t>
            </w:r>
          </w:p>
          <w:p>
            <w:pPr>
              <w:pStyle w:val="TableContents"/>
              <w:bidi w:val="0"/>
              <w:spacing w:before="0" w:after="0"/>
              <w:ind w:left="360" w:right="0" w:hanging="0"/>
              <w:jc w:val="both"/>
              <w:rPr>
                <w:rFonts w:ascii="Times New Roman" w:hAnsi="Times New Roman"/>
                <w:sz w:val="20"/>
              </w:rPr>
            </w:pPr>
            <w:r>
              <w:rPr>
                <w:rFonts w:ascii="Times New Roman" w:hAnsi="Times New Roman"/>
                <w:sz w:val="20"/>
              </w:rPr>
              <w:t xml:space="preserve">B.     </w:t>
            </w:r>
            <w:r>
              <w:rPr>
                <w:rFonts w:ascii="Times New Roman" w:hAnsi="Times New Roman"/>
                <w:b/>
                <w:sz w:val="20"/>
              </w:rPr>
              <w:t>[</w:t>
            </w:r>
            <w:r>
              <w:rPr>
                <w:rFonts w:ascii="Times New Roman" w:hAnsi="Times New Roman"/>
                <w:sz w:val="20"/>
              </w:rPr>
              <w:t>***]</w:t>
            </w:r>
          </w:p>
          <w:p>
            <w:pPr>
              <w:pStyle w:val="TableContents"/>
              <w:bidi w:val="0"/>
              <w:spacing w:before="0" w:after="0"/>
              <w:jc w:val="both"/>
              <w:rPr/>
            </w:pPr>
            <w:r>
              <w:rPr/>
              <w:t> </w:t>
            </w:r>
          </w:p>
          <w:p>
            <w:pPr>
              <w:pStyle w:val="TableContents"/>
              <w:bidi w:val="0"/>
              <w:spacing w:before="0" w:after="0"/>
              <w:ind w:left="780" w:right="0" w:hanging="0"/>
              <w:jc w:val="both"/>
              <w:rPr>
                <w:rFonts w:ascii="Times New Roman" w:hAnsi="Times New Roman"/>
                <w:sz w:val="20"/>
              </w:rPr>
            </w:pPr>
            <w:r>
              <w:rPr>
                <w:rFonts w:ascii="Times New Roman" w:hAnsi="Times New Roman"/>
                <w:sz w:val="20"/>
              </w:rPr>
              <w:t>1.     Ninety (90) days after the Transition Period End Date (the “[***] Date”):</w:t>
            </w:r>
          </w:p>
          <w:p>
            <w:pPr>
              <w:pStyle w:val="TableContents"/>
              <w:bidi w:val="0"/>
              <w:spacing w:before="0" w:after="0"/>
              <w:ind w:left="1060" w:right="0" w:hanging="0"/>
              <w:jc w:val="both"/>
              <w:rPr/>
            </w:pPr>
            <w:r>
              <w:rPr/>
              <w:t> </w:t>
            </w:r>
          </w:p>
          <w:p>
            <w:pPr>
              <w:pStyle w:val="TableContents"/>
              <w:bidi w:val="0"/>
              <w:spacing w:before="0" w:after="0"/>
              <w:ind w:left="960" w:right="0" w:hanging="0"/>
              <w:jc w:val="both"/>
              <w:rPr>
                <w:rFonts w:ascii="Times New Roman" w:hAnsi="Times New Roman"/>
                <w:sz w:val="20"/>
              </w:rPr>
            </w:pPr>
            <w:r>
              <w:rPr>
                <w:rFonts w:ascii="Times New Roman" w:hAnsi="Times New Roman"/>
                <w:sz w:val="20"/>
              </w:rPr>
              <w:t>a.     The Parties will calculate: (i) the [***]; (ii) [***]; and (iii) [***] as follows:</w:t>
            </w:r>
          </w:p>
          <w:p>
            <w:pPr>
              <w:pStyle w:val="TableContents"/>
              <w:bidi w:val="0"/>
              <w:spacing w:before="0" w:after="0"/>
              <w:ind w:left="1520" w:right="0" w:hanging="0"/>
              <w:jc w:val="both"/>
              <w:rPr/>
            </w:pPr>
            <w:r>
              <w:rPr/>
              <w:t> </w:t>
            </w:r>
          </w:p>
          <w:p>
            <w:pPr>
              <w:pStyle w:val="TableContents"/>
              <w:bidi w:val="0"/>
              <w:spacing w:before="0" w:after="0"/>
              <w:ind w:left="2240" w:right="0" w:hanging="530"/>
              <w:jc w:val="both"/>
              <w:rPr/>
            </w:pPr>
            <w:r>
              <w:rPr/>
              <w:t>     </w:t>
            </w:r>
            <w:r>
              <w:rPr>
                <w:rFonts w:ascii="Times New Roman" w:hAnsi="Times New Roman"/>
                <w:sz w:val="20"/>
              </w:rPr>
              <w:t>i.         The Parties will calculate an [***] (the “[***]”). Appendix D hereto provides an example of how the [***] is calculated.</w:t>
            </w:r>
          </w:p>
          <w:p>
            <w:pPr>
              <w:pStyle w:val="TableContents"/>
              <w:bidi w:val="0"/>
              <w:spacing w:before="0" w:after="0"/>
              <w:ind w:left="1520" w:right="0" w:hanging="0"/>
              <w:jc w:val="both"/>
              <w:rPr/>
            </w:pPr>
            <w:r>
              <w:rPr/>
              <w:t> </w:t>
            </w:r>
          </w:p>
          <w:p>
            <w:pPr>
              <w:pStyle w:val="TableContents"/>
              <w:bidi w:val="0"/>
              <w:spacing w:before="0" w:after="0"/>
              <w:ind w:left="1755" w:right="0" w:hanging="0"/>
              <w:jc w:val="both"/>
              <w:rPr/>
            </w:pPr>
            <w:r>
              <w:rPr/>
              <w:t>    </w:t>
            </w:r>
            <w:r>
              <w:rPr>
                <w:rFonts w:ascii="Times New Roman" w:hAnsi="Times New Roman"/>
                <w:sz w:val="20"/>
              </w:rPr>
              <w:t>ii.        The Parties will compare the [***] described in subsection VII.C below (“[***]”).</w:t>
            </w:r>
          </w:p>
          <w:p>
            <w:pPr>
              <w:pStyle w:val="TableContents"/>
              <w:bidi w:val="0"/>
              <w:spacing w:before="0" w:after="0"/>
              <w:ind w:left="1520" w:right="0" w:hanging="0"/>
              <w:jc w:val="both"/>
              <w:rPr/>
            </w:pPr>
            <w:r>
              <w:rPr/>
              <w:t> </w:t>
            </w:r>
          </w:p>
          <w:p>
            <w:pPr>
              <w:pStyle w:val="TableContents"/>
              <w:bidi w:val="0"/>
              <w:spacing w:before="0" w:after="0"/>
              <w:ind w:left="980" w:right="0" w:hanging="0"/>
              <w:jc w:val="both"/>
              <w:rPr>
                <w:rFonts w:ascii="Times New Roman" w:hAnsi="Times New Roman"/>
                <w:sz w:val="20"/>
              </w:rPr>
            </w:pPr>
            <w:r>
              <w:rPr>
                <w:rFonts w:ascii="Times New Roman" w:hAnsi="Times New Roman"/>
                <w:sz w:val="20"/>
              </w:rPr>
              <w:t>b.     [***].</w:t>
            </w:r>
          </w:p>
          <w:p>
            <w:pPr>
              <w:pStyle w:val="TableContents"/>
              <w:bidi w:val="0"/>
              <w:spacing w:before="0" w:after="0"/>
              <w:jc w:val="both"/>
              <w:rPr/>
            </w:pPr>
            <w:r>
              <w:rPr/>
              <w:t> </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C.    [***]. For the purpose of calculating the [***] as described below, [***].</w:t>
            </w:r>
          </w:p>
          <w:p>
            <w:pPr>
              <w:pStyle w:val="TableContents"/>
              <w:bidi w:val="0"/>
              <w:spacing w:before="0" w:after="0"/>
              <w:jc w:val="left"/>
              <w:rPr/>
            </w:pPr>
            <w:r>
              <w:rPr/>
              <w:t> </w:t>
            </w:r>
          </w:p>
          <w:p>
            <w:pPr>
              <w:pStyle w:val="TableContents"/>
              <w:bidi w:val="0"/>
              <w:spacing w:before="0" w:after="0"/>
              <w:ind w:left="800" w:right="0" w:hanging="0"/>
              <w:jc w:val="both"/>
              <w:rPr>
                <w:rFonts w:ascii="Times New Roman" w:hAnsi="Times New Roman"/>
                <w:sz w:val="20"/>
              </w:rPr>
            </w:pPr>
            <w:r>
              <w:rPr>
                <w:rFonts w:ascii="Times New Roman" w:hAnsi="Times New Roman"/>
                <w:sz w:val="20"/>
              </w:rPr>
              <w:t>1.     [***].</w:t>
            </w:r>
          </w:p>
          <w:p>
            <w:pPr>
              <w:pStyle w:val="TableContents"/>
              <w:bidi w:val="0"/>
              <w:spacing w:before="0" w:after="0"/>
              <w:jc w:val="both"/>
              <w:rPr/>
            </w:pPr>
            <w:r>
              <w:rPr/>
              <w:t> </w:t>
            </w:r>
          </w:p>
          <w:p>
            <w:pPr>
              <w:pStyle w:val="TableContents"/>
              <w:bidi w:val="0"/>
              <w:spacing w:before="0" w:after="0"/>
              <w:ind w:left="980" w:right="0" w:hanging="0"/>
              <w:jc w:val="both"/>
              <w:rPr>
                <w:rFonts w:ascii="Times New Roman" w:hAnsi="Times New Roman"/>
                <w:sz w:val="20"/>
              </w:rPr>
            </w:pPr>
            <w:r>
              <w:rPr>
                <w:rFonts w:ascii="Times New Roman" w:hAnsi="Times New Roman"/>
                <w:sz w:val="20"/>
              </w:rPr>
              <w:t xml:space="preserve">a.     </w:t>
            </w:r>
            <w:r>
              <w:rPr>
                <w:rFonts w:ascii="Times New Roman" w:hAnsi="Times New Roman"/>
                <w:i/>
                <w:sz w:val="20"/>
              </w:rPr>
              <w:t>For example</w:t>
            </w:r>
            <w:r>
              <w:rPr>
                <w:rFonts w:ascii="Times New Roman" w:hAnsi="Times New Roman"/>
                <w:sz w:val="20"/>
              </w:rPr>
              <w:t>, [***].</w:t>
            </w:r>
          </w:p>
          <w:p>
            <w:pPr>
              <w:pStyle w:val="TableContents"/>
              <w:bidi w:val="0"/>
              <w:spacing w:before="0" w:after="0"/>
              <w:ind w:left="980" w:right="0" w:hanging="0"/>
              <w:jc w:val="both"/>
              <w:rPr/>
            </w:pPr>
            <w:r>
              <w:rPr/>
              <w:t> </w:t>
            </w:r>
          </w:p>
          <w:p>
            <w:pPr>
              <w:pStyle w:val="TableContents"/>
              <w:bidi w:val="0"/>
              <w:spacing w:before="0" w:after="0"/>
              <w:ind w:left="980" w:right="0" w:hanging="0"/>
              <w:jc w:val="both"/>
              <w:rPr>
                <w:rFonts w:ascii="Times New Roman" w:hAnsi="Times New Roman"/>
                <w:sz w:val="20"/>
              </w:rPr>
            </w:pPr>
            <w:r>
              <w:rPr>
                <w:rFonts w:ascii="Times New Roman" w:hAnsi="Times New Roman"/>
                <w:sz w:val="20"/>
              </w:rPr>
              <w:t xml:space="preserve">b.     </w:t>
            </w:r>
            <w:r>
              <w:rPr>
                <w:rFonts w:ascii="Times New Roman" w:hAnsi="Times New Roman"/>
                <w:i/>
                <w:sz w:val="20"/>
              </w:rPr>
              <w:t>For example</w:t>
            </w:r>
            <w:r>
              <w:rPr>
                <w:rFonts w:ascii="Times New Roman" w:hAnsi="Times New Roman"/>
                <w:sz w:val="20"/>
              </w:rPr>
              <w:t>, [***].</w:t>
            </w:r>
          </w:p>
          <w:p>
            <w:pPr>
              <w:pStyle w:val="TableContents"/>
              <w:bidi w:val="0"/>
              <w:spacing w:before="0" w:after="0"/>
              <w:ind w:left="980" w:right="0" w:hanging="0"/>
              <w:jc w:val="both"/>
              <w:rPr/>
            </w:pPr>
            <w:r>
              <w:rPr/>
              <w:t> </w:t>
            </w:r>
          </w:p>
          <w:p>
            <w:pPr>
              <w:pStyle w:val="TableContents"/>
              <w:bidi w:val="0"/>
              <w:spacing w:before="0" w:after="0"/>
              <w:ind w:left="980" w:right="0" w:hanging="0"/>
              <w:jc w:val="both"/>
              <w:rPr>
                <w:rFonts w:ascii="Times New Roman" w:hAnsi="Times New Roman"/>
                <w:sz w:val="20"/>
              </w:rPr>
            </w:pPr>
            <w:r>
              <w:rPr>
                <w:rFonts w:ascii="Times New Roman" w:hAnsi="Times New Roman"/>
                <w:sz w:val="20"/>
              </w:rPr>
              <w:t xml:space="preserve">c.      </w:t>
            </w:r>
            <w:r>
              <w:rPr>
                <w:rFonts w:ascii="Times New Roman" w:hAnsi="Times New Roman"/>
                <w:i/>
                <w:sz w:val="20"/>
              </w:rPr>
              <w:t>For example</w:t>
            </w:r>
            <w:r>
              <w:rPr>
                <w:rFonts w:ascii="Times New Roman" w:hAnsi="Times New Roman"/>
                <w:sz w:val="20"/>
              </w:rPr>
              <w:t>, [***].</w:t>
            </w:r>
          </w:p>
          <w:p>
            <w:pPr>
              <w:pStyle w:val="TableContents"/>
              <w:bidi w:val="0"/>
              <w:spacing w:before="0" w:after="0"/>
              <w:jc w:val="both"/>
              <w:rPr/>
            </w:pPr>
            <w:r>
              <w:rPr/>
              <w:t> </w:t>
            </w:r>
          </w:p>
          <w:p>
            <w:pPr>
              <w:pStyle w:val="TableContents"/>
              <w:bidi w:val="0"/>
              <w:spacing w:before="0" w:after="0"/>
              <w:ind w:left="800" w:right="0" w:hanging="0"/>
              <w:jc w:val="both"/>
              <w:rPr>
                <w:rFonts w:ascii="Times New Roman" w:hAnsi="Times New Roman"/>
                <w:sz w:val="20"/>
              </w:rPr>
            </w:pPr>
            <w:r>
              <w:rPr>
                <w:rFonts w:ascii="Times New Roman" w:hAnsi="Times New Roman"/>
                <w:sz w:val="20"/>
              </w:rPr>
              <w:t>2.     [***].</w:t>
            </w:r>
          </w:p>
          <w:p>
            <w:pPr>
              <w:pStyle w:val="TableContents"/>
              <w:bidi w:val="0"/>
              <w:spacing w:before="0" w:after="0"/>
              <w:ind w:left="800" w:right="0" w:hanging="0"/>
              <w:jc w:val="both"/>
              <w:rPr>
                <w:rFonts w:ascii="Times New Roman" w:hAnsi="Times New Roman"/>
                <w:sz w:val="20"/>
              </w:rPr>
            </w:pPr>
            <w:r>
              <w:rPr>
                <w:rFonts w:ascii="Times New Roman" w:hAnsi="Times New Roman"/>
                <w:sz w:val="20"/>
              </w:rPr>
            </w:r>
          </w:p>
          <w:p>
            <w:pPr>
              <w:pStyle w:val="TableContents"/>
              <w:bidi w:val="0"/>
              <w:spacing w:before="0" w:after="0"/>
              <w:ind w:left="800" w:right="0" w:hanging="0"/>
              <w:jc w:val="both"/>
              <w:rPr/>
            </w:pPr>
            <w:r>
              <w:rPr/>
              <w:t> </w:t>
            </w:r>
            <w:r>
              <w:rPr>
                <w:rFonts w:ascii="Times New Roman" w:hAnsi="Times New Roman"/>
                <w:sz w:val="20"/>
              </w:rPr>
              <w:t xml:space="preserve">a.     </w:t>
            </w:r>
            <w:r>
              <w:rPr>
                <w:rFonts w:ascii="Times New Roman" w:hAnsi="Times New Roman"/>
                <w:i/>
                <w:sz w:val="20"/>
              </w:rPr>
              <w:t>For example</w:t>
            </w:r>
            <w:r>
              <w:rPr>
                <w:rFonts w:ascii="Times New Roman" w:hAnsi="Times New Roman"/>
                <w:sz w:val="20"/>
              </w:rPr>
              <w:t>, [***].</w:t>
            </w:r>
          </w:p>
          <w:p>
            <w:pPr>
              <w:pStyle w:val="TableContents"/>
              <w:bidi w:val="0"/>
              <w:spacing w:before="0" w:after="0"/>
              <w:ind w:left="800" w:right="0" w:hanging="0"/>
              <w:jc w:val="both"/>
              <w:rPr>
                <w:rFonts w:ascii="Times New Roman" w:hAnsi="Times New Roman"/>
                <w:sz w:val="20"/>
              </w:rPr>
            </w:pPr>
            <w:r>
              <w:rPr>
                <w:rFonts w:ascii="Times New Roman" w:hAnsi="Times New Roman"/>
                <w:sz w:val="20"/>
              </w:rPr>
            </w:r>
          </w:p>
          <w:p>
            <w:pPr>
              <w:pStyle w:val="TableContents"/>
              <w:bidi w:val="0"/>
              <w:spacing w:before="0" w:after="0"/>
              <w:ind w:left="765" w:right="0" w:hanging="0"/>
              <w:jc w:val="both"/>
              <w:rPr/>
            </w:pPr>
            <w:r>
              <w:rPr/>
              <w:t> </w:t>
            </w:r>
            <w:r>
              <w:rPr>
                <w:rFonts w:ascii="Times New Roman" w:hAnsi="Times New Roman"/>
                <w:sz w:val="20"/>
              </w:rPr>
              <w:t>3.     The calculation of the [***] as described above shall only occur at the [***] Date and at no other point.</w:t>
            </w:r>
          </w:p>
          <w:p>
            <w:pPr>
              <w:pStyle w:val="TableContents"/>
              <w:bidi w:val="0"/>
              <w:spacing w:before="0" w:after="0"/>
              <w:jc w:val="both"/>
              <w:rPr/>
            </w:pPr>
            <w:r>
              <w:rPr/>
              <w:t> </w:t>
            </w:r>
          </w:p>
          <w:p>
            <w:pPr>
              <w:pStyle w:val="TableContents"/>
              <w:bidi w:val="0"/>
              <w:spacing w:before="0" w:after="0"/>
              <w:jc w:val="left"/>
              <w:rPr/>
            </w:pPr>
            <w:r>
              <w:rPr/>
              <w:t> </w:t>
            </w:r>
          </w:p>
          <w:p>
            <w:pPr>
              <w:pStyle w:val="TableContents"/>
              <w:bidi w:val="0"/>
              <w:spacing w:before="0" w:after="0"/>
              <w:ind w:left="640" w:right="0" w:hanging="420"/>
              <w:jc w:val="both"/>
              <w:rPr>
                <w:rFonts w:ascii="Times New Roman" w:hAnsi="Times New Roman"/>
                <w:sz w:val="20"/>
              </w:rPr>
            </w:pPr>
            <w:r>
              <w:rPr>
                <w:rFonts w:ascii="Times New Roman" w:hAnsi="Times New Roman"/>
                <w:sz w:val="20"/>
              </w:rPr>
              <w:t>D.      [***].</w:t>
            </w:r>
          </w:p>
          <w:p>
            <w:pPr>
              <w:pStyle w:val="TableContents"/>
              <w:bidi w:val="0"/>
              <w:spacing w:before="0" w:after="0"/>
              <w:ind w:left="640" w:right="0" w:hanging="420"/>
              <w:jc w:val="both"/>
              <w:rPr>
                <w:rFonts w:ascii="Times New Roman" w:hAnsi="Times New Roman"/>
                <w:sz w:val="20"/>
              </w:rPr>
            </w:pPr>
            <w:r>
              <w:rPr>
                <w:rFonts w:ascii="Times New Roman" w:hAnsi="Times New Roman"/>
                <w:sz w:val="20"/>
              </w:rPr>
            </w:r>
          </w:p>
          <w:p>
            <w:pPr>
              <w:pStyle w:val="TableContents"/>
              <w:bidi w:val="0"/>
              <w:spacing w:before="0" w:after="0"/>
              <w:ind w:left="440" w:right="0" w:firstLine="370"/>
              <w:jc w:val="both"/>
              <w:rPr/>
            </w:pPr>
            <w:r>
              <w:rPr/>
              <w:t> </w:t>
            </w:r>
            <w:r>
              <w:rPr>
                <w:rFonts w:ascii="Times New Roman" w:hAnsi="Times New Roman"/>
                <w:sz w:val="20"/>
              </w:rPr>
              <w:t>1.     To the extent that [***] as follows:</w:t>
            </w:r>
          </w:p>
          <w:p>
            <w:pPr>
              <w:pStyle w:val="TableContents"/>
              <w:bidi w:val="0"/>
              <w:spacing w:before="0" w:after="0"/>
              <w:ind w:left="440" w:right="0" w:firstLine="370"/>
              <w:jc w:val="both"/>
              <w:rPr>
                <w:rFonts w:ascii="Times New Roman" w:hAnsi="Times New Roman"/>
                <w:sz w:val="20"/>
              </w:rPr>
            </w:pPr>
            <w:r>
              <w:rPr>
                <w:rFonts w:ascii="Times New Roman" w:hAnsi="Times New Roman"/>
                <w:sz w:val="20"/>
              </w:rPr>
            </w:r>
          </w:p>
          <w:p>
            <w:pPr>
              <w:pStyle w:val="TableContents"/>
              <w:bidi w:val="0"/>
              <w:spacing w:before="0" w:after="0"/>
              <w:ind w:left="380" w:right="0" w:hanging="0"/>
              <w:jc w:val="both"/>
              <w:rPr/>
            </w:pPr>
            <w:r>
              <w:rPr/>
              <w:t>             </w:t>
            </w:r>
            <w:r>
              <w:rPr>
                <w:rFonts w:ascii="Times New Roman" w:hAnsi="Times New Roman"/>
                <w:sz w:val="20"/>
              </w:rPr>
              <w:t>a.     [***].</w:t>
            </w:r>
          </w:p>
          <w:p>
            <w:pPr>
              <w:pStyle w:val="TableContents"/>
              <w:bidi w:val="0"/>
              <w:spacing w:before="0" w:after="0"/>
              <w:ind w:left="20" w:right="0" w:hanging="0"/>
              <w:jc w:val="both"/>
              <w:rPr/>
            </w:pPr>
            <w:r>
              <w:rPr/>
              <w:t> </w:t>
            </w:r>
          </w:p>
          <w:p>
            <w:pPr>
              <w:pStyle w:val="TableContents"/>
              <w:bidi w:val="0"/>
              <w:spacing w:before="0" w:after="0"/>
              <w:ind w:left="380" w:right="0" w:hanging="0"/>
              <w:jc w:val="both"/>
              <w:rPr/>
            </w:pPr>
            <w:r>
              <w:rPr/>
              <w:t>             </w:t>
            </w:r>
            <w:r>
              <w:rPr>
                <w:rFonts w:ascii="Times New Roman" w:hAnsi="Times New Roman"/>
                <w:sz w:val="20"/>
              </w:rPr>
              <w:t>b.     [***].</w:t>
            </w:r>
          </w:p>
          <w:p>
            <w:pPr>
              <w:pStyle w:val="TableContents"/>
              <w:bidi w:val="0"/>
              <w:spacing w:before="0" w:after="0"/>
              <w:jc w:val="both"/>
              <w:rPr/>
            </w:pPr>
            <w:r>
              <w:rPr/>
              <w:t> </w:t>
            </w:r>
          </w:p>
          <w:p>
            <w:pPr>
              <w:pStyle w:val="TableContents"/>
              <w:bidi w:val="0"/>
              <w:spacing w:before="0" w:after="0"/>
              <w:jc w:val="left"/>
              <w:rPr/>
            </w:pPr>
            <w:r>
              <w:rPr/>
              <w:t> </w:t>
            </w:r>
          </w:p>
          <w:p>
            <w:pPr>
              <w:pStyle w:val="TableContents"/>
              <w:bidi w:val="0"/>
              <w:spacing w:before="0" w:after="0"/>
              <w:ind w:left="640" w:right="0" w:hanging="420"/>
              <w:jc w:val="both"/>
              <w:rPr>
                <w:rFonts w:ascii="Times New Roman" w:hAnsi="Times New Roman"/>
                <w:sz w:val="20"/>
              </w:rPr>
            </w:pPr>
            <w:r>
              <w:rPr>
                <w:rFonts w:ascii="Times New Roman" w:hAnsi="Times New Roman"/>
                <w:sz w:val="20"/>
              </w:rPr>
              <w:t>E.       [***]</w:t>
            </w:r>
            <w:r>
              <w:rPr>
                <w:rFonts w:ascii="Times New Roman" w:hAnsi="Times New Roman"/>
                <w:i/>
                <w:sz w:val="20"/>
              </w:rPr>
              <w:t>.</w:t>
            </w:r>
            <w:r>
              <w:rPr>
                <w:rFonts w:ascii="Times New Roman" w:hAnsi="Times New Roman"/>
                <w:sz w:val="20"/>
              </w:rPr>
              <w:t>[***]. For each calendar year, the [***] will be based on (i) [***]; and (ii) the [***]. Notwithstanding the foregoing, if [***]. [***].</w:t>
            </w:r>
          </w:p>
          <w:p>
            <w:pPr>
              <w:pStyle w:val="TableContents"/>
              <w:bidi w:val="0"/>
              <w:spacing w:before="0" w:after="0"/>
              <w:ind w:left="640" w:right="0" w:hanging="420"/>
              <w:jc w:val="both"/>
              <w:rPr>
                <w:rFonts w:ascii="Times New Roman" w:hAnsi="Times New Roman"/>
                <w:sz w:val="20"/>
              </w:rPr>
            </w:pPr>
            <w:r>
              <w:rPr>
                <w:rFonts w:ascii="Times New Roman" w:hAnsi="Times New Roman"/>
                <w:sz w:val="20"/>
              </w:rPr>
            </w:r>
          </w:p>
          <w:p>
            <w:pPr>
              <w:pStyle w:val="TableContents"/>
              <w:bidi w:val="0"/>
              <w:spacing w:before="0" w:after="0"/>
              <w:ind w:left="80" w:right="0" w:hanging="0"/>
              <w:jc w:val="left"/>
              <w:rPr/>
            </w:pPr>
            <w:r>
              <w:rPr/>
              <w:t xml:space="preserve">   </w:t>
            </w:r>
            <w:r>
              <w:rPr>
                <w:rFonts w:ascii="Times New Roman" w:hAnsi="Times New Roman"/>
                <w:sz w:val="20"/>
              </w:rPr>
              <w:t>F.       [***]</w:t>
            </w:r>
            <w:r>
              <w:rPr>
                <w:rFonts w:ascii="Times New Roman" w:hAnsi="Times New Roman"/>
                <w:i/>
                <w:sz w:val="20"/>
              </w:rPr>
              <w:t>.</w:t>
            </w:r>
            <w:r>
              <w:rPr>
                <w:rFonts w:ascii="Times New Roman" w:hAnsi="Times New Roman"/>
                <w:sz w:val="20"/>
              </w:rPr>
              <w:t>[***].</w:t>
            </w:r>
          </w:p>
          <w:p>
            <w:pPr>
              <w:pStyle w:val="TableContents"/>
              <w:bidi w:val="0"/>
              <w:spacing w:before="0" w:after="0"/>
              <w:jc w:val="left"/>
              <w:rPr/>
            </w:pPr>
            <w:r>
              <w:rPr/>
              <w:t> </w:t>
            </w:r>
          </w:p>
        </w:tc>
      </w:tr>
    </w:tbl>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5</w:t>
      </w:r>
    </w:p>
    <w:p>
      <w:pPr>
        <w:pStyle w:val="HorizontalLine"/>
        <w:pBdr>
          <w:bottom w:val="single" w:sz="12" w:space="0" w:color="808080"/>
        </w:pBdr>
        <w:bidi w:val="0"/>
        <w:spacing w:before="200" w:after="200"/>
        <w:jc w:val="left"/>
        <w:rPr/>
      </w:pPr>
      <w:r>
        <w:rPr/>
      </w:r>
    </w:p>
    <w:tbl>
      <w:tblPr>
        <w:tblW w:w="7940" w:type="dxa"/>
        <w:jc w:val="left"/>
        <w:tblInd w:w="-15" w:type="dxa"/>
        <w:tblLayout w:type="fixed"/>
        <w:tblCellMar>
          <w:top w:w="28" w:type="dxa"/>
          <w:left w:w="28" w:type="dxa"/>
          <w:bottom w:w="28" w:type="dxa"/>
          <w:right w:w="28" w:type="dxa"/>
        </w:tblCellMar>
      </w:tblPr>
      <w:tblGrid>
        <w:gridCol w:w="7940"/>
      </w:tblGrid>
      <w:tr>
        <w:trPr/>
        <w:tc>
          <w:tcPr>
            <w:tcW w:w="79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1440" w:right="0" w:hanging="0"/>
              <w:jc w:val="left"/>
              <w:rPr>
                <w:rFonts w:ascii="Times New Roman" w:hAnsi="Times New Roman"/>
                <w:sz w:val="20"/>
              </w:rPr>
            </w:pPr>
            <w:r>
              <w:rPr>
                <w:rFonts w:ascii="Times New Roman" w:hAnsi="Times New Roman"/>
                <w:sz w:val="20"/>
              </w:rPr>
              <w:t>G.      [***].[***].</w:t>
            </w:r>
          </w:p>
          <w:p>
            <w:pPr>
              <w:pStyle w:val="TableContents"/>
              <w:bidi w:val="0"/>
              <w:spacing w:before="0" w:after="0"/>
              <w:jc w:val="left"/>
              <w:rPr/>
            </w:pPr>
            <w:r>
              <w:rPr/>
            </w:r>
          </w:p>
          <w:p>
            <w:pPr>
              <w:pStyle w:val="TableContents"/>
              <w:bidi w:val="0"/>
              <w:spacing w:before="0" w:after="0"/>
              <w:ind w:left="1440" w:right="0" w:hanging="0"/>
              <w:jc w:val="left"/>
              <w:rPr>
                <w:rFonts w:ascii="Times New Roman" w:hAnsi="Times New Roman"/>
                <w:sz w:val="20"/>
              </w:rPr>
            </w:pPr>
            <w:r>
              <w:rPr>
                <w:rFonts w:ascii="Times New Roman" w:hAnsi="Times New Roman"/>
                <w:sz w:val="20"/>
              </w:rPr>
              <w:t>H.      [***].[***].</w:t>
            </w:r>
          </w:p>
          <w:p>
            <w:pPr>
              <w:pStyle w:val="TableContents"/>
              <w:bidi w:val="0"/>
              <w:spacing w:before="0" w:after="0"/>
              <w:jc w:val="left"/>
              <w:rPr/>
            </w:pPr>
            <w:r>
              <w:rPr/>
              <w:t> </w:t>
            </w:r>
          </w:p>
          <w:p>
            <w:pPr>
              <w:pStyle w:val="TableContents"/>
              <w:bidi w:val="0"/>
              <w:spacing w:before="0" w:after="0"/>
              <w:ind w:left="1440" w:right="0" w:hanging="0"/>
              <w:jc w:val="left"/>
              <w:rPr>
                <w:rFonts w:ascii="Times New Roman" w:hAnsi="Times New Roman"/>
                <w:sz w:val="20"/>
              </w:rPr>
            </w:pPr>
            <w:r>
              <w:rPr>
                <w:rFonts w:ascii="Times New Roman" w:hAnsi="Times New Roman"/>
                <w:sz w:val="20"/>
              </w:rPr>
              <w:t>I.        [***].</w:t>
            </w:r>
          </w:p>
          <w:p>
            <w:pPr>
              <w:pStyle w:val="TableContents"/>
              <w:bidi w:val="0"/>
              <w:spacing w:before="0" w:after="0"/>
              <w:jc w:val="left"/>
              <w:rPr/>
            </w:pPr>
            <w:r>
              <w:rPr/>
              <w:t> </w:t>
            </w:r>
          </w:p>
          <w:p>
            <w:pPr>
              <w:pStyle w:val="TableContents"/>
              <w:bidi w:val="0"/>
              <w:spacing w:before="0" w:after="0"/>
              <w:ind w:left="2160" w:right="0" w:hanging="0"/>
              <w:jc w:val="left"/>
              <w:rPr>
                <w:rFonts w:ascii="Times New Roman" w:hAnsi="Times New Roman"/>
                <w:sz w:val="20"/>
              </w:rPr>
            </w:pPr>
            <w:r>
              <w:rPr>
                <w:rFonts w:ascii="Times New Roman" w:hAnsi="Times New Roman"/>
                <w:sz w:val="20"/>
              </w:rPr>
              <w:t>1.     [***]. [***]:</w:t>
            </w:r>
          </w:p>
          <w:p>
            <w:pPr>
              <w:pStyle w:val="TableContents"/>
              <w:bidi w:val="0"/>
              <w:spacing w:before="0" w:after="0"/>
              <w:jc w:val="left"/>
              <w:rPr/>
            </w:pPr>
            <w:r>
              <w:rPr/>
              <w:t> </w:t>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a.           [***]; and</w:t>
            </w:r>
          </w:p>
          <w:p>
            <w:pPr>
              <w:pStyle w:val="TableContents"/>
              <w:bidi w:val="0"/>
              <w:spacing w:before="0" w:after="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b.           [***].</w:t>
            </w:r>
          </w:p>
          <w:p>
            <w:pPr>
              <w:pStyle w:val="TableContents"/>
              <w:bidi w:val="0"/>
              <w:spacing w:before="0" w:after="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c.           [***].</w:t>
            </w:r>
          </w:p>
          <w:p>
            <w:pPr>
              <w:pStyle w:val="TableContents"/>
              <w:bidi w:val="0"/>
              <w:spacing w:before="0" w:after="0"/>
              <w:jc w:val="left"/>
              <w:rPr/>
            </w:pPr>
            <w:r>
              <w:rPr/>
              <w:t> </w:t>
            </w:r>
          </w:p>
          <w:p>
            <w:pPr>
              <w:pStyle w:val="TableContents"/>
              <w:bidi w:val="0"/>
              <w:spacing w:before="0" w:after="0"/>
              <w:ind w:left="2160" w:right="0" w:hanging="0"/>
              <w:jc w:val="left"/>
              <w:rPr>
                <w:rFonts w:ascii="Times New Roman" w:hAnsi="Times New Roman"/>
                <w:sz w:val="20"/>
              </w:rPr>
            </w:pPr>
            <w:r>
              <w:rPr>
                <w:rFonts w:ascii="Times New Roman" w:hAnsi="Times New Roman"/>
                <w:sz w:val="20"/>
              </w:rPr>
              <w:t>2.     [***]. [***]:</w:t>
            </w:r>
          </w:p>
          <w:p>
            <w:pPr>
              <w:pStyle w:val="TableContents"/>
              <w:bidi w:val="0"/>
              <w:spacing w:before="0" w:after="0"/>
              <w:jc w:val="left"/>
              <w:rPr/>
            </w:pPr>
            <w:r>
              <w:rPr/>
              <w:t> </w:t>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a.           [***]; and</w:t>
            </w:r>
          </w:p>
          <w:p>
            <w:pPr>
              <w:pStyle w:val="TableContents"/>
              <w:bidi w:val="0"/>
              <w:spacing w:before="0" w:after="0"/>
              <w:jc w:val="left"/>
              <w:rPr/>
            </w:pPr>
            <w:r>
              <w:rPr/>
              <w:t> </w:t>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b.           [***].</w:t>
            </w:r>
          </w:p>
          <w:p>
            <w:pPr>
              <w:pStyle w:val="TableContents"/>
              <w:bidi w:val="0"/>
              <w:spacing w:before="0" w:after="0"/>
              <w:jc w:val="left"/>
              <w:rPr/>
            </w:pPr>
            <w:r>
              <w:rPr/>
              <w:t> </w:t>
            </w:r>
          </w:p>
          <w:p>
            <w:pPr>
              <w:pStyle w:val="TableContents"/>
              <w:bidi w:val="0"/>
              <w:spacing w:before="0" w:after="0"/>
              <w:ind w:left="2160" w:right="0" w:hanging="0"/>
              <w:jc w:val="left"/>
              <w:rPr>
                <w:rFonts w:ascii="Times New Roman" w:hAnsi="Times New Roman"/>
                <w:sz w:val="20"/>
              </w:rPr>
            </w:pPr>
            <w:r>
              <w:rPr>
                <w:rFonts w:ascii="Times New Roman" w:hAnsi="Times New Roman"/>
                <w:sz w:val="20"/>
              </w:rPr>
              <w:t>3.     [***]. [***].</w:t>
            </w:r>
          </w:p>
          <w:p>
            <w:pPr>
              <w:pStyle w:val="TableContents"/>
              <w:bidi w:val="0"/>
              <w:spacing w:before="0" w:after="0"/>
              <w:jc w:val="left"/>
              <w:rPr/>
            </w:pPr>
            <w:r>
              <w:rPr/>
              <w:t> </w:t>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a.           [***]:</w:t>
            </w:r>
          </w:p>
          <w:p>
            <w:pPr>
              <w:pStyle w:val="TableContents"/>
              <w:bidi w:val="0"/>
              <w:spacing w:before="0" w:after="0"/>
              <w:jc w:val="left"/>
              <w:rPr/>
            </w:pPr>
            <w:r>
              <w:rPr/>
              <w:t> </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        [***]; and</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ii.       [***].</w:t>
            </w:r>
          </w:p>
          <w:p>
            <w:pPr>
              <w:pStyle w:val="TableContents"/>
              <w:bidi w:val="0"/>
              <w:spacing w:before="0" w:after="0"/>
              <w:jc w:val="left"/>
              <w:rPr/>
            </w:pPr>
            <w:r>
              <w:rPr/>
              <w:t> </w:t>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b.           [***],</w:t>
            </w:r>
          </w:p>
          <w:p>
            <w:pPr>
              <w:pStyle w:val="TableContents"/>
              <w:bidi w:val="0"/>
              <w:spacing w:before="0" w:after="0"/>
              <w:jc w:val="left"/>
              <w:rPr/>
            </w:pPr>
            <w:r>
              <w:rPr/>
              <w:t> </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        [***].</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ii.       [***].</w:t>
            </w:r>
          </w:p>
          <w:p>
            <w:pPr>
              <w:pStyle w:val="TableContents"/>
              <w:bidi w:val="0"/>
              <w:spacing w:before="0" w:after="0"/>
              <w:ind w:left="3060" w:right="0" w:hanging="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 xml:space="preserve">c.           [***]: </w:t>
            </w:r>
          </w:p>
          <w:p>
            <w:pPr>
              <w:pStyle w:val="TableContents"/>
              <w:bidi w:val="0"/>
              <w:spacing w:before="0" w:after="0"/>
              <w:jc w:val="left"/>
              <w:rPr/>
            </w:pPr>
            <w:r>
              <w:rPr/>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        [***].</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ii .      [***].</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iii.      [***].</w:t>
            </w:r>
          </w:p>
          <w:p>
            <w:pPr>
              <w:pStyle w:val="TableContents"/>
              <w:bidi w:val="0"/>
              <w:spacing w:before="0" w:after="0"/>
              <w:ind w:left="3420" w:right="0" w:hanging="0"/>
              <w:jc w:val="left"/>
              <w:rPr/>
            </w:pPr>
            <w:r>
              <w:rPr/>
              <w:t xml:space="preserve">  </w:t>
            </w:r>
            <w:r>
              <w:rPr>
                <w:rFonts w:ascii="Times New Roman" w:hAnsi="Times New Roman"/>
                <w:sz w:val="20"/>
              </w:rPr>
              <w:t>[***].</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iv.      [***].</w:t>
            </w:r>
          </w:p>
          <w:p>
            <w:pPr>
              <w:pStyle w:val="TableContents"/>
              <w:bidi w:val="0"/>
              <w:spacing w:before="0" w:after="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d.     [***].</w:t>
            </w:r>
          </w:p>
          <w:p>
            <w:pPr>
              <w:pStyle w:val="TableContents"/>
              <w:bidi w:val="0"/>
              <w:spacing w:before="0" w:after="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e.     [***]. [***].</w:t>
            </w:r>
          </w:p>
          <w:p>
            <w:pPr>
              <w:pStyle w:val="TableContents"/>
              <w:bidi w:val="0"/>
              <w:spacing w:before="0" w:after="0"/>
              <w:jc w:val="left"/>
              <w:rPr/>
            </w:pPr>
            <w:r>
              <w:rPr/>
            </w:r>
          </w:p>
          <w:p>
            <w:pPr>
              <w:pStyle w:val="TableContents"/>
              <w:bidi w:val="0"/>
              <w:spacing w:before="0" w:after="0"/>
              <w:ind w:left="2160" w:right="0" w:hanging="0"/>
              <w:jc w:val="left"/>
              <w:rPr>
                <w:rFonts w:ascii="Times New Roman" w:hAnsi="Times New Roman"/>
                <w:sz w:val="20"/>
              </w:rPr>
            </w:pPr>
            <w:r>
              <w:rPr>
                <w:rFonts w:ascii="Times New Roman" w:hAnsi="Times New Roman"/>
                <w:sz w:val="20"/>
              </w:rPr>
              <w:t>4. [***]. [***].</w:t>
            </w:r>
          </w:p>
          <w:p>
            <w:pPr>
              <w:pStyle w:val="TableContents"/>
              <w:bidi w:val="0"/>
              <w:spacing w:before="0" w:after="0"/>
              <w:jc w:val="left"/>
              <w:rPr/>
            </w:pPr>
            <w:r>
              <w:rPr/>
              <w:t>  </w:t>
            </w:r>
          </w:p>
          <w:p>
            <w:pPr>
              <w:pStyle w:val="TableContents"/>
              <w:bidi w:val="0"/>
              <w:spacing w:before="0" w:after="0"/>
              <w:ind w:left="2160" w:right="0" w:hanging="0"/>
              <w:jc w:val="left"/>
              <w:rPr>
                <w:rFonts w:ascii="Times New Roman" w:hAnsi="Times New Roman"/>
                <w:sz w:val="20"/>
              </w:rPr>
            </w:pPr>
            <w:r>
              <w:rPr>
                <w:rFonts w:ascii="Times New Roman" w:hAnsi="Times New Roman"/>
                <w:sz w:val="20"/>
              </w:rPr>
              <w:t>5. [***]. This provision applies in instances of [***] (as defined below). “[***].” means the [***].</w:t>
            </w:r>
          </w:p>
          <w:p>
            <w:pPr>
              <w:pStyle w:val="TableContents"/>
              <w:bidi w:val="0"/>
              <w:spacing w:before="0" w:after="0"/>
              <w:ind w:left="2160" w:right="0" w:hanging="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a.          [***], as follows:</w:t>
            </w:r>
          </w:p>
          <w:p>
            <w:pPr>
              <w:pStyle w:val="TableContents"/>
              <w:bidi w:val="0"/>
              <w:spacing w:before="0" w:after="0"/>
              <w:jc w:val="left"/>
              <w:rPr/>
            </w:pPr>
            <w:r>
              <w:rPr/>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       [***].</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(ii)      [***].</w:t>
            </w:r>
          </w:p>
          <w:p>
            <w:pPr>
              <w:pStyle w:val="TableContents"/>
              <w:bidi w:val="0"/>
              <w:spacing w:before="0" w:after="0"/>
              <w:ind w:left="3060" w:right="0" w:hanging="0"/>
              <w:jc w:val="left"/>
              <w:rPr>
                <w:rFonts w:ascii="Times New Roman" w:hAnsi="Times New Roman"/>
                <w:sz w:val="20"/>
              </w:rPr>
            </w:pPr>
            <w:r>
              <w:rPr>
                <w:rFonts w:ascii="Times New Roman" w:hAnsi="Times New Roman"/>
                <w:sz w:val="20"/>
              </w:rPr>
              <w:t>(iii)     [***].</w:t>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b.    [***].</w:t>
            </w:r>
          </w:p>
          <w:p>
            <w:pPr>
              <w:pStyle w:val="TableContents"/>
              <w:bidi w:val="0"/>
              <w:spacing w:before="0" w:after="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c.    [***].</w:t>
            </w:r>
          </w:p>
          <w:p>
            <w:pPr>
              <w:pStyle w:val="TableContents"/>
              <w:bidi w:val="0"/>
              <w:spacing w:before="0" w:after="0"/>
              <w:jc w:val="left"/>
              <w:rPr/>
            </w:pPr>
            <w:r>
              <w:rPr/>
              <w:t> </w:t>
            </w:r>
          </w:p>
          <w:p>
            <w:pPr>
              <w:pStyle w:val="TableContents"/>
              <w:bidi w:val="0"/>
              <w:spacing w:before="0" w:after="0"/>
              <w:ind w:left="2160" w:right="0" w:hanging="0"/>
              <w:jc w:val="left"/>
              <w:rPr>
                <w:rFonts w:ascii="Times New Roman" w:hAnsi="Times New Roman"/>
                <w:sz w:val="20"/>
              </w:rPr>
            </w:pPr>
            <w:r>
              <w:rPr>
                <w:rFonts w:ascii="Times New Roman" w:hAnsi="Times New Roman"/>
                <w:sz w:val="20"/>
              </w:rPr>
              <w:t>6. [***]. [***]:</w:t>
            </w:r>
          </w:p>
          <w:p>
            <w:pPr>
              <w:pStyle w:val="TableContents"/>
              <w:bidi w:val="0"/>
              <w:spacing w:before="0" w:after="0"/>
              <w:ind w:left="2160" w:right="0" w:hanging="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a.     [***].  [***] (i) [***]; or (ii) [***].</w:t>
            </w:r>
          </w:p>
          <w:p>
            <w:pPr>
              <w:pStyle w:val="TableContents"/>
              <w:bidi w:val="0"/>
              <w:spacing w:before="0" w:after="0"/>
              <w:jc w:val="left"/>
              <w:rPr/>
            </w:pPr>
            <w:r>
              <w:rPr/>
              <w:t> </w:t>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b.    [***].[***] (i) [***]; or (ii) [***].</w:t>
            </w:r>
          </w:p>
          <w:p>
            <w:pPr>
              <w:pStyle w:val="TableContents"/>
              <w:bidi w:val="0"/>
              <w:spacing w:before="0" w:after="0"/>
              <w:ind w:left="2520" w:right="0" w:hanging="0"/>
              <w:jc w:val="left"/>
              <w:rPr/>
            </w:pPr>
            <w:r>
              <w:rPr/>
            </w:r>
          </w:p>
          <w:p>
            <w:pPr>
              <w:pStyle w:val="TableContents"/>
              <w:bidi w:val="0"/>
              <w:spacing w:before="0" w:after="0"/>
              <w:ind w:left="2520" w:right="0" w:hanging="0"/>
              <w:jc w:val="left"/>
              <w:rPr>
                <w:rFonts w:ascii="Times New Roman" w:hAnsi="Times New Roman"/>
                <w:sz w:val="20"/>
              </w:rPr>
            </w:pPr>
            <w:r>
              <w:rPr>
                <w:rFonts w:ascii="Times New Roman" w:hAnsi="Times New Roman"/>
                <w:sz w:val="20"/>
              </w:rPr>
              <w:t xml:space="preserve">c.    [***]. [***]. </w:t>
            </w:r>
          </w:p>
          <w:p>
            <w:pPr>
              <w:pStyle w:val="TableContents"/>
              <w:bidi w:val="0"/>
              <w:spacing w:before="0" w:after="0"/>
              <w:jc w:val="left"/>
              <w:rPr/>
            </w:pPr>
            <w:r>
              <w:rPr/>
            </w:r>
          </w:p>
          <w:p>
            <w:pPr>
              <w:pStyle w:val="TableContents"/>
              <w:bidi w:val="0"/>
              <w:spacing w:before="0" w:after="0"/>
              <w:ind w:left="2520" w:right="0" w:hanging="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2" w:name="z5bbf0634c3e845cc83f8ffc2afe3519d"/>
      <w:bookmarkStart w:id="53" w:name="z5bbf0634c3e845cc83f8ffc2afe3519d"/>
      <w:bookmarkEnd w:id="53"/>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VIII.  Obligations:</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ind w:left="96" w:right="219" w:hanging="0"/>
              <w:jc w:val="both"/>
              <w:rPr/>
            </w:pPr>
            <w:r>
              <w:rPr>
                <w:rFonts w:ascii="Times New Roman" w:hAnsi="Times New Roman"/>
                <w:sz w:val="20"/>
              </w:rPr>
              <w:t>A.</w:t>
            </w:r>
            <w:r>
              <w:rPr/>
              <w:t xml:space="preserve">     </w:t>
            </w:r>
            <w:r>
              <w:rPr>
                <w:rFonts w:ascii="Times New Roman" w:hAnsi="Times New Roman"/>
                <w:i/>
                <w:sz w:val="20"/>
              </w:rPr>
              <w:t>JavaScript Implementation</w:t>
            </w:r>
            <w:r>
              <w:rPr>
                <w:rFonts w:ascii="Times New Roman" w:hAnsi="Times New Roman"/>
                <w:sz w:val="20"/>
              </w:rPr>
              <w:t>. Unless caused by undue delay on Taboola’s part, Company agrees that the Platform will be integrated on the Properties via JavaScript within [***] from the Effective Date (“</w:t>
            </w:r>
            <w:r>
              <w:rPr>
                <w:rFonts w:ascii="Times New Roman" w:hAnsi="Times New Roman"/>
                <w:b/>
                <w:sz w:val="20"/>
              </w:rPr>
              <w:t>JavaScript Implementation Period</w:t>
            </w:r>
            <w:r>
              <w:rPr>
                <w:rFonts w:ascii="Times New Roman" w:hAnsi="Times New Roman"/>
                <w:sz w:val="20"/>
              </w:rPr>
              <w:t>”). Prior to implementing JavaScript on the Properties and during the Term, Taboola shall ensure that such JavaScript complies with all instructions, policies, guidelines, and terms and conditions provided by Company to Taboola in writing (email to suffice) and applicable to Taboola’s implementation of JavaScript on the Properties, including with respect to data security, data policy, and data privacy matters (e.g., where Company requires a modification to reduce the risk of malware).</w:t>
            </w:r>
          </w:p>
          <w:p>
            <w:pPr>
              <w:pStyle w:val="TableContents"/>
              <w:bidi w:val="0"/>
              <w:spacing w:before="0" w:after="0"/>
              <w:jc w:val="left"/>
              <w:rPr/>
            </w:pPr>
            <w:r>
              <w:rPr/>
              <w:t> </w:t>
            </w:r>
          </w:p>
          <w:p>
            <w:pPr>
              <w:pStyle w:val="TableContents"/>
              <w:bidi w:val="0"/>
              <w:spacing w:before="0" w:after="0"/>
              <w:ind w:left="96" w:right="219" w:hanging="0"/>
              <w:jc w:val="both"/>
              <w:rPr/>
            </w:pPr>
            <w:r>
              <w:rPr>
                <w:rFonts w:ascii="Times New Roman" w:hAnsi="Times New Roman"/>
                <w:sz w:val="20"/>
              </w:rPr>
              <w:t>B.</w:t>
            </w:r>
            <w:r>
              <w:rPr/>
              <w:t xml:space="preserve">      </w:t>
            </w:r>
            <w:r>
              <w:rPr>
                <w:rFonts w:ascii="Times New Roman" w:hAnsi="Times New Roman"/>
                <w:sz w:val="20"/>
              </w:rPr>
              <w:t>[***]. [***].</w:t>
            </w:r>
          </w:p>
          <w:p>
            <w:pPr>
              <w:pStyle w:val="TableContents"/>
              <w:bidi w:val="0"/>
              <w:spacing w:before="0" w:after="0"/>
              <w:jc w:val="left"/>
              <w:rPr/>
            </w:pPr>
            <w:r>
              <w:rPr/>
              <w:t> </w:t>
            </w:r>
          </w:p>
          <w:p>
            <w:pPr>
              <w:pStyle w:val="TableContents"/>
              <w:bidi w:val="0"/>
              <w:spacing w:before="0" w:after="0"/>
              <w:ind w:left="96" w:right="219" w:hanging="0"/>
              <w:jc w:val="both"/>
              <w:rPr/>
            </w:pPr>
            <w:r>
              <w:rPr>
                <w:rFonts w:ascii="Times New Roman" w:hAnsi="Times New Roman"/>
                <w:sz w:val="20"/>
              </w:rPr>
              <w:t>C.</w:t>
            </w:r>
            <w:r>
              <w:rPr/>
              <w:t xml:space="preserve">     </w:t>
            </w:r>
            <w:r>
              <w:rPr>
                <w:rFonts w:ascii="Times New Roman" w:hAnsi="Times New Roman"/>
                <w:i/>
                <w:sz w:val="20"/>
              </w:rPr>
              <w:t>Audience Segments.</w:t>
            </w:r>
            <w:r>
              <w:rPr>
                <w:rFonts w:ascii="Times New Roman" w:hAnsi="Times New Roman"/>
                <w:sz w:val="20"/>
              </w:rPr>
              <w:t xml:space="preserve"> Subject to Paragraph 1.f and the Technical Integration Plan attached hereto as Appendix B, Company will enable the development of [***].</w:t>
            </w:r>
          </w:p>
          <w:p>
            <w:pPr>
              <w:pStyle w:val="TableContents"/>
              <w:bidi w:val="0"/>
              <w:spacing w:before="0" w:after="0"/>
              <w:jc w:val="left"/>
              <w:rPr/>
            </w:pPr>
            <w:r>
              <w:rPr/>
              <w:t> </w:t>
            </w:r>
          </w:p>
          <w:p>
            <w:pPr>
              <w:pStyle w:val="TableContents"/>
              <w:bidi w:val="0"/>
              <w:spacing w:before="0" w:after="0"/>
              <w:ind w:left="96" w:right="219" w:hanging="0"/>
              <w:jc w:val="both"/>
              <w:rPr/>
            </w:pPr>
            <w:r>
              <w:rPr>
                <w:rFonts w:ascii="Times New Roman" w:hAnsi="Times New Roman"/>
                <w:sz w:val="20"/>
              </w:rPr>
              <w:t>D.</w:t>
            </w:r>
            <w:r>
              <w:rPr/>
              <w:t xml:space="preserve">     </w:t>
            </w:r>
            <w:r>
              <w:rPr>
                <w:rFonts w:ascii="Times New Roman" w:hAnsi="Times New Roman"/>
                <w:i/>
                <w:sz w:val="20"/>
              </w:rPr>
              <w:t>Header Bidding</w:t>
            </w:r>
            <w:r>
              <w:rPr>
                <w:rFonts w:ascii="Times New Roman" w:hAnsi="Times New Roman"/>
                <w:sz w:val="20"/>
              </w:rPr>
              <w:t>. As of the Effective Date, Company utilizes a header bidding solution (the “</w:t>
            </w:r>
            <w:r>
              <w:rPr>
                <w:rFonts w:ascii="Times New Roman" w:hAnsi="Times New Roman"/>
                <w:b/>
                <w:sz w:val="20"/>
              </w:rPr>
              <w:t>Header Bidding Integration</w:t>
            </w:r>
            <w:r>
              <w:rPr>
                <w:rFonts w:ascii="Times New Roman" w:hAnsi="Times New Roman"/>
                <w:sz w:val="20"/>
              </w:rPr>
              <w:t>”) to manage and monetize its advertising inventory (the “</w:t>
            </w:r>
            <w:r>
              <w:rPr>
                <w:rFonts w:ascii="Times New Roman" w:hAnsi="Times New Roman"/>
                <w:b/>
                <w:sz w:val="20"/>
              </w:rPr>
              <w:t>HB Placement</w:t>
            </w:r>
            <w:r>
              <w:rPr>
                <w:rFonts w:ascii="Times New Roman" w:hAnsi="Times New Roman"/>
                <w:sz w:val="20"/>
              </w:rPr>
              <w:t>”). In order to facilitate Taboola’s participation in Company’s Header Bidding Integration, the Parties shall amend and adopt the Ad Platforms Agreement – Exchange entered into by Taboola.com Ltd. And Yahoo EMEA Ltd. effective as of December 1, 2020 (“</w:t>
            </w:r>
            <w:r>
              <w:rPr>
                <w:rFonts w:ascii="Times New Roman" w:hAnsi="Times New Roman"/>
                <w:b/>
                <w:sz w:val="20"/>
              </w:rPr>
              <w:t>Exchange Agreement</w:t>
            </w:r>
            <w:r>
              <w:rPr>
                <w:rFonts w:ascii="Times New Roman" w:hAnsi="Times New Roman"/>
                <w:sz w:val="20"/>
              </w:rPr>
              <w:t>”), and such amendment shall be substantially similar to the form attached hereto as Appendix F. Company shall include Taboola’s header bidding adapter (the “</w:t>
            </w:r>
            <w:r>
              <w:rPr>
                <w:rFonts w:ascii="Times New Roman" w:hAnsi="Times New Roman"/>
                <w:b/>
                <w:sz w:val="20"/>
              </w:rPr>
              <w:t>Header Bidding Adapter</w:t>
            </w:r>
            <w:r>
              <w:rPr>
                <w:rFonts w:ascii="Times New Roman" w:hAnsi="Times New Roman"/>
                <w:sz w:val="20"/>
              </w:rPr>
              <w:t>”) where Company’s header bidding wrapper is implemented on the Properties; provided that Taboola adheres to the header bidding service level agreement required by Company.  Company agrees to add Taboola’s Header Bidding Adapter to Company’s Header Bidding Integration based on the prebid.js protocol, provided however, Company may change the protocol supporting Company’s Header Bidding Integration upon written notice to Taboola (email to suffice). Taboola grants to Company: (i) the right to access and use the Header Bidding Adapter; and (ii) a non-transferable, non-sublicensable, limited, and non-exclusive right to copy, encode, distribute, publish, and display in real time Ads (defined below) to Visitors served by Taboola. Company will not modify Taboola’s HB Bid without Taboola’s consent (email shall be sufficient).</w:t>
            </w:r>
          </w:p>
          <w:p>
            <w:pPr>
              <w:pStyle w:val="TableContents"/>
              <w:bidi w:val="0"/>
              <w:spacing w:before="0" w:after="0"/>
              <w:ind w:left="96" w:right="219" w:hanging="0"/>
              <w:jc w:val="both"/>
              <w:rPr/>
            </w:pPr>
            <w:r>
              <w:rPr/>
              <w:t> </w:t>
            </w:r>
          </w:p>
          <w:p>
            <w:pPr>
              <w:pStyle w:val="TableContents"/>
              <w:bidi w:val="0"/>
              <w:spacing w:before="0" w:after="0"/>
              <w:ind w:left="96" w:right="219" w:hanging="0"/>
              <w:jc w:val="both"/>
              <w:rPr/>
            </w:pPr>
            <w:r>
              <w:rPr>
                <w:rFonts w:ascii="Times New Roman" w:hAnsi="Times New Roman"/>
                <w:sz w:val="20"/>
              </w:rPr>
              <w:t>E.</w:t>
            </w:r>
            <w:r>
              <w:rPr/>
              <w:t xml:space="preserve">     </w:t>
            </w:r>
            <w:r>
              <w:rPr>
                <w:rFonts w:ascii="Times New Roman" w:hAnsi="Times New Roman"/>
                <w:i/>
                <w:sz w:val="20"/>
              </w:rPr>
              <w:t>Company DSP</w:t>
            </w:r>
            <w:r>
              <w:rPr>
                <w:rFonts w:ascii="Times New Roman" w:hAnsi="Times New Roman"/>
                <w:sz w:val="20"/>
              </w:rPr>
              <w:t>.   [***], Company will integrate Company DSP with Taboola’s [***] to enable bidding by Company’s advertisers on Taboola’s advertising inventory. Company and Taboola shall enter into a separate exchange agreement containing Company’s customary terms and conditions for similar exchange agreements to support such integration. [***].</w:t>
            </w:r>
          </w:p>
          <w:p>
            <w:pPr>
              <w:pStyle w:val="TableContents"/>
              <w:bidi w:val="0"/>
              <w:spacing w:before="0" w:after="0"/>
              <w:jc w:val="left"/>
              <w:rPr/>
            </w:pPr>
            <w:r>
              <w:rPr/>
              <w:t> </w:t>
            </w:r>
          </w:p>
        </w:tc>
      </w:tr>
    </w:tbl>
    <w:p>
      <w:pPr>
        <w:pStyle w:val="TextBody"/>
        <w:bidi w:val="0"/>
        <w:spacing w:before="0" w:after="0"/>
        <w:jc w:val="left"/>
        <w:rPr>
          <w:sz w:val="20"/>
        </w:rPr>
      </w:pPr>
      <w:r>
        <w:rPr>
          <w:sz w:val="20"/>
        </w:rPr>
      </w:r>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IX.  Company’s Compensation:</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top w:val="single" w:sz="12" w:space="0" w:color="000000"/>
              <w:left w:val="single" w:sz="12" w:space="0" w:color="000000"/>
              <w:bottom w:val="single" w:sz="12" w:space="0" w:color="000000"/>
              <w:right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20"/>
              </w:rPr>
            </w:pPr>
            <w:r>
              <w:rPr>
                <w:rFonts w:ascii="Times New Roman" w:hAnsi="Times New Roman"/>
                <w:sz w:val="20"/>
              </w:rPr>
              <w:t>In consideration for the Services described herein, Company’s compensation shall be comprised of the following:</w:t>
            </w:r>
          </w:p>
          <w:p>
            <w:pPr>
              <w:pStyle w:val="TableContents"/>
              <w:bidi w:val="0"/>
              <w:spacing w:before="0" w:after="0"/>
              <w:ind w:left="1140" w:right="0" w:hanging="720"/>
              <w:jc w:val="both"/>
              <w:rPr>
                <w:rFonts w:ascii="Times New Roman" w:hAnsi="Times New Roman"/>
                <w:sz w:val="20"/>
              </w:rPr>
            </w:pPr>
            <w:r>
              <w:rPr>
                <w:rFonts w:ascii="Times New Roman" w:hAnsi="Times New Roman"/>
                <w:sz w:val="20"/>
              </w:rPr>
              <w:t>(i)           A launch fee in the form of Taboola.com Ltd ordinary shares and non-voting ordinary shares paid to the Company in accordance with the Omnibus Agreement (the “</w:t>
            </w:r>
            <w:r>
              <w:rPr>
                <w:rFonts w:ascii="Times New Roman" w:hAnsi="Times New Roman"/>
                <w:b/>
                <w:sz w:val="20"/>
              </w:rPr>
              <w:t>Launch</w:t>
            </w:r>
            <w:r>
              <w:rPr>
                <w:rFonts w:ascii="Times New Roman" w:hAnsi="Times New Roman"/>
                <w:sz w:val="20"/>
              </w:rPr>
              <w:t> </w:t>
            </w:r>
            <w:r>
              <w:rPr>
                <w:rFonts w:ascii="Times New Roman" w:hAnsi="Times New Roman"/>
                <w:b/>
                <w:sz w:val="20"/>
              </w:rPr>
              <w:t>Fee</w:t>
            </w:r>
            <w:r>
              <w:rPr>
                <w:rFonts w:ascii="Times New Roman" w:hAnsi="Times New Roman"/>
                <w:sz w:val="20"/>
              </w:rPr>
              <w:t>”); and</w:t>
            </w:r>
          </w:p>
          <w:p>
            <w:pPr>
              <w:pStyle w:val="TableContents"/>
              <w:bidi w:val="0"/>
              <w:spacing w:before="0" w:after="0"/>
              <w:jc w:val="both"/>
              <w:rPr/>
            </w:pPr>
            <w:r>
              <w:rPr/>
              <w:t xml:space="preserve">  </w:t>
            </w:r>
          </w:p>
          <w:p>
            <w:pPr>
              <w:pStyle w:val="TableContents"/>
              <w:bidi w:val="0"/>
              <w:spacing w:before="0" w:after="0"/>
              <w:ind w:left="780" w:right="0" w:hanging="360"/>
              <w:jc w:val="both"/>
              <w:rPr>
                <w:rFonts w:ascii="Times New Roman" w:hAnsi="Times New Roman"/>
                <w:sz w:val="20"/>
              </w:rPr>
            </w:pPr>
            <w:r>
              <w:rPr>
                <w:rFonts w:ascii="Times New Roman" w:hAnsi="Times New Roman"/>
                <w:sz w:val="20"/>
              </w:rPr>
              <w:t>(ii)            Gross Revenue multiplied by the Revenue Share Percentage (the “</w:t>
            </w:r>
            <w:r>
              <w:rPr>
                <w:rFonts w:ascii="Times New Roman" w:hAnsi="Times New Roman"/>
                <w:b/>
                <w:sz w:val="20"/>
              </w:rPr>
              <w:t>Revenue Share</w:t>
            </w:r>
            <w:r>
              <w:rPr>
                <w:rFonts w:ascii="Times New Roman" w:hAnsi="Times New Roman"/>
                <w:sz w:val="20"/>
              </w:rPr>
              <w:t>”).</w:t>
            </w:r>
          </w:p>
          <w:p>
            <w:pPr>
              <w:pStyle w:val="TableContents"/>
              <w:bidi w:val="0"/>
              <w:spacing w:before="0" w:after="0"/>
              <w:ind w:left="780" w:right="0" w:hanging="36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20"/>
              </w:rPr>
            </w:pPr>
            <w:r>
              <w:rPr>
                <w:rFonts w:ascii="Times New Roman" w:hAnsi="Times New Roman"/>
                <w:sz w:val="20"/>
              </w:rPr>
              <w:t>The Launch Fee and the Revenue Share shall be hereinafter referred to as the “</w:t>
            </w:r>
            <w:r>
              <w:rPr>
                <w:rFonts w:ascii="Times New Roman" w:hAnsi="Times New Roman"/>
                <w:b/>
                <w:sz w:val="20"/>
              </w:rPr>
              <w:t>Compensation</w:t>
            </w:r>
            <w:r>
              <w:rPr>
                <w:rFonts w:ascii="Times New Roman" w:hAnsi="Times New Roman"/>
                <w:sz w:val="20"/>
              </w:rPr>
              <w:t>.”</w:t>
            </w:r>
          </w:p>
          <w:p>
            <w:pPr>
              <w:pStyle w:val="TableContents"/>
              <w:bidi w:val="0"/>
              <w:spacing w:before="0" w:after="0"/>
              <w:jc w:val="both"/>
              <w:rPr>
                <w:rFonts w:ascii="Times New Roman" w:hAnsi="Times New Roman"/>
                <w:sz w:val="20"/>
              </w:rPr>
            </w:pPr>
            <w:r>
              <w:rPr>
                <w:rFonts w:ascii="Times New Roman" w:hAnsi="Times New Roman"/>
                <w:sz w:val="20"/>
              </w:rPr>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4" w:name="z7cb41d7c329a4fd0b40d46458558e06b"/>
      <w:bookmarkStart w:id="55" w:name="z7cb41d7c329a4fd0b40d46458558e06b"/>
      <w:bookmarkEnd w:id="55"/>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tcMar>
              <w:top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X. Demand Services and Demand Migration Agreement:</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ind w:left="390" w:right="0" w:hanging="390"/>
              <w:jc w:val="both"/>
              <w:rPr>
                <w:rFonts w:ascii="Times New Roman" w:hAnsi="Times New Roman"/>
                <w:sz w:val="20"/>
              </w:rPr>
            </w:pPr>
            <w:r>
              <w:rPr>
                <w:rFonts w:ascii="Times New Roman" w:hAnsi="Times New Roman"/>
                <w:sz w:val="20"/>
              </w:rPr>
            </w:r>
          </w:p>
          <w:p>
            <w:pPr>
              <w:pStyle w:val="TableContents"/>
              <w:bidi w:val="0"/>
              <w:spacing w:before="0" w:after="0"/>
              <w:ind w:left="390" w:right="0" w:hanging="390"/>
              <w:jc w:val="both"/>
              <w:rPr/>
            </w:pPr>
            <w:r>
              <w:rPr>
                <w:rFonts w:ascii="Times New Roman" w:hAnsi="Times New Roman"/>
                <w:sz w:val="20"/>
              </w:rPr>
              <w:t>A.</w:t>
            </w:r>
            <w:r>
              <w:rPr/>
              <w:t xml:space="preserve">   </w:t>
            </w:r>
            <w:r>
              <w:rPr>
                <w:rFonts w:ascii="Times New Roman" w:hAnsi="Times New Roman"/>
                <w:b/>
                <w:sz w:val="20"/>
              </w:rPr>
              <w:t>Demand Services and Demand Migration Plan</w:t>
            </w:r>
            <w:r>
              <w:rPr>
                <w:rFonts w:ascii="Times New Roman" w:hAnsi="Times New Roman"/>
                <w:sz w:val="20"/>
              </w:rPr>
              <w:t>. Within thirty (30) days of the Effective Date, the Parties agree in good faith to develop and finalize a Demand Services and Migration Plan which will be based on the preliminary key provisions set forth in Appendix G (“</w:t>
            </w:r>
            <w:r>
              <w:rPr>
                <w:rFonts w:ascii="Times New Roman" w:hAnsi="Times New Roman"/>
                <w:b/>
                <w:sz w:val="20"/>
              </w:rPr>
              <w:t>Demand Transition Key Provisions</w:t>
            </w:r>
            <w:r>
              <w:rPr>
                <w:rFonts w:ascii="Times New Roman" w:hAnsi="Times New Roman"/>
                <w:sz w:val="20"/>
              </w:rPr>
              <w:t>”).  The Demand Services and Migration Plan will address the (i) transition of Native Only Advertisers and Native API advertisers and their campaigns from Company to Taboola’s parent company Taboola.com Ltd.; and (ii) enablement Omnichannel Advertisers to purchase Native Advertisement inventory through the UCAM/Taboola Interface.</w:t>
            </w:r>
          </w:p>
          <w:p>
            <w:pPr>
              <w:pStyle w:val="TableContents"/>
              <w:bidi w:val="0"/>
              <w:spacing w:before="0" w:after="0"/>
              <w:jc w:val="left"/>
              <w:rPr/>
            </w:pPr>
            <w:r>
              <w:rPr/>
              <w:t> </w:t>
            </w:r>
          </w:p>
          <w:p>
            <w:pPr>
              <w:pStyle w:val="TableContents"/>
              <w:bidi w:val="0"/>
              <w:spacing w:before="0" w:after="0"/>
              <w:ind w:left="390" w:right="0" w:hanging="390"/>
              <w:jc w:val="both"/>
              <w:rPr/>
            </w:pPr>
            <w:r>
              <w:rPr>
                <w:rFonts w:ascii="Times New Roman" w:hAnsi="Times New Roman"/>
                <w:sz w:val="20"/>
              </w:rPr>
              <w:t>B.</w:t>
            </w:r>
            <w:r>
              <w:rPr/>
              <w:t xml:space="preserve">    </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both"/>
              <w:rPr/>
            </w:pPr>
            <w:r>
              <w:rPr/>
              <w:t xml:space="preserve">      </w:t>
            </w:r>
            <w:r>
              <w:rPr>
                <w:rFonts w:ascii="Times New Roman" w:hAnsi="Times New Roman"/>
                <w:sz w:val="20"/>
              </w:rPr>
              <w:t>(i) [***]</w:t>
            </w:r>
          </w:p>
          <w:p>
            <w:pPr>
              <w:pStyle w:val="TableContents"/>
              <w:bidi w:val="0"/>
              <w:spacing w:before="0" w:after="0"/>
              <w:jc w:val="both"/>
              <w:rPr/>
            </w:pPr>
            <w:r>
              <w:rPr/>
              <w:t>      </w:t>
            </w:r>
            <w:r>
              <w:rPr>
                <w:rFonts w:ascii="Times New Roman" w:hAnsi="Times New Roman"/>
                <w:sz w:val="20"/>
              </w:rPr>
              <w:t>(ii) [***]</w:t>
            </w:r>
          </w:p>
          <w:p>
            <w:pPr>
              <w:pStyle w:val="TableContents"/>
              <w:bidi w:val="0"/>
              <w:spacing w:before="0" w:after="0"/>
              <w:jc w:val="both"/>
              <w:rPr>
                <w:rFonts w:ascii="Times New Roman" w:hAnsi="Times New Roman"/>
                <w:sz w:val="20"/>
              </w:rPr>
            </w:pPr>
            <w:r>
              <w:rPr>
                <w:rFonts w:ascii="Times New Roman" w:hAnsi="Times New Roman"/>
                <w:sz w:val="20"/>
              </w:rPr>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6" w:name="zd0836de1f2834e2e9ca7df623514d659"/>
      <w:bookmarkStart w:id="57" w:name="zd0836de1f2834e2e9ca7df623514d659"/>
      <w:bookmarkEnd w:id="57"/>
    </w:p>
    <w:tbl>
      <w:tblPr>
        <w:tblW w:w="10205" w:type="dxa"/>
        <w:jc w:val="left"/>
        <w:tblInd w:w="-15" w:type="dxa"/>
        <w:tblLayout w:type="fixed"/>
        <w:tblCellMar>
          <w:top w:w="28" w:type="dxa"/>
          <w:left w:w="28" w:type="dxa"/>
          <w:bottom w:w="0" w:type="dxa"/>
          <w:right w:w="28" w:type="dxa"/>
        </w:tblCellMar>
      </w:tblPr>
      <w:tblGrid>
        <w:gridCol w:w="10205"/>
      </w:tblGrid>
      <w:tr>
        <w:trPr/>
        <w:tc>
          <w:tcPr>
            <w:tcW w:w="10205" w:type="dxa"/>
            <w:tcBorders>
              <w:top w:val="single" w:sz="12" w:space="0" w:color="000000"/>
              <w:left w:val="single" w:sz="12" w:space="0" w:color="000000"/>
              <w:right w:val="single" w:sz="12" w:space="0" w:color="000000"/>
            </w:tcBorders>
            <w:shd w:fill="E7E6E6" w:val="clear"/>
            <w:vAlign w:val="center"/>
          </w:tcPr>
          <w:p>
            <w:pPr>
              <w:pStyle w:val="TableContents"/>
              <w:bidi w:val="0"/>
              <w:spacing w:before="0" w:after="283"/>
              <w:jc w:val="left"/>
              <w:rPr/>
            </w:pPr>
            <w:r>
              <w:rPr/>
              <w:t> </w:t>
            </w:r>
          </w:p>
        </w:tc>
      </w:tr>
      <w:tr>
        <w:trPr/>
        <w:tc>
          <w:tcPr>
            <w:tcW w:w="10205" w:type="dxa"/>
            <w:tcBorders>
              <w:left w:val="single" w:sz="12" w:space="0" w:color="000000"/>
              <w:right w:val="single" w:sz="12" w:space="0" w:color="000000"/>
            </w:tcBorders>
            <w:shd w:fill="E7E6E6" w:val="clear"/>
            <w:tcMar>
              <w:top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XI.  Additional Taboola Offerings:</w:t>
            </w:r>
          </w:p>
        </w:tc>
      </w:tr>
      <w:tr>
        <w:trPr/>
        <w:tc>
          <w:tcPr>
            <w:tcW w:w="10205" w:type="dxa"/>
            <w:tcBorders>
              <w:left w:val="single" w:sz="12" w:space="0" w:color="000000"/>
              <w:bottom w:val="single" w:sz="12" w:space="0" w:color="000000"/>
              <w:right w:val="single" w:sz="12" w:space="0" w:color="000000"/>
            </w:tcBorders>
            <w:shd w:fill="E7E6E6" w:val="clear"/>
            <w:tcMar>
              <w:top w:w="0" w:type="dxa"/>
              <w:bottom w:w="28" w:type="dxa"/>
            </w:tcMar>
            <w:vAlign w:val="center"/>
          </w:tcPr>
          <w:p>
            <w:pPr>
              <w:pStyle w:val="TableContents"/>
              <w:bidi w:val="0"/>
              <w:spacing w:before="0" w:after="283"/>
              <w:jc w:val="left"/>
              <w:rPr/>
            </w:pPr>
            <w:r>
              <w:rPr/>
              <w:t> </w:t>
            </w:r>
          </w:p>
        </w:tc>
      </w:tr>
      <w:tr>
        <w:trPr/>
        <w:tc>
          <w:tcPr>
            <w:tcW w:w="1020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ind w:left="133" w:right="152" w:hanging="0"/>
              <w:jc w:val="both"/>
              <w:rPr>
                <w:rFonts w:ascii="Times New Roman" w:hAnsi="Times New Roman"/>
                <w:sz w:val="16"/>
              </w:rPr>
            </w:pPr>
            <w:r>
              <w:rPr>
                <w:rFonts w:ascii="Times New Roman" w:hAnsi="Times New Roman"/>
                <w:i/>
                <w:sz w:val="20"/>
              </w:rPr>
              <w:br/>
              <w:t>Additional Taboola Offerings</w:t>
            </w:r>
            <w:r>
              <w:rPr>
                <w:rFonts w:ascii="Times New Roman" w:hAnsi="Times New Roman"/>
                <w:sz w:val="20"/>
              </w:rPr>
              <w:t>. At any time during the Term, Company may, at its discretion, elect to use additional Taboola offerings such as (i) Company’s paid search advertising administered by Taboola, or (ii) e-Commerce advertising (collectively, the “</w:t>
            </w:r>
            <w:r>
              <w:rPr>
                <w:rFonts w:ascii="Times New Roman" w:hAnsi="Times New Roman"/>
                <w:b/>
                <w:sz w:val="20"/>
              </w:rPr>
              <w:t>Additional Taboola Offerings</w:t>
            </w:r>
            <w:r>
              <w:rPr>
                <w:rFonts w:ascii="Times New Roman" w:hAnsi="Times New Roman"/>
                <w:sz w:val="20"/>
              </w:rPr>
              <w:t>”). Company’s use of Additional Taboola Offerings, shall be governed by a separate written agreement between the Parties.  For avoidance of doubt, Company’s use of Additional Taboola Offerings will not be incorporated into the Services. In addition, the Parties will explore in good faith other opportunities on which to collaborate during the Term.</w:t>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7</w:t>
      </w:r>
    </w:p>
    <w:p>
      <w:pPr>
        <w:pStyle w:val="HorizontalLine"/>
        <w:pBdr>
          <w:bottom w:val="single" w:sz="12" w:space="0" w:color="808080"/>
        </w:pBdr>
        <w:bidi w:val="0"/>
        <w:spacing w:before="200" w:after="200"/>
        <w:jc w:val="left"/>
        <w:rPr/>
      </w:pPr>
      <w:r>
        <w:rPr/>
      </w:r>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r>
              <w:rPr/>
              <w:t> </w:t>
            </w:r>
          </w:p>
          <w:p>
            <w:pPr>
              <w:pStyle w:val="TableContents"/>
              <w:bidi w:val="0"/>
              <w:spacing w:before="0" w:after="0"/>
              <w:ind w:left="156" w:right="149" w:firstLine="14"/>
              <w:jc w:val="both"/>
              <w:rPr>
                <w:rFonts w:ascii="Times New Roman" w:hAnsi="Times New Roman"/>
                <w:b/>
                <w:sz w:val="20"/>
              </w:rPr>
            </w:pPr>
            <w:r>
              <w:rPr>
                <w:rFonts w:ascii="Times New Roman" w:hAnsi="Times New Roman"/>
                <w:b/>
                <w:sz w:val="20"/>
              </w:rPr>
              <w:t>XII.  Term and Termination:</w:t>
            </w:r>
          </w:p>
          <w:p>
            <w:pPr>
              <w:pStyle w:val="TableContents"/>
              <w:bidi w:val="0"/>
              <w:spacing w:before="0" w:after="0"/>
              <w:jc w:val="left"/>
              <w:rPr/>
            </w:pPr>
            <w:r>
              <w:rPr/>
              <w:t> </w:t>
            </w:r>
          </w:p>
        </w:tc>
      </w:tr>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r>
              <w:rPr>
                <w:rFonts w:ascii="Times New Roman" w:hAnsi="Times New Roman"/>
                <w:sz w:val="20"/>
              </w:rPr>
              <w:t>A.</w:t>
            </w:r>
            <w:r>
              <w:rPr/>
              <w:t>          </w:t>
            </w:r>
            <w:r>
              <w:rPr>
                <w:rFonts w:ascii="Times New Roman" w:hAnsi="Times New Roman"/>
                <w:sz w:val="20"/>
              </w:rPr>
              <w:t>The Term (as defined below) of this Agreement will commence upon the Effective Date (as defined below) and will, unless earlier terminated as set forth herein, continue for a period of thirty (30) years from the Effective Date (the “</w:t>
            </w:r>
            <w:r>
              <w:rPr>
                <w:rFonts w:ascii="Times New Roman" w:hAnsi="Times New Roman"/>
                <w:b/>
                <w:sz w:val="20"/>
              </w:rPr>
              <w:t>Initial Term</w:t>
            </w:r>
            <w:r>
              <w:rPr>
                <w:rFonts w:ascii="Times New Roman" w:hAnsi="Times New Roman"/>
                <w:sz w:val="20"/>
              </w:rPr>
              <w:t>”). At the end of the Initial Term, this Agreement will automatically renew for additional, successive twenty-four (24) month periods (each, a “</w:t>
            </w:r>
            <w:r>
              <w:rPr>
                <w:rFonts w:ascii="Times New Roman" w:hAnsi="Times New Roman"/>
                <w:b/>
                <w:sz w:val="20"/>
              </w:rPr>
              <w:t>Renewal Term</w:t>
            </w:r>
            <w:r>
              <w:rPr>
                <w:rFonts w:ascii="Times New Roman" w:hAnsi="Times New Roman"/>
                <w:sz w:val="20"/>
              </w:rPr>
              <w:t>” and the Initial Term and all Renewal Terms collectively, the “</w:t>
            </w:r>
            <w:r>
              <w:rPr>
                <w:rFonts w:ascii="Times New Roman" w:hAnsi="Times New Roman"/>
                <w:b/>
                <w:sz w:val="20"/>
              </w:rPr>
              <w:t>Term</w:t>
            </w:r>
            <w:r>
              <w:rPr>
                <w:rFonts w:ascii="Times New Roman" w:hAnsi="Times New Roman"/>
                <w:sz w:val="20"/>
              </w:rPr>
              <w:t>”), unless one Party notifies the other in writing (email shall be sufficient) of its intention not to renew at least ninety (90) days prior to the end of the then-current Term.</w:t>
            </w:r>
          </w:p>
          <w:p>
            <w:pPr>
              <w:pStyle w:val="TableContents"/>
              <w:bidi w:val="0"/>
              <w:spacing w:before="0" w:after="0"/>
              <w:jc w:val="both"/>
              <w:rPr/>
            </w:pPr>
            <w:r>
              <w:rPr>
                <w:rFonts w:ascii="Times New Roman" w:hAnsi="Times New Roman"/>
                <w:sz w:val="20"/>
              </w:rPr>
              <w:br/>
              <w:t>B.</w:t>
            </w:r>
            <w:r>
              <w:rPr/>
              <w:t>          </w:t>
            </w:r>
            <w:r>
              <w:rPr>
                <w:rFonts w:ascii="Times New Roman" w:hAnsi="Times New Roman"/>
                <w:sz w:val="20"/>
              </w:rPr>
              <w:t>[***].</w:t>
            </w:r>
          </w:p>
          <w:p>
            <w:pPr>
              <w:pStyle w:val="TableContents"/>
              <w:bidi w:val="0"/>
              <w:spacing w:before="0" w:after="0"/>
              <w:jc w:val="both"/>
              <w:rPr>
                <w:sz w:val="20"/>
              </w:rPr>
            </w:pPr>
            <w:r>
              <w:rPr>
                <w:sz w:val="20"/>
              </w:rPr>
            </w:r>
          </w:p>
          <w:p>
            <w:pPr>
              <w:pStyle w:val="TableContents"/>
              <w:bidi w:val="0"/>
              <w:spacing w:before="0" w:after="0"/>
              <w:jc w:val="both"/>
              <w:rPr/>
            </w:pPr>
            <w:r>
              <w:rPr>
                <w:rFonts w:ascii="Times New Roman" w:hAnsi="Times New Roman"/>
                <w:sz w:val="20"/>
              </w:rPr>
              <w:t>C.</w:t>
            </w:r>
            <w:r>
              <w:rPr/>
              <w:t>          </w:t>
            </w:r>
            <w:r>
              <w:rPr>
                <w:rFonts w:ascii="Times New Roman" w:hAnsi="Times New Roman"/>
                <w:sz w:val="20"/>
              </w:rPr>
              <w:t>Subject to Section 10, either Party may terminate this Agreement in the event of a material breach of this Agreement by the other party which remains uncured after sixty (60) days of written notice thereof.</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pPr>
            <w:r>
              <w:rPr>
                <w:rFonts w:ascii="Times New Roman" w:hAnsi="Times New Roman"/>
                <w:sz w:val="20"/>
              </w:rPr>
              <w:t>D.</w:t>
            </w:r>
            <w:r>
              <w:rPr/>
              <w:t xml:space="preserve">         </w:t>
            </w:r>
            <w:r>
              <w:rPr>
                <w:rFonts w:ascii="Times New Roman" w:hAnsi="Times New Roman"/>
                <w:sz w:val="20"/>
              </w:rPr>
              <w:t>Either party may terminate this Agreement immediately, upon written notice (email shall be sufficient), in the event a Party (a) becomes insolvent or makes a general assignment of assets for the benefit of creditors; (b) suffers or permits the appointment of a conservator or receiver for its business or assets or any similar action by a governmental entity for the purpose of assuming operation or control of the party due to the financial condition of the party; (c) becomes subject to any proceeding under any bankruptcy or insolvency law whether domestic or foreign, and such proceeding or action has not been dismissed within a thirty (30) day period; or (d) has wound up or liquidated its business, voluntarily or otherwise.</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pPr>
            <w:r>
              <w:rPr>
                <w:rFonts w:ascii="Times New Roman" w:hAnsi="Times New Roman"/>
                <w:sz w:val="20"/>
              </w:rPr>
              <w:t>E.</w:t>
            </w:r>
            <w:r>
              <w:rPr/>
              <w:t>          </w:t>
            </w:r>
            <w:r>
              <w:rPr>
                <w:rFonts w:ascii="Times New Roman" w:hAnsi="Times New Roman"/>
                <w:sz w:val="20"/>
              </w:rPr>
              <w:t>This Agreement will terminate automatically upon the termination of the Omnibus Agreement, dated as of November 28, 2022, by and among Taboola.com Ltd., College Top Holdings Inc. and Yahoo AdTech JV, LLC, in accordance with its terms.</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pPr>
            <w:r>
              <w:rPr>
                <w:rFonts w:ascii="Times New Roman" w:hAnsi="Times New Roman"/>
                <w:sz w:val="20"/>
              </w:rPr>
              <w:t>F.</w:t>
            </w:r>
            <w:r>
              <w:rPr/>
              <w:t>          </w:t>
            </w:r>
            <w:r>
              <w:rPr>
                <w:rFonts w:ascii="Times New Roman" w:hAnsi="Times New Roman"/>
                <w:sz w:val="20"/>
              </w:rPr>
              <w:t>Notwithstanding anything to the contrary in this Agreement, each provision of this Agreement that is operative from and after the Effective Date will be subject to review and approval of the Parties' antitrust counsels, and will only be implemented if and to the extent that the Parties' antitrust counsels mutually confirm that it is compliant with the provisions of the Israeli Competition law and the competition laws of each other jurisdiction in which the companies operate, and will otherwise be deferred until receipt of approval from the Israeli Competition Authority and each other competition authority the approval of which is required (the “</w:t>
            </w:r>
            <w:r>
              <w:rPr>
                <w:rFonts w:ascii="Times New Roman" w:hAnsi="Times New Roman"/>
                <w:b/>
                <w:sz w:val="20"/>
              </w:rPr>
              <w:t>Required Approvals</w:t>
            </w:r>
            <w:r>
              <w:rPr>
                <w:rFonts w:ascii="Times New Roman" w:hAnsi="Times New Roman"/>
                <w:sz w:val="20"/>
              </w:rPr>
              <w:t>”).  For the avoidance of doubt, prior to the receipt of any Required Approvals, it is the intention of the Parties only to prepare for the implementation of this Agreement and not to implement joint changes to any commercial agreements or relationships with third parties.</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 PAGE FOLLOWS]</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8</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Taboola and Company enter into this Agreement based upon the terms, covenants, and conditions set forth in the attached Terms and Conditions.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ACCEPTED AND AGREED: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8" w:name="z0eac207b780a4d6ea21768e5d1f70677"/>
      <w:bookmarkStart w:id="59" w:name="z0eac207b780a4d6ea21768e5d1f70677"/>
      <w:bookmarkEnd w:id="59"/>
    </w:p>
    <w:tbl>
      <w:tblPr>
        <w:tblW w:w="6025" w:type="dxa"/>
        <w:jc w:val="left"/>
        <w:tblInd w:w="0" w:type="dxa"/>
        <w:tblLayout w:type="fixed"/>
        <w:tblCellMar>
          <w:top w:w="0" w:type="dxa"/>
          <w:left w:w="0" w:type="dxa"/>
          <w:bottom w:w="0" w:type="dxa"/>
          <w:right w:w="0" w:type="dxa"/>
        </w:tblCellMar>
      </w:tblPr>
      <w:tblGrid>
        <w:gridCol w:w="2885"/>
        <w:gridCol w:w="3140"/>
      </w:tblGrid>
      <w:tr>
        <w:trPr/>
        <w:tc>
          <w:tcPr>
            <w:tcW w:w="2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TABOOLA, INC.</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YAHOO INC.</w:t>
            </w:r>
          </w:p>
        </w:tc>
      </w:tr>
      <w:tr>
        <w:trPr/>
        <w:tc>
          <w:tcPr>
            <w:tcW w:w="288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Adam Singolda</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Matthew Garber</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Adam Singolda</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Matthew Garber</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Assistant Secretary</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November 27, 2022</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November 27, 2022</w:t>
            </w:r>
          </w:p>
        </w:tc>
      </w:tr>
      <w:tr>
        <w:trPr/>
        <w:tc>
          <w:tcPr>
            <w:tcW w:w="288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Stephen Walker</w:t>
            </w:r>
          </w:p>
        </w:tc>
        <w:tc>
          <w:tcPr>
            <w:tcW w:w="314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Stephen Walker</w:t>
            </w:r>
          </w:p>
        </w:tc>
        <w:tc>
          <w:tcPr>
            <w:tcW w:w="314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tc>
        <w:tc>
          <w:tcPr>
            <w:tcW w:w="314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November 27, 2022</w:t>
            </w:r>
          </w:p>
        </w:tc>
        <w:tc>
          <w:tcPr>
            <w:tcW w:w="314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Address for Notice</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Address for Notice</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Taboola, Inc.</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CEO, Yahoo Inc.</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16 Madison Square West, 7th Floor</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770 Broadway 4th Floor</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York, New York 10010</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York., New York</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a copy to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a copy to:</w:t>
            </w:r>
          </w:p>
        </w:tc>
      </w:tr>
      <w:tr>
        <w:trPr/>
        <w:tc>
          <w:tcPr>
            <w:tcW w:w="288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Deputy General Counsel, Transactions</w:t>
            </w:r>
          </w:p>
        </w:tc>
      </w:tr>
      <w:tr>
        <w:trPr/>
        <w:tc>
          <w:tcPr>
            <w:tcW w:w="288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Yahoo Inc.</w:t>
            </w:r>
          </w:p>
        </w:tc>
      </w:tr>
      <w:tr>
        <w:trPr/>
        <w:tc>
          <w:tcPr>
            <w:tcW w:w="288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770 Broadway 4th Floor</w:t>
            </w:r>
          </w:p>
        </w:tc>
      </w:tr>
      <w:tr>
        <w:trPr/>
        <w:tc>
          <w:tcPr>
            <w:tcW w:w="288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York, New York</w:t>
            </w:r>
          </w:p>
        </w:tc>
      </w:tr>
      <w:tr>
        <w:trPr/>
        <w:tc>
          <w:tcPr>
            <w:tcW w:w="288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a copy sent by email to [***]</w:t>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TABOOLA.COM LTD.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DIGITAL PROPERTY SERVICES AGREEMENT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TERMS AND CONDITIONS</w:t>
      </w:r>
    </w:p>
    <w:p>
      <w:pPr>
        <w:pStyle w:val="TextBody"/>
        <w:bidi w:val="0"/>
        <w:spacing w:before="0" w:after="0"/>
        <w:jc w:val="center"/>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60" w:name="z9f129e799561401bbf40d8b57994fa14"/>
      <w:bookmarkStart w:id="61" w:name="z9f129e799561401bbf40d8b57994fa14"/>
      <w:bookmarkEnd w:id="61"/>
    </w:p>
    <w:tbl>
      <w:tblPr>
        <w:tblW w:w="1585" w:type="dxa"/>
        <w:jc w:val="left"/>
        <w:tblInd w:w="0" w:type="dxa"/>
        <w:tblLayout w:type="fixed"/>
        <w:tblCellMar>
          <w:top w:w="0" w:type="dxa"/>
          <w:left w:w="0" w:type="dxa"/>
          <w:bottom w:w="0" w:type="dxa"/>
          <w:right w:w="0" w:type="dxa"/>
        </w:tblCellMar>
      </w:tblPr>
      <w:tblGrid>
        <w:gridCol w:w="185"/>
        <w:gridCol w:w="140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40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u w:val="single"/>
              </w:rPr>
              <w:t>Grant of Rights</w:t>
            </w:r>
            <w:r>
              <w:rPr>
                <w:rFonts w:ascii="Times New Roman" w:hAnsi="Times New Roman"/>
                <w:b/>
                <w:color w:val="000000"/>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9384559ad13a4c05b49f20097a490896"/>
      <w:bookmarkStart w:id="63" w:name="z9384559ad13a4c05b49f20097a490896"/>
      <w:bookmarkEnd w:id="63"/>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Taboola grants Company a limited, non-exclusive, non-assignable, non-transferable (subject to Paragraph 15 (Assignment)), non-sublicensable, royalty-free right during the Term to access and use (a) the Platform (including Recommendations) and any associated APIs, code, or software (including any updates and enhancements) on the Properties as described above and as mutually agreed between the Parties, and (b) Taboola’s proprietary analytics and management dashboard (the “</w:t>
            </w:r>
            <w:r>
              <w:rPr>
                <w:rFonts w:ascii="Times New Roman" w:hAnsi="Times New Roman"/>
                <w:b/>
                <w:sz w:val="20"/>
              </w:rPr>
              <w:t>Analytics Dashboard</w:t>
            </w:r>
            <w:r>
              <w:rPr>
                <w:rFonts w:ascii="Times New Roman" w:hAnsi="Times New Roman"/>
                <w:sz w:val="20"/>
              </w:rPr>
              <w:t>”) solely for purposes of tracking performance of the Platform and reviewing the analytics associated with the Properties. For clarity, during the Term, Company shall have the right to use, to the extent made available at scale to other digital properties, the following additional Platform capabilities: (i) Taboola Newsroom: Taboola’s proprietary editorial analytics platform; (ii) Taboola Audience Exchange: Taboola’s digital properties content exchange platform, which allows Company to exchange traffic with Company’s partners; and (iii) Taboola Read More: Taboola code that truncates the Property article and replaces the removed text with a “Read More” button and the Platform implemented directly below, until a user clicks on the “Read More” button, which will cause the article to expand and the Platform to appear directly below the end of the full article. During the Term, Taboola may also offer Company the right to use certain experimental features that are made available on a test basis (“</w:t>
            </w:r>
            <w:r>
              <w:rPr>
                <w:rFonts w:ascii="Times New Roman" w:hAnsi="Times New Roman"/>
                <w:b/>
                <w:sz w:val="20"/>
              </w:rPr>
              <w:t>Beta Features</w:t>
            </w:r>
            <w:r>
              <w:rPr>
                <w:rFonts w:ascii="Times New Roman" w:hAnsi="Times New Roman"/>
                <w:sz w:val="20"/>
              </w:rPr>
              <w:t>”), which Taboola may modify or remove at any time upon notice to Company (email to suffice) if such Beta Features are used by Company. Taboola may modify features and shall prior Company with prior written notice as soon as commercially practicable (including those as mutually agreed between the Parties) to the extent necessary to comply with any applicable law, self-regulatory rule or principle, or consumer disclosure standard or best practice.  For clarity, Company’s use of the above-referenced additional Platform capabilities, including Beta Features, shall not be included in the Services.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486b2647883647fc9253c9a9d71c93a2"/>
      <w:bookmarkStart w:id="65" w:name="z486b2647883647fc9253c9a9d71c93a2"/>
      <w:bookmarkEnd w:id="6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sz w:val="16"/>
              </w:rPr>
            </w:pPr>
            <w:r>
              <w:rPr>
                <w:rFonts w:ascii="Times New Roman" w:hAnsi="Times New Roman"/>
                <w:sz w:val="20"/>
              </w:rPr>
              <w:t>In addition, during the Term, where applicable, Taboola hereby grants Company a non-exclusive, non-transferable, non-sublicensable, limited, and revocable right to copy and use the SDK (including any related documentation) with mobile application Properties, solely to serve Recommendations as set forth herein and in a manner that complies with the technical and implementation requirements as informed by Taboola. If Taboola makes available any upgrades, patches, enhancements, or fixes for the SDK (“</w:t>
            </w:r>
            <w:r>
              <w:rPr>
                <w:rFonts w:ascii="Times New Roman" w:hAnsi="Times New Roman"/>
                <w:b/>
                <w:sz w:val="20"/>
              </w:rPr>
              <w:t>Updates</w:t>
            </w:r>
            <w:r>
              <w:rPr>
                <w:rFonts w:ascii="Times New Roman" w:hAnsi="Times New Roman"/>
                <w:sz w:val="16"/>
              </w:rPr>
              <w:t>”</w:t>
            </w:r>
            <w:r>
              <w:rPr>
                <w:rFonts w:ascii="Times New Roman" w:hAnsi="Times New Roman"/>
                <w:sz w:val="20"/>
              </w:rPr>
              <w:t>), such Updates will become part of the SDK. Taboola shall provide Company with written notice of any such Updates (email shall be sufficient), and Company shall use reasonable efforts to implement the Updates within [***] of its release.  Company shall not (a) copy, modify, or adapt the SDK or any technology therein, or (b) rent, lease, sublicense, sell, assign (subject to Paragraph 15 (Assignment), loan, or otherwise transfer the SDK or any technology therein. Taboola may stop supporting the SDK or any features within the SDK with prior written notice to Company as soon as commercially practicable and as long as Taboola provides a technology comparable to the SDK (if the SDK is no longer supported) or the features within the SDK that are no longer supported. For clarity, “Company Audience Data” includes data collected by the SDK.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a7ed05fff9b345f9b908aa2b606550ad"/>
      <w:bookmarkStart w:id="67" w:name="za7ed05fff9b345f9b908aa2b606550ad"/>
      <w:bookmarkEnd w:id="67"/>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Company grants Taboola the right during the Term to (i) place the Platform, Taboola Sponsored Content (and any associated APIs, code, software, or cookies involved in providing the Services), and Company Licensed Content on the Properties; (ii) [***]; (iii) track and analyze the performance of the Services; (iv) conduct tests on how Visitors interact with the Properties or Recommendations to facilitate maintenance and optimization of the Services; (v) conduct automated A/B tests of different variations of the Platform on up to [***] of Company’s traffic; and (vi) serve programmatic advertising within the Platform subject to the terms and conditions below.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f72e62956f954019b7c29bc4b8a57bea"/>
      <w:bookmarkStart w:id="69" w:name="zf72e62956f954019b7c29bc4b8a57bea"/>
      <w:bookmarkEnd w:id="6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the extent that the Parties agree, at any time during the Term, that Taboola will integrate Company Licensed Content into the Feed, Company grants Taboola the right to (i) move its location; (ii) reduce the size or hide it entirely; (iii) add a scroll bar; and (iv) add a “Show More” button with an attribution to Taboola.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16c8610acd3d4fa6bf57da88a12996c5"/>
      <w:bookmarkStart w:id="71" w:name="z16c8610acd3d4fa6bf57da88a12996c5"/>
      <w:bookmarkEnd w:id="71"/>
    </w:p>
    <w:tbl>
      <w:tblPr>
        <w:tblW w:w="1188" w:type="dxa"/>
        <w:jc w:val="left"/>
        <w:tblInd w:w="0" w:type="dxa"/>
        <w:tblLayout w:type="fixed"/>
        <w:tblCellMar>
          <w:top w:w="0" w:type="dxa"/>
          <w:left w:w="0" w:type="dxa"/>
          <w:bottom w:w="0" w:type="dxa"/>
          <w:right w:w="0" w:type="dxa"/>
        </w:tblCellMar>
      </w:tblPr>
      <w:tblGrid>
        <w:gridCol w:w="38"/>
        <w:gridCol w:w="155"/>
        <w:gridCol w:w="995"/>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9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Ownership.</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          </w:t>
      </w:r>
      <w:r>
        <w:rPr>
          <w:rFonts w:ascii="Times New Roman" w:hAnsi="Times New Roman"/>
          <w:b/>
          <w:color w:val="000000"/>
          <w:sz w:val="20"/>
          <w:u w:val="single"/>
        </w:rPr>
        <w:t>Taboola</w:t>
      </w:r>
      <w:r>
        <w:rPr>
          <w:rFonts w:ascii="Times New Roman" w:hAnsi="Times New Roman"/>
          <w:color w:val="000000"/>
          <w:sz w:val="20"/>
        </w:rPr>
        <w:t>.  As between the Parties, Taboola owns all rights in and to the Services, Taboola Data, inclusive of Taboola’s cookie ID, and Taboola’s Confidential Information, Company is not required to provide any feedback or suggestions to Taboola. To the extent Company does provide any such feedback or suggestions, Company hereby grants to Taboola and its Affiliates a non-exclusive, perpetual, irrevocable, royalty-free, transferable, worldwide right, and license to use, reproduce, disclose, sublicense, distribute, modify, and otherwise exploit all such feedback and suggestions without restriction, provided however, Company provides such feedback on an “as-is” basis.  (ii) </w:t>
      </w:r>
      <w:r>
        <w:rPr>
          <w:rFonts w:ascii="Times New Roman" w:hAnsi="Times New Roman"/>
          <w:b/>
          <w:color w:val="000000"/>
          <w:sz w:val="20"/>
          <w:u w:val="single"/>
        </w:rPr>
        <w:t>Company</w:t>
      </w:r>
      <w:r>
        <w:rPr>
          <w:rFonts w:ascii="Times New Roman" w:hAnsi="Times New Roman"/>
          <w:color w:val="000000"/>
          <w:sz w:val="20"/>
        </w:rPr>
        <w:t>. As between the Parties, Company owns all rights in and to the Properties (and related data), Company Content, Company Data, and Company’s Confidential Information.  Taboola is not required to provide any feedback or suggestions to Company. To the extent Taboola does provide any such feedback or suggestions, Taboola hereby grants to Company and its Affiliates a non-exclusive, perpetual, irrevocable, royalty-free, transferable, worldwide right, and license to use, reproduce, disclose, sublicense, distribute, modify, and otherwise exploit all such feedback and suggestions without restriction, provided however, Taboola provides such feedback on an “as-is” basis.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a1834ad3912c4efa930823db433d5547"/>
      <w:bookmarkStart w:id="73" w:name="za1834ad3912c4efa930823db433d5547"/>
      <w:bookmarkEnd w:id="73"/>
    </w:p>
    <w:tbl>
      <w:tblPr>
        <w:tblW w:w="678" w:type="dxa"/>
        <w:jc w:val="left"/>
        <w:tblInd w:w="0" w:type="dxa"/>
        <w:tblLayout w:type="fixed"/>
        <w:tblCellMar>
          <w:top w:w="0" w:type="dxa"/>
          <w:left w:w="0" w:type="dxa"/>
          <w:bottom w:w="0" w:type="dxa"/>
          <w:right w:w="0" w:type="dxa"/>
        </w:tblCellMar>
      </w:tblPr>
      <w:tblGrid>
        <w:gridCol w:w="38"/>
        <w:gridCol w:w="125"/>
        <w:gridCol w:w="51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          [***].  [***].</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4" w:name="z673f4984b5a7417f81465dec7b0793cc"/>
      <w:bookmarkStart w:id="75" w:name="z673f4984b5a7417f81465dec7b0793cc"/>
      <w:bookmarkEnd w:id="75"/>
    </w:p>
    <w:tbl>
      <w:tblPr>
        <w:tblW w:w="1338" w:type="dxa"/>
        <w:jc w:val="left"/>
        <w:tblInd w:w="0" w:type="dxa"/>
        <w:tblLayout w:type="fixed"/>
        <w:tblCellMar>
          <w:top w:w="0" w:type="dxa"/>
          <w:left w:w="0" w:type="dxa"/>
          <w:bottom w:w="0" w:type="dxa"/>
          <w:right w:w="0" w:type="dxa"/>
        </w:tblCellMar>
      </w:tblPr>
      <w:tblGrid>
        <w:gridCol w:w="38"/>
        <w:gridCol w:w="260"/>
        <w:gridCol w:w="104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 xml:space="preserve">. </w:t>
            </w: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6" w:name="zf8f43f9fbd3641c3ad7b57a4f7ffdaf8"/>
      <w:bookmarkStart w:id="77" w:name="zf8f43f9fbd3641c3ad7b57a4f7ffdaf8"/>
      <w:bookmarkEnd w:id="77"/>
    </w:p>
    <w:tbl>
      <w:tblPr>
        <w:tblW w:w="1398" w:type="dxa"/>
        <w:jc w:val="left"/>
        <w:tblInd w:w="0" w:type="dxa"/>
        <w:tblLayout w:type="fixed"/>
        <w:tblCellMar>
          <w:top w:w="0" w:type="dxa"/>
          <w:left w:w="0" w:type="dxa"/>
          <w:bottom w:w="0" w:type="dxa"/>
          <w:right w:w="0" w:type="dxa"/>
        </w:tblCellMar>
      </w:tblPr>
      <w:tblGrid>
        <w:gridCol w:w="38"/>
        <w:gridCol w:w="320"/>
        <w:gridCol w:w="104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1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 xml:space="preserve">. </w:t>
            </w: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8" w:name="z05a97c33ce2849e082265fa8cb8fbd72"/>
      <w:bookmarkStart w:id="79" w:name="z05a97c33ce2849e082265fa8cb8fbd72"/>
      <w:bookmarkEnd w:id="79"/>
    </w:p>
    <w:tbl>
      <w:tblPr>
        <w:tblW w:w="1398" w:type="dxa"/>
        <w:jc w:val="left"/>
        <w:tblInd w:w="0" w:type="dxa"/>
        <w:tblLayout w:type="fixed"/>
        <w:tblCellMar>
          <w:top w:w="0" w:type="dxa"/>
          <w:left w:w="0" w:type="dxa"/>
          <w:bottom w:w="0" w:type="dxa"/>
          <w:right w:w="0" w:type="dxa"/>
        </w:tblCellMar>
      </w:tblPr>
      <w:tblGrid>
        <w:gridCol w:w="38"/>
        <w:gridCol w:w="305"/>
        <w:gridCol w:w="1055"/>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(iv)</w:t>
            </w:r>
          </w:p>
        </w:tc>
        <w:tc>
          <w:tcPr>
            <w:tcW w:w="10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0" w:name="zfdad85ec68dc4b67988bc2254cc08107"/>
      <w:bookmarkStart w:id="81" w:name="zfdad85ec68dc4b67988bc2254cc08107"/>
      <w:bookmarkEnd w:id="81"/>
    </w:p>
    <w:tbl>
      <w:tblPr>
        <w:tblW w:w="775" w:type="dxa"/>
        <w:jc w:val="left"/>
        <w:tblInd w:w="0" w:type="dxa"/>
        <w:tblLayout w:type="fixed"/>
        <w:tblCellMar>
          <w:top w:w="0" w:type="dxa"/>
          <w:left w:w="0" w:type="dxa"/>
          <w:bottom w:w="0" w:type="dxa"/>
          <w:right w:w="0" w:type="dxa"/>
        </w:tblCellMar>
      </w:tblPr>
      <w:tblGrid>
        <w:gridCol w:w="75"/>
        <w:gridCol w:w="230"/>
        <w:gridCol w:w="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2" w:name="z3e095895e0174e10afffc498f0c93cc8"/>
      <w:bookmarkStart w:id="83" w:name="z3e095895e0174e10afffc498f0c93cc8"/>
      <w:bookmarkEnd w:id="83"/>
    </w:p>
    <w:tbl>
      <w:tblPr>
        <w:tblW w:w="813" w:type="dxa"/>
        <w:jc w:val="left"/>
        <w:tblInd w:w="0" w:type="dxa"/>
        <w:tblLayout w:type="fixed"/>
        <w:tblCellMar>
          <w:top w:w="0" w:type="dxa"/>
          <w:left w:w="0" w:type="dxa"/>
          <w:bottom w:w="0" w:type="dxa"/>
          <w:right w:w="0" w:type="dxa"/>
        </w:tblCellMar>
      </w:tblPr>
      <w:tblGrid>
        <w:gridCol w:w="38"/>
        <w:gridCol w:w="245"/>
        <w:gridCol w:w="53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5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4" w:name="z026ad30b5f9a42a6abe8378fd0fc66ad"/>
      <w:bookmarkStart w:id="85" w:name="z026ad30b5f9a42a6abe8378fd0fc66ad"/>
      <w:bookmarkEnd w:id="85"/>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8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6" w:name="z1f80738408fc4bc5a427c945e05ad23c"/>
      <w:bookmarkStart w:id="87" w:name="z1f80738408fc4bc5a427c945e05ad23c"/>
      <w:bookmarkEnd w:id="87"/>
    </w:p>
    <w:tbl>
      <w:tblPr>
        <w:tblW w:w="798" w:type="dxa"/>
        <w:jc w:val="left"/>
        <w:tblInd w:w="0" w:type="dxa"/>
        <w:tblLayout w:type="fixed"/>
        <w:tblCellMar>
          <w:top w:w="0" w:type="dxa"/>
          <w:left w:w="0" w:type="dxa"/>
          <w:bottom w:w="0" w:type="dxa"/>
          <w:right w:w="0" w:type="dxa"/>
        </w:tblCellMar>
      </w:tblPr>
      <w:tblGrid>
        <w:gridCol w:w="38"/>
        <w:gridCol w:w="245"/>
        <w:gridCol w:w="51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8" w:name="z588a8098d7804c8f9b1f99861c93b30e"/>
      <w:bookmarkStart w:id="89" w:name="z588a8098d7804c8f9b1f99861c93b30e"/>
      <w:bookmarkEnd w:id="89"/>
    </w:p>
    <w:tbl>
      <w:tblPr>
        <w:tblW w:w="798" w:type="dxa"/>
        <w:jc w:val="left"/>
        <w:tblInd w:w="0" w:type="dxa"/>
        <w:tblLayout w:type="fixed"/>
        <w:tblCellMar>
          <w:top w:w="0" w:type="dxa"/>
          <w:left w:w="0" w:type="dxa"/>
          <w:bottom w:w="0" w:type="dxa"/>
          <w:right w:w="0" w:type="dxa"/>
        </w:tblCellMar>
      </w:tblPr>
      <w:tblGrid>
        <w:gridCol w:w="38"/>
        <w:gridCol w:w="245"/>
        <w:gridCol w:w="51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0" w:name="z49811f769f844e8abd0ce81f88467198"/>
      <w:bookmarkStart w:id="91" w:name="z49811f769f844e8abd0ce81f88467198"/>
      <w:bookmarkEnd w:id="91"/>
    </w:p>
    <w:tbl>
      <w:tblPr>
        <w:tblW w:w="858" w:type="dxa"/>
        <w:jc w:val="left"/>
        <w:tblInd w:w="0" w:type="dxa"/>
        <w:tblLayout w:type="fixed"/>
        <w:tblCellMar>
          <w:top w:w="0" w:type="dxa"/>
          <w:left w:w="0" w:type="dxa"/>
          <w:bottom w:w="0" w:type="dxa"/>
          <w:right w:w="0" w:type="dxa"/>
        </w:tblCellMar>
      </w:tblPr>
      <w:tblGrid>
        <w:gridCol w:w="38"/>
        <w:gridCol w:w="305"/>
        <w:gridCol w:w="515"/>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2" w:name="z0f9fb33fc21c49799c621006977ab47c"/>
      <w:bookmarkStart w:id="93" w:name="z0f9fb33fc21c49799c621006977ab47c"/>
      <w:bookmarkEnd w:id="93"/>
    </w:p>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4" w:name="zb82264862722476f925cc3057e85cd95"/>
      <w:bookmarkStart w:id="95" w:name="zb82264862722476f925cc3057e85cd95"/>
      <w:bookmarkEnd w:id="95"/>
    </w:p>
    <w:tbl>
      <w:tblPr>
        <w:tblW w:w="798" w:type="dxa"/>
        <w:jc w:val="left"/>
        <w:tblInd w:w="0" w:type="dxa"/>
        <w:tblLayout w:type="fixed"/>
        <w:tblCellMar>
          <w:top w:w="0" w:type="dxa"/>
          <w:left w:w="0" w:type="dxa"/>
          <w:bottom w:w="0" w:type="dxa"/>
          <w:right w:w="0" w:type="dxa"/>
        </w:tblCellMar>
      </w:tblPr>
      <w:tblGrid>
        <w:gridCol w:w="38"/>
        <w:gridCol w:w="245"/>
        <w:gridCol w:w="51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6" w:name="z9096dd979eca4c5ba3cd5aea05754981"/>
      <w:bookmarkStart w:id="97" w:name="z9096dd979eca4c5ba3cd5aea05754981"/>
      <w:bookmarkEnd w:id="97"/>
    </w:p>
    <w:tbl>
      <w:tblPr>
        <w:tblW w:w="1323" w:type="dxa"/>
        <w:jc w:val="left"/>
        <w:tblInd w:w="0" w:type="dxa"/>
        <w:tblLayout w:type="fixed"/>
        <w:tblCellMar>
          <w:top w:w="0" w:type="dxa"/>
          <w:left w:w="0" w:type="dxa"/>
          <w:bottom w:w="0" w:type="dxa"/>
          <w:right w:w="0" w:type="dxa"/>
        </w:tblCellMar>
      </w:tblPr>
      <w:tblGrid>
        <w:gridCol w:w="38"/>
        <w:gridCol w:w="230"/>
        <w:gridCol w:w="105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8" w:name="z9d9b3ad3199142fba121fa3c49e201a8"/>
      <w:bookmarkStart w:id="99" w:name="z9d9b3ad3199142fba121fa3c49e201a8"/>
      <w:bookmarkEnd w:id="99"/>
    </w:p>
    <w:tbl>
      <w:tblPr>
        <w:tblW w:w="678" w:type="dxa"/>
        <w:jc w:val="left"/>
        <w:tblInd w:w="0" w:type="dxa"/>
        <w:tblLayout w:type="fixed"/>
        <w:tblCellMar>
          <w:top w:w="0" w:type="dxa"/>
          <w:left w:w="0" w:type="dxa"/>
          <w:bottom w:w="0" w:type="dxa"/>
          <w:right w:w="0" w:type="dxa"/>
        </w:tblCellMar>
      </w:tblPr>
      <w:tblGrid>
        <w:gridCol w:w="38"/>
        <w:gridCol w:w="125"/>
        <w:gridCol w:w="51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Normal"/>
        <w:bidi w:val="0"/>
        <w:spacing w:before="0" w:after="0"/>
        <w:jc w:val="left"/>
        <w:rPr>
          <w:sz w:val="4"/>
          <w:szCs w:val="4"/>
        </w:rPr>
      </w:pPr>
      <w:r>
        <w:rPr>
          <w:sz w:val="4"/>
          <w:szCs w:val="4"/>
        </w:rPr>
      </w:r>
      <w:bookmarkStart w:id="100" w:name="z694d2c071efb4ca4b9d2af0396024b5a"/>
      <w:bookmarkStart w:id="101" w:name="z694d2c071efb4ca4b9d2af0396024b5a"/>
      <w:bookmarkEnd w:id="101"/>
    </w:p>
    <w:tbl>
      <w:tblPr>
        <w:tblW w:w="738" w:type="dxa"/>
        <w:jc w:val="left"/>
        <w:tblInd w:w="0" w:type="dxa"/>
        <w:tblLayout w:type="fixed"/>
        <w:tblCellMar>
          <w:top w:w="0" w:type="dxa"/>
          <w:left w:w="0" w:type="dxa"/>
          <w:bottom w:w="0" w:type="dxa"/>
          <w:right w:w="0" w:type="dxa"/>
        </w:tblCellMar>
      </w:tblPr>
      <w:tblGrid>
        <w:gridCol w:w="38"/>
        <w:gridCol w:w="185"/>
        <w:gridCol w:w="51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Normal"/>
        <w:bidi w:val="0"/>
        <w:spacing w:before="0" w:after="0"/>
        <w:jc w:val="left"/>
        <w:rPr>
          <w:sz w:val="4"/>
          <w:szCs w:val="4"/>
        </w:rPr>
      </w:pPr>
      <w:r>
        <w:rPr>
          <w:sz w:val="4"/>
          <w:szCs w:val="4"/>
        </w:rPr>
      </w:r>
      <w:bookmarkStart w:id="102" w:name="z5d5f04039eb44c57977c7459787e9beb"/>
      <w:bookmarkStart w:id="103" w:name="z5d5f04039eb44c57977c7459787e9beb"/>
      <w:bookmarkEnd w:id="103"/>
    </w:p>
    <w:tbl>
      <w:tblPr>
        <w:tblW w:w="798" w:type="dxa"/>
        <w:jc w:val="left"/>
        <w:tblInd w:w="0" w:type="dxa"/>
        <w:tblLayout w:type="fixed"/>
        <w:tblCellMar>
          <w:top w:w="0" w:type="dxa"/>
          <w:left w:w="0" w:type="dxa"/>
          <w:bottom w:w="0" w:type="dxa"/>
          <w:right w:w="0" w:type="dxa"/>
        </w:tblCellMar>
      </w:tblPr>
      <w:tblGrid>
        <w:gridCol w:w="38"/>
        <w:gridCol w:w="245"/>
        <w:gridCol w:w="51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4" w:name="z85497811243943c2b17744d0e9b35dda"/>
      <w:bookmarkStart w:id="105" w:name="z85497811243943c2b17744d0e9b35dda"/>
      <w:bookmarkEnd w:id="105"/>
    </w:p>
    <w:tbl>
      <w:tblPr>
        <w:tblW w:w="1668" w:type="dxa"/>
        <w:jc w:val="left"/>
        <w:tblInd w:w="0" w:type="dxa"/>
        <w:tblLayout w:type="fixed"/>
        <w:tblCellMar>
          <w:top w:w="0" w:type="dxa"/>
          <w:left w:w="0" w:type="dxa"/>
          <w:bottom w:w="0" w:type="dxa"/>
          <w:right w:w="0" w:type="dxa"/>
        </w:tblCellMar>
      </w:tblPr>
      <w:tblGrid>
        <w:gridCol w:w="38"/>
        <w:gridCol w:w="365"/>
        <w:gridCol w:w="1265"/>
      </w:tblGrid>
      <w:tr>
        <w:trPr/>
        <w:tc>
          <w:tcPr>
            <w:tcW w:w="38"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(vii)</w:t>
            </w:r>
          </w:p>
        </w:tc>
        <w:tc>
          <w:tcPr>
            <w:tcW w:w="12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  [***]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6" w:name="z22ce790c9d6548cb9050d825239b7e91"/>
      <w:bookmarkStart w:id="107" w:name="z22ce790c9d6548cb9050d825239b7e91"/>
      <w:bookmarkEnd w:id="10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9997"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rPr>
              <w:t xml:space="preserve">Taboola’s Data Use Disclosure.  </w:t>
            </w:r>
            <w:r>
              <w:rPr>
                <w:rFonts w:ascii="Times New Roman" w:hAnsi="Times New Roman"/>
                <w:sz w:val="20"/>
              </w:rPr>
              <w:t xml:space="preserve">Assuming that the disclosures of Taboola have been materially complete, accurate and do not withhold any other material information, Company acknowledges and agrees that Taboola has provided adequate disclosures regarding its processing of Personal Data and its overall data practices in connection with the Personal Data referred to in this Agreement (including, but not limited to, user personal data and customer personal data). Taboola represents and warrants and such uses and practices are consistent with its privacy policy as set forth in Taboola’s Privacy Policy located here: </w:t>
            </w:r>
            <w:r>
              <w:rPr>
                <w:rFonts w:ascii="Times New Roman" w:hAnsi="Times New Roman"/>
                <w:sz w:val="20"/>
                <w:u w:val="single"/>
              </w:rPr>
              <w:t>https://www.taboola.com/policies/privacy-policy</w:t>
            </w:r>
            <w:r>
              <w:rPr>
                <w:rFonts w:ascii="Times New Roman" w:hAnsi="Times New Roman"/>
                <w:sz w:val="20"/>
              </w:rPr>
              <w:t xml:space="preserve">. In addition, Taboola will provide Company a copy of Taboola’s Privacy Policy on a semi-annual basis which will be emailed to Company’s privacy team at </w:t>
            </w:r>
            <w:r>
              <w:rPr>
                <w:rFonts w:ascii="Times New Roman" w:hAnsi="Times New Roman"/>
                <w:sz w:val="20"/>
                <w:u w:val="single"/>
              </w:rPr>
              <w:t>privacy@yahooinc.com</w:t>
            </w:r>
            <w:r>
              <w:rPr>
                <w:rFonts w:ascii="Times New Roman" w:hAnsi="Times New Roman"/>
                <w:sz w:val="20"/>
              </w:rPr>
              <w:t>. In the event that Taboola makes any material changes to its Privacy Policy, it will provide notice to Company of the specific material change in its semi-annual update. In the event that there is a conflict between Taboola's use of Personal Data or Company Data under this Agreement and its privacy policy, the terms of this Agreement shall supersede the terms of the privacy policy</w:t>
            </w:r>
            <w:r>
              <w:rPr>
                <w:rFonts w:ascii="Times New Roman" w:hAnsi="Times New Roman"/>
                <w:b/>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8" w:name="z188c9068dfed46d28a4f94024af49ce0"/>
      <w:bookmarkStart w:id="109" w:name="z188c9068dfed46d28a4f94024af49ce0"/>
      <w:bookmarkEnd w:id="109"/>
    </w:p>
    <w:tbl>
      <w:tblPr>
        <w:tblW w:w="723" w:type="dxa"/>
        <w:jc w:val="left"/>
        <w:tblInd w:w="0" w:type="dxa"/>
        <w:tblLayout w:type="fixed"/>
        <w:tblCellMar>
          <w:top w:w="0" w:type="dxa"/>
          <w:left w:w="0" w:type="dxa"/>
          <w:bottom w:w="0" w:type="dxa"/>
          <w:right w:w="0" w:type="dxa"/>
        </w:tblCellMar>
      </w:tblPr>
      <w:tblGrid>
        <w:gridCol w:w="38"/>
        <w:gridCol w:w="170"/>
        <w:gridCol w:w="5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0" w:name="zcd267b48d5ff4d528d4ad8665ae2294a"/>
      <w:bookmarkStart w:id="111" w:name="zcd267b48d5ff4d528d4ad8665ae2294a"/>
      <w:bookmarkEnd w:id="111"/>
    </w:p>
    <w:tbl>
      <w:tblPr>
        <w:tblW w:w="1435" w:type="dxa"/>
        <w:jc w:val="left"/>
        <w:tblInd w:w="0" w:type="dxa"/>
        <w:tblLayout w:type="fixed"/>
        <w:tblCellMar>
          <w:top w:w="0" w:type="dxa"/>
          <w:left w:w="0" w:type="dxa"/>
          <w:bottom w:w="0" w:type="dxa"/>
          <w:right w:w="0" w:type="dxa"/>
        </w:tblCellMar>
      </w:tblPr>
      <w:tblGrid>
        <w:gridCol w:w="185"/>
        <w:gridCol w:w="125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25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u w:val="single"/>
              </w:rPr>
              <w:t>Terms of Use</w:t>
            </w:r>
            <w:r>
              <w:rPr>
                <w:rFonts w:ascii="Times New Roman" w:hAnsi="Times New Roman"/>
                <w:b/>
                <w:color w:val="000000"/>
                <w:sz w:val="20"/>
              </w:rPr>
              <w:t>:</w:t>
            </w:r>
            <w:r>
              <w:rPr>
                <w:rFonts w:ascii="Times New Roman" w:hAnsi="Times New Roman"/>
                <w:b/>
                <w:color w:val="000000"/>
                <w:sz w:val="20"/>
                <w:u w:val="single"/>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2" w:name="z88abc08c774a49ad9741ac3adb66f61e"/>
      <w:bookmarkStart w:id="113" w:name="z88abc08c774a49ad9741ac3adb66f61e"/>
      <w:bookmarkEnd w:id="113"/>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will include a clear and conspicuous advertising disclosure on the Recommendations in a form to be mutually agreed upon by the Parties.</w:t>
            </w:r>
          </w:p>
        </w:tc>
      </w:tr>
    </w:tbl>
    <w:p>
      <w:pPr>
        <w:pStyle w:val="TextBody"/>
        <w:bidi w:val="0"/>
        <w:spacing w:before="0" w:after="0"/>
        <w:ind w:left="1440" w:right="0" w:hanging="0"/>
        <w:jc w:val="both"/>
        <w:rPr>
          <w:sz w:val="20"/>
        </w:rPr>
      </w:pPr>
      <w:r>
        <w:rPr>
          <w:sz w:val="20"/>
        </w:rPr>
      </w:r>
      <w:bookmarkStart w:id="114" w:name="z_headingh.gjdgxs"/>
      <w:bookmarkStart w:id="115" w:name="z_headingh.gjdgxs"/>
      <w:bookmarkEnd w:id="115"/>
    </w:p>
    <w:p>
      <w:pPr>
        <w:pStyle w:val="Normal"/>
        <w:bidi w:val="0"/>
        <w:spacing w:before="0" w:after="0"/>
        <w:jc w:val="left"/>
        <w:rPr>
          <w:sz w:val="4"/>
          <w:szCs w:val="4"/>
        </w:rPr>
      </w:pPr>
      <w:r>
        <w:rPr>
          <w:sz w:val="4"/>
          <w:szCs w:val="4"/>
        </w:rPr>
      </w:r>
      <w:bookmarkStart w:id="116" w:name="z46d464aa7dc445b091770513f0060dc2"/>
      <w:bookmarkStart w:id="117" w:name="z46d464aa7dc445b091770513f0060dc2"/>
      <w:bookmarkEnd w:id="11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rPr>
              <w:t>Acceptable Use Policy</w:t>
            </w:r>
            <w:r>
              <w:rPr>
                <w:rFonts w:ascii="Times New Roman" w:hAnsi="Times New Roman"/>
                <w:sz w:val="20"/>
              </w:rPr>
              <w:t>. Company will not implement the Platform on any Properties that promote any material or content that is, or that may reasonably be considered: illegal, unlawful, or infringing under any applicable laws (including, without limitation, content that infringes a third-party copyright, trademark, patent, or trade secret), in violation of relevant economic sanctions or trade restrictions, pornographic, profane, promotional of drugs and drug paraphernalia (including, but not limited to, recreational and prescription drugs), gambling-related (unless legal in the location offered), fake or deceptive, libelous, defamatory, invasive to privacy, violent, threatening, promotional of known violent organizations or, content designed to promote hatred of any societal group based on, but not limited to, ethnicity, race, religion, sexual orientation, gender or trans-gender status, or designed to harass, offend, shock, or cause or promote harm to any individual (e.g. “doxing”), in breach of confidence or any other right of any third party, or lacking in necessary authorizations, approvals, consents, or licenses, or  used on Properties that are directed or targets Visitors under the age of sixteen (16) (collectively “</w:t>
            </w:r>
            <w:r>
              <w:rPr>
                <w:rFonts w:ascii="Times New Roman" w:hAnsi="Times New Roman"/>
                <w:b/>
                <w:sz w:val="20"/>
              </w:rPr>
              <w:t>Prohibited Conten</w:t>
            </w:r>
            <w:r>
              <w:rPr>
                <w:rFonts w:ascii="Times New Roman" w:hAnsi="Times New Roman"/>
                <w:sz w:val="20"/>
              </w:rPr>
              <w:t xml:space="preserve">t”). Taboola reserves the right to remove the Platform from the impacted Placements on the page if Prohibited Content is displayed and the Platform would be restored to the impacted pages once the Prohibited Content has been removed. Notwithstanding anything set forth in this subparagraph, Taboola recognizes that Company (i) reports on news, provides editorial content and consequently such news or editorial content may include controversial topics, and (ii) the Properties may contain user-generated content (inclusive of comments) and Taboola agrees that the publication of news content, editorial content for reporting purposes and user-generated content shall not be considered a violation of this subparagraph 3.b.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8" w:name="zb58cf23ae7c74bf085b1bbcb9e5ad969"/>
      <w:bookmarkStart w:id="119" w:name="zb58cf23ae7c74bf085b1bbcb9e5ad969"/>
      <w:bookmarkEnd w:id="11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shall not (i) reverse engineer, decompile, or disassemble the Services (including, without limitation, any SDK Technology); (ii) copy, modify, or adapt the Services; (iii) modify, change, edit, amend, truncate, alter, override, bypass, or reorder any aspect of the Services; (iv) place the Platform in an iFrame or in a container subject to the last sentence of this subparagraph 2.c hereof add its own code to the Platform; (v) rent, lease, sublicense, sell, assign, loan, or otherwise transfer the Services; (vi) use the Platform in a manner that threatens the integrity, performance, or availability of the Platform; (viii) redirect, block, or impede Visitors’ engagement with the Services once they click on a Recommendation; or (ix) minimize, remove, cover or otherwise inhibit the full and complete display of the Platform. Notwithstanding subparagraph 1.c., Company may require that the Platform be placed in an iFrame or in a container provided that Company will [***]. The Parties will (i) monitor performance on implementations of the Platform in an iFrame or container [***] caused by the placement of the Platform in an iFrame or container; and [***] (ii) work together in good faith to determine a limit on the volume of Viewable Impressions within an iFrame or container following an analysis to be carried out by Company immediately between the Effective Date and the Transition Period End Date, as long as such limit does not create a security risk for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 w:name="zb4ee8bba394e427d9f5fcc4cefca5bf0"/>
      <w:bookmarkStart w:id="121" w:name="zb4ee8bba394e427d9f5fcc4cefca5bf0"/>
      <w:bookmarkEnd w:id="12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shall not attempt to access or use the Services in an unauthorized manner, including, without limitation, any attempt to gain access to the accounts of other Taboola customers or to extract, crawl or cache data from the Analytics Dashboard or Taboola Newsroom for commercial purposes.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 w:name="zb714a15d776e44ac9690d1da5d6f1109"/>
      <w:bookmarkStart w:id="123" w:name="zb714a15d776e44ac9690d1da5d6f1109"/>
      <w:bookmarkEnd w:id="123"/>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shall not generate clicks on Recommendations or generate Recommendation Pageviews (as defined below) through any automated, deceptive, fraudulent, invalid, incentivized, or other means that are designed to generate clicks or Recommendation Pageviews.</w:t>
            </w:r>
          </w:p>
        </w:tc>
      </w:tr>
    </w:tbl>
    <w:p>
      <w:pPr>
        <w:pStyle w:val="TextBody"/>
        <w:bidi w:val="0"/>
        <w:spacing w:before="0" w:after="0"/>
        <w:jc w:val="left"/>
        <w:rPr>
          <w:color w:val="000000"/>
        </w:rPr>
      </w:pPr>
      <w:r>
        <w:rPr>
          <w:color w:val="000000"/>
        </w:rPr>
        <w:t> </w:t>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4" w:name="z6353656f2ab9469b88a1478efb558bcd"/>
      <w:bookmarkStart w:id="125" w:name="z6353656f2ab9469b88a1478efb558bcd"/>
      <w:bookmarkEnd w:id="12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will declare Taboola as an authorized seller and the pre-approved list of Taboola’s demand partners as authorized resellers of Company’s advertising inventory by adding Taboola’s designated ads.txt code (“</w:t>
            </w:r>
            <w:r>
              <w:rPr>
                <w:rFonts w:ascii="Times New Roman" w:hAnsi="Times New Roman"/>
                <w:b/>
                <w:sz w:val="20"/>
              </w:rPr>
              <w:t>Taboola Ads.txt Code</w:t>
            </w:r>
            <w:r>
              <w:rPr>
                <w:rFonts w:ascii="Times New Roman" w:hAnsi="Times New Roman"/>
                <w:sz w:val="20"/>
              </w:rPr>
              <w:t>”) to the ads.txt file on Company’s root domain. The pre-approved list of authorized resellers are as follows: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Any demand partner that Taboola seeks to include in the Taboola Ads.txt Code shall be subject to Company’s prior written approval (email shall suffice) in its sole discretion.  Taboola may request Company to update the Taboola Ads.txt Code on the Properties from time to time and Company shall consider Taboola’s request.  Company may remove any authorized reseller from the Taboola Ads.txt Code in its reasonable discretion upon written notice to Taboola (email shall suffice); provided Company provide Taboola with documentation that states with specificity the reasoning for the removal of the demand partner.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 w:name="z3e0cb586f2c44579915d1a94f33ab81b"/>
      <w:bookmarkStart w:id="127" w:name="z3e0cb586f2c44579915d1a94f33ab81b"/>
      <w:bookmarkEnd w:id="12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shall ensure that each of its Properties contains meaningful and accurate contact information (including, but not limited to, Company’s legal entity name, mailing address, and working phone number and email address) in either a footer or relevant contact page so that Visitors may contact Company directly about copyright and trademark concerns relating to Company Content.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 w:name="z3ae628eaf4884e96836dcc686490c7ed"/>
      <w:bookmarkStart w:id="129" w:name="z3ae628eaf4884e96836dcc686490c7ed"/>
      <w:bookmarkEnd w:id="12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Upon termination, it shall be Company’s obligation to remove any pixels, tags, or scripts provided by Taboola. Taboola shall have no liability related to or arising out of Company’s failure to do so.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 w:name="z442ec2b4c9ba4b4bad3de5e185e07eb3"/>
      <w:bookmarkStart w:id="131" w:name="z442ec2b4c9ba4b4bad3de5e185e07eb3"/>
      <w:bookmarkEnd w:id="131"/>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565"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u w:val="single"/>
              </w:rPr>
              <w:t>Sales Obligations</w:t>
            </w:r>
            <w:r>
              <w:rPr>
                <w:rFonts w:ascii="Times New Roman" w:hAnsi="Times New Roman"/>
                <w:color w:val="000000"/>
                <w:sz w:val="20"/>
              </w:rPr>
              <w:t>:</w:t>
            </w:r>
          </w:p>
        </w:tc>
      </w:tr>
    </w:tbl>
    <w:p>
      <w:pPr>
        <w:pStyle w:val="TextBody"/>
        <w:bidi w:val="0"/>
        <w:spacing w:before="0" w:after="0"/>
        <w:jc w:val="left"/>
        <w:rPr>
          <w:color w:val="000000"/>
        </w:rPr>
      </w:pPr>
      <w:r>
        <w:rPr>
          <w:color w:val="000000"/>
        </w:rPr>
        <w:t> </w:t>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t>a.          Taboola shall use [***]. Without limiting the foregoing: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 w:name="z21c774c565ae468fa76b7a28e5d8aa6e"/>
      <w:bookmarkStart w:id="133" w:name="z21c774c565ae468fa76b7a28e5d8aa6e"/>
      <w:bookmarkEnd w:id="133"/>
    </w:p>
    <w:tbl>
      <w:tblPr>
        <w:tblW w:w="753" w:type="dxa"/>
        <w:jc w:val="left"/>
        <w:tblInd w:w="0" w:type="dxa"/>
        <w:tblLayout w:type="fixed"/>
        <w:tblCellMar>
          <w:top w:w="0" w:type="dxa"/>
          <w:left w:w="0" w:type="dxa"/>
          <w:bottom w:w="0" w:type="dxa"/>
          <w:right w:w="0" w:type="dxa"/>
        </w:tblCellMar>
      </w:tblPr>
      <w:tblGrid>
        <w:gridCol w:w="38"/>
        <w:gridCol w:w="200"/>
        <w:gridCol w:w="51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515"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Sales</w:t>
            </w: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4" w:name="zeaa153d94d75401d8de807c20f5a4122"/>
      <w:bookmarkStart w:id="135" w:name="zeaa153d94d75401d8de807c20f5a4122"/>
      <w:bookmarkEnd w:id="135"/>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Taboola shall provide the Services using (i) no less than reasonable skill and care; and (ii) best practices and technologies available to Taboola.</w:t>
            </w:r>
          </w:p>
        </w:tc>
      </w:tr>
    </w:tbl>
    <w:p>
      <w:pPr>
        <w:pStyle w:val="Normal"/>
        <w:bidi w:val="0"/>
        <w:spacing w:before="0" w:after="0"/>
        <w:jc w:val="left"/>
        <w:rPr>
          <w:sz w:val="4"/>
          <w:szCs w:val="4"/>
        </w:rPr>
      </w:pPr>
      <w:r>
        <w:rPr>
          <w:sz w:val="4"/>
          <w:szCs w:val="4"/>
        </w:rPr>
      </w:r>
      <w:bookmarkStart w:id="136" w:name="zf8e79874d55a4a349222b27c85143991"/>
      <w:bookmarkStart w:id="137" w:name="zf8e79874d55a4a349222b27c85143991"/>
      <w:bookmarkEnd w:id="137"/>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pPr>
            <w:r>
              <w:rPr/>
            </w:r>
          </w:p>
        </w:tc>
        <w:tc>
          <w:tcPr>
            <w:tcW w:w="23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Taboola shall not direct Native Advertisement spend away from the Placements as a way to increase margin for Taboola at the expense of Company.</w:t>
            </w:r>
          </w:p>
        </w:tc>
      </w:tr>
    </w:tbl>
    <w:p>
      <w:pPr>
        <w:pStyle w:val="Normal"/>
        <w:bidi w:val="0"/>
        <w:spacing w:before="0" w:after="0"/>
        <w:jc w:val="left"/>
        <w:rPr>
          <w:sz w:val="4"/>
          <w:szCs w:val="4"/>
        </w:rPr>
      </w:pPr>
      <w:r>
        <w:rPr>
          <w:sz w:val="4"/>
          <w:szCs w:val="4"/>
        </w:rPr>
      </w:r>
      <w:bookmarkStart w:id="138" w:name="zcf76eb19c33343eab9d683ff6ec57ffc"/>
      <w:bookmarkStart w:id="139" w:name="zcf76eb19c33343eab9d683ff6ec57ffc"/>
      <w:bookmarkEnd w:id="139"/>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3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of the date that the Company Advertisers can use UCAM/Taboola interface to purchase Native Advertisement inventory,</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Taboola shall ensure that Omnichannel Advertisers have the same access to Placements that Taboola Advertisers do.</w:t>
            </w:r>
          </w:p>
        </w:tc>
      </w:tr>
    </w:tbl>
    <w:p>
      <w:pPr>
        <w:pStyle w:val="TextBody"/>
        <w:bidi w:val="0"/>
        <w:spacing w:before="0" w:after="0"/>
        <w:jc w:val="left"/>
        <w:rPr>
          <w:sz w:val="20"/>
        </w:rPr>
      </w:pPr>
      <w:r>
        <w:rPr>
          <w:sz w:val="20"/>
        </w:rPr>
      </w:r>
      <w:bookmarkStart w:id="140" w:name="z6ccc6b57d2d041338d58ee0f9790a707"/>
      <w:bookmarkStart w:id="141" w:name="z6ccc6b57d2d041338d58ee0f9790a707"/>
      <w:bookmarkEnd w:id="141"/>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pPr>
            <w:r>
              <w:rPr/>
            </w:r>
          </w:p>
        </w:tc>
        <w:tc>
          <w:tcPr>
            <w:tcW w:w="21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54"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Company Advertising Policies</w:t>
            </w:r>
            <w:r>
              <w:rPr>
                <w:rFonts w:ascii="Times New Roman" w:hAnsi="Times New Roman"/>
                <w:color w:val="000000"/>
                <w:sz w:val="20"/>
              </w:rPr>
              <w:t>.  Taboola shall ensure that all Ads served into the Properties comply with: (i) Company’s Global Yahoo Advertising Policies located at https://adspecs.yahooinc.com/pages/policies-guidelines/yahoo-ad-policy (or a successor link, and as may be updated by Company from time to time in its sole reasonable discretion; and (ii) any other advertising policies or terms that Company provides to Taboola from time to time.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2" w:name="z9d98d81557604aab9a5811134d2337d7"/>
      <w:bookmarkStart w:id="143" w:name="z9d98d81557604aab9a5811134d2337d7"/>
      <w:bookmarkEnd w:id="143"/>
    </w:p>
    <w:tbl>
      <w:tblPr>
        <w:tblW w:w="4263" w:type="dxa"/>
        <w:jc w:val="left"/>
        <w:tblInd w:w="0" w:type="dxa"/>
        <w:tblLayout w:type="fixed"/>
        <w:tblCellMar>
          <w:top w:w="0" w:type="dxa"/>
          <w:left w:w="0" w:type="dxa"/>
          <w:bottom w:w="0" w:type="dxa"/>
          <w:right w:w="0" w:type="dxa"/>
        </w:tblCellMar>
      </w:tblPr>
      <w:tblGrid>
        <w:gridCol w:w="38"/>
        <w:gridCol w:w="320"/>
        <w:gridCol w:w="39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3905" w:type="dxa"/>
            <w:tcBorders/>
            <w:vAlign w:val="center"/>
          </w:tcPr>
          <w:p>
            <w:pPr>
              <w:pStyle w:val="TableContents"/>
              <w:bidi w:val="0"/>
              <w:spacing w:lineRule="auto" w:line="240" w:before="0" w:after="0"/>
              <w:jc w:val="both"/>
              <w:rPr>
                <w:rFonts w:ascii="Times New Roman" w:hAnsi="Times New Roman"/>
                <w:color w:val="000000"/>
                <w:sz w:val="16"/>
              </w:rPr>
            </w:pPr>
            <w:r>
              <w:rPr>
                <w:rFonts w:ascii="Times New Roman" w:hAnsi="Times New Roman"/>
                <w:b/>
                <w:color w:val="000000"/>
                <w:sz w:val="20"/>
              </w:rPr>
              <w:t>Approved 3rd</w:t>
            </w:r>
            <w:r>
              <w:rPr>
                <w:rFonts w:ascii="Times New Roman" w:hAnsi="Times New Roman"/>
                <w:color w:val="000000"/>
                <w:sz w:val="20"/>
              </w:rPr>
              <w:t xml:space="preserve"> </w:t>
            </w:r>
            <w:r>
              <w:rPr>
                <w:rFonts w:ascii="Times New Roman" w:hAnsi="Times New Roman"/>
                <w:b/>
                <w:color w:val="000000"/>
                <w:sz w:val="20"/>
              </w:rPr>
              <w:t>party servers and pixels</w:t>
            </w:r>
            <w:r>
              <w:rPr>
                <w:rFonts w:ascii="Times New Roman" w:hAnsi="Times New Roman"/>
                <w:color w:val="000000"/>
                <w:sz w:val="20"/>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4" w:name="z9df5af5d51e144b0ad05dbad1e2e9cee"/>
      <w:bookmarkStart w:id="145" w:name="z9df5af5d51e144b0ad05dbad1e2e9cee"/>
      <w:bookmarkEnd w:id="145"/>
    </w:p>
    <w:tbl>
      <w:tblPr>
        <w:tblW w:w="4563" w:type="dxa"/>
        <w:jc w:val="left"/>
        <w:tblInd w:w="0" w:type="dxa"/>
        <w:tblLayout w:type="fixed"/>
        <w:tblCellMar>
          <w:top w:w="0" w:type="dxa"/>
          <w:left w:w="0" w:type="dxa"/>
          <w:bottom w:w="0" w:type="dxa"/>
          <w:right w:w="0" w:type="dxa"/>
        </w:tblCellMar>
      </w:tblPr>
      <w:tblGrid>
        <w:gridCol w:w="38"/>
        <w:gridCol w:w="305"/>
        <w:gridCol w:w="4220"/>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(iv)</w:t>
            </w:r>
          </w:p>
        </w:tc>
        <w:tc>
          <w:tcPr>
            <w:tcW w:w="4220"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Competitive Exclusions/Advertiser Blocks</w:t>
            </w:r>
            <w:r>
              <w:rPr>
                <w:rFonts w:ascii="Times New Roman" w:hAnsi="Times New Roman"/>
                <w:color w:val="000000"/>
                <w:sz w:val="20"/>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6" w:name="zee20c1dc2bf24b948f02438d8f76f1b8"/>
      <w:bookmarkStart w:id="147" w:name="zee20c1dc2bf24b948f02438d8f76f1b8"/>
      <w:bookmarkEnd w:id="147"/>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pPr>
            <w:r>
              <w:rPr/>
            </w:r>
          </w:p>
        </w:tc>
        <w:tc>
          <w:tcPr>
            <w:tcW w:w="21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w:t>
            </w:r>
          </w:p>
        </w:tc>
        <w:tc>
          <w:tcPr>
            <w:tcW w:w="9950"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Malware</w:t>
            </w:r>
            <w:r>
              <w:rPr>
                <w:rFonts w:ascii="Times New Roman" w:hAnsi="Times New Roman"/>
                <w:color w:val="000000"/>
                <w:sz w:val="20"/>
              </w:rPr>
              <w:t>.  Prior to serving any Taboola Sponsored Content into the Placements, Company shall ensure that all such content have been scanned by Taboola for malware using at least current industry standard measures.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8" w:name="z28db5651671c49afbcebbfa1461eb230"/>
      <w:bookmarkStart w:id="149" w:name="z28db5651671c49afbcebbfa1461eb230"/>
      <w:bookmarkEnd w:id="149"/>
    </w:p>
    <w:tbl>
      <w:tblPr>
        <w:tblW w:w="3123" w:type="dxa"/>
        <w:jc w:val="left"/>
        <w:tblInd w:w="0" w:type="dxa"/>
        <w:tblLayout w:type="fixed"/>
        <w:tblCellMar>
          <w:top w:w="0" w:type="dxa"/>
          <w:left w:w="0" w:type="dxa"/>
          <w:bottom w:w="0" w:type="dxa"/>
          <w:right w:w="0" w:type="dxa"/>
        </w:tblCellMar>
      </w:tblPr>
      <w:tblGrid>
        <w:gridCol w:w="38"/>
        <w:gridCol w:w="305"/>
        <w:gridCol w:w="2780"/>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w:t>
            </w:r>
          </w:p>
        </w:tc>
        <w:tc>
          <w:tcPr>
            <w:tcW w:w="2780"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Service Level Agreement.  [***]</w:t>
            </w: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0" w:name="zfc7f26edb9bf410b975f50d7846a825a"/>
      <w:bookmarkStart w:id="151" w:name="zfc7f26edb9bf410b975f50d7846a825a"/>
      <w:bookmarkEnd w:id="151"/>
    </w:p>
    <w:tbl>
      <w:tblPr>
        <w:tblW w:w="2988" w:type="dxa"/>
        <w:jc w:val="left"/>
        <w:tblInd w:w="0" w:type="dxa"/>
        <w:tblLayout w:type="fixed"/>
        <w:tblCellMar>
          <w:top w:w="0" w:type="dxa"/>
          <w:left w:w="0" w:type="dxa"/>
          <w:bottom w:w="0" w:type="dxa"/>
          <w:right w:w="0" w:type="dxa"/>
        </w:tblCellMar>
      </w:tblPr>
      <w:tblGrid>
        <w:gridCol w:w="38"/>
        <w:gridCol w:w="365"/>
        <w:gridCol w:w="2585"/>
      </w:tblGrid>
      <w:tr>
        <w:trPr/>
        <w:tc>
          <w:tcPr>
            <w:tcW w:w="38"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(vii)</w:t>
            </w:r>
          </w:p>
        </w:tc>
        <w:tc>
          <w:tcPr>
            <w:tcW w:w="2585"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Programmatic demand</w:t>
            </w:r>
            <w:r>
              <w:rPr>
                <w:rFonts w:ascii="Times New Roman" w:hAnsi="Times New Roman"/>
                <w:color w:val="000000"/>
                <w:sz w:val="20"/>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2" w:name="z350d51f05e384d779df79195a898ba64"/>
      <w:bookmarkStart w:id="153" w:name="z350d51f05e384d779df79195a898ba64"/>
      <w:bookmarkEnd w:id="153"/>
    </w:p>
    <w:tbl>
      <w:tblPr>
        <w:tblW w:w="3408" w:type="dxa"/>
        <w:jc w:val="left"/>
        <w:tblInd w:w="0" w:type="dxa"/>
        <w:tblLayout w:type="fixed"/>
        <w:tblCellMar>
          <w:top w:w="0" w:type="dxa"/>
          <w:left w:w="0" w:type="dxa"/>
          <w:bottom w:w="0" w:type="dxa"/>
          <w:right w:w="0" w:type="dxa"/>
        </w:tblCellMar>
      </w:tblPr>
      <w:tblGrid>
        <w:gridCol w:w="38"/>
        <w:gridCol w:w="425"/>
        <w:gridCol w:w="2945"/>
      </w:tblGrid>
      <w:tr>
        <w:trPr/>
        <w:tc>
          <w:tcPr>
            <w:tcW w:w="38" w:type="dxa"/>
            <w:tcBorders/>
            <w:vAlign w:val="center"/>
          </w:tcPr>
          <w:p>
            <w:pPr>
              <w:pStyle w:val="TableContents"/>
              <w:bidi w:val="0"/>
              <w:spacing w:before="0" w:after="283"/>
              <w:jc w:val="left"/>
              <w:rPr/>
            </w:pPr>
            <w:r>
              <w:rPr/>
            </w:r>
          </w:p>
        </w:tc>
        <w:tc>
          <w:tcPr>
            <w:tcW w:w="4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(viii)</w:t>
            </w:r>
          </w:p>
        </w:tc>
        <w:tc>
          <w:tcPr>
            <w:tcW w:w="2945"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Advertiser</w:t>
            </w:r>
            <w:r>
              <w:rPr>
                <w:rFonts w:ascii="Times New Roman" w:hAnsi="Times New Roman"/>
                <w:color w:val="000000"/>
                <w:sz w:val="16"/>
              </w:rPr>
              <w:t> </w:t>
            </w:r>
            <w:r>
              <w:rPr>
                <w:rFonts w:ascii="Times New Roman" w:hAnsi="Times New Roman"/>
                <w:b/>
                <w:color w:val="000000"/>
                <w:sz w:val="20"/>
              </w:rPr>
              <w:t>First-Party Data</w:t>
            </w:r>
            <w:r>
              <w:rPr>
                <w:rFonts w:ascii="Times New Roman" w:hAnsi="Times New Roman"/>
                <w:color w:val="000000"/>
                <w:sz w:val="20"/>
              </w:rPr>
              <w:t>. [***].</w:t>
            </w:r>
          </w:p>
        </w:tc>
      </w:tr>
    </w:tbl>
    <w:p>
      <w:pPr>
        <w:pStyle w:val="TextBody"/>
        <w:bidi w:val="0"/>
        <w:spacing w:before="0" w:after="0"/>
        <w:jc w:val="left"/>
        <w:rPr>
          <w:sz w:val="20"/>
        </w:rPr>
      </w:pPr>
      <w:r>
        <w:rPr>
          <w:sz w:val="20"/>
        </w:rPr>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t>b.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4" w:name="z062b824ddd754c158e4272e8e3343cda"/>
      <w:bookmarkStart w:id="155" w:name="z062b824ddd754c158e4272e8e3343cda"/>
      <w:bookmarkEnd w:id="155"/>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those Omnichannel Advertisers that use the UCAM/Taboola interface to purchase Native Advertisement inventory on the Taboola Network (outside of the Properties), all such Native Advertisements will comply with Taboola’s Advertising Policies located at  </w:t>
            </w:r>
            <w:r>
              <w:rPr>
                <w:rFonts w:ascii="Times New Roman" w:hAnsi="Times New Roman"/>
                <w:sz w:val="20"/>
                <w:u w:val="single"/>
              </w:rPr>
              <w:t>http://www.taboola.com/advertising-policies</w:t>
            </w:r>
            <w:r>
              <w:rPr>
                <w:rFonts w:ascii="Times New Roman" w:hAnsi="Times New Roman"/>
                <w:sz w:val="20"/>
              </w:rPr>
              <w:t xml:space="preserve"> as updated from time to time on reasonable prior notice to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6" w:name="ze86c659a95354b63be2f47cadf4c3c6e"/>
      <w:bookmarkStart w:id="157" w:name="ze86c659a95354b63be2f47cadf4c3c6e"/>
      <w:bookmarkEnd w:id="157"/>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will continue to manage and support non-migrated Company Advertisers and Omnichannel Advertisers through sales support and maintenance of the UCAM/Taboola Interface.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8" w:name="z141c00a334f14dcb95f3eaf337f01966"/>
      <w:bookmarkStart w:id="159" w:name="z141c00a334f14dcb95f3eaf337f01966"/>
      <w:bookmarkEnd w:id="159"/>
    </w:p>
    <w:tbl>
      <w:tblPr>
        <w:tblW w:w="9318" w:type="dxa"/>
        <w:jc w:val="left"/>
        <w:tblInd w:w="0" w:type="dxa"/>
        <w:tblLayout w:type="fixed"/>
        <w:tblCellMar>
          <w:top w:w="0" w:type="dxa"/>
          <w:left w:w="0" w:type="dxa"/>
          <w:bottom w:w="0" w:type="dxa"/>
          <w:right w:w="0" w:type="dxa"/>
        </w:tblCellMar>
      </w:tblPr>
      <w:tblGrid>
        <w:gridCol w:w="38"/>
        <w:gridCol w:w="320"/>
        <w:gridCol w:w="89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will provide ongoing technological support for UCAM/Taboola Interface maintenance and updates.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0" w:name="zaae60832f0e0462ab4e0168da7f2b6c4"/>
      <w:bookmarkStart w:id="161" w:name="zaae60832f0e0462ab4e0168da7f2b6c4"/>
      <w:bookmarkEnd w:id="161"/>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(iv)</w:t>
            </w:r>
          </w:p>
        </w:tc>
        <w:tc>
          <w:tcPr>
            <w:tcW w:w="990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Parties will use commercially reasonable efforts to work together to incorporate new formats and other capabilities for the benefit of Company Advertisers and Taboola Advertisers and the ongoing optimizations and competitiveness of the partnership in the digital ad market, including any updates or modifications due to governmental, regulatory or industry related changes or requirements.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2" w:name="zc7ba4168cec345da8002faf888850075"/>
      <w:bookmarkStart w:id="163" w:name="zc7ba4168cec345da8002faf888850075"/>
      <w:bookmarkEnd w:id="163"/>
    </w:p>
    <w:tbl>
      <w:tblPr>
        <w:tblW w:w="843" w:type="dxa"/>
        <w:jc w:val="left"/>
        <w:tblInd w:w="0" w:type="dxa"/>
        <w:tblLayout w:type="fixed"/>
        <w:tblCellMar>
          <w:top w:w="0" w:type="dxa"/>
          <w:left w:w="0" w:type="dxa"/>
          <w:bottom w:w="0" w:type="dxa"/>
          <w:right w:w="0" w:type="dxa"/>
        </w:tblCellMar>
      </w:tblPr>
      <w:tblGrid>
        <w:gridCol w:w="38"/>
        <w:gridCol w:w="245"/>
        <w:gridCol w:w="56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w:t>
            </w:r>
          </w:p>
        </w:tc>
        <w:tc>
          <w:tcPr>
            <w:tcW w:w="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4" w:name="z7b618ef645564dfd92043c75873adc02"/>
      <w:bookmarkStart w:id="165" w:name="z7b618ef645564dfd92043c75873adc02"/>
      <w:bookmarkEnd w:id="165"/>
    </w:p>
    <w:tbl>
      <w:tblPr>
        <w:tblW w:w="918" w:type="dxa"/>
        <w:jc w:val="left"/>
        <w:tblInd w:w="0" w:type="dxa"/>
        <w:tblLayout w:type="fixed"/>
        <w:tblCellMar>
          <w:top w:w="0" w:type="dxa"/>
          <w:left w:w="0" w:type="dxa"/>
          <w:bottom w:w="0" w:type="dxa"/>
          <w:right w:w="0" w:type="dxa"/>
        </w:tblCellMar>
      </w:tblPr>
      <w:tblGrid>
        <w:gridCol w:w="38"/>
        <w:gridCol w:w="305"/>
        <w:gridCol w:w="575"/>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w:t>
            </w:r>
          </w:p>
        </w:tc>
        <w:tc>
          <w:tcPr>
            <w:tcW w:w="575" w:type="dxa"/>
            <w:tcBorders/>
            <w:vAlign w:val="center"/>
          </w:tcPr>
          <w:p>
            <w:pPr>
              <w:pStyle w:val="TableContents"/>
              <w:bidi w:val="0"/>
              <w:spacing w:before="0" w:after="0"/>
              <w:jc w:val="both"/>
              <w:rPr/>
            </w:pPr>
            <w:r>
              <w:rPr/>
              <w:t> </w:t>
            </w:r>
            <w:r>
              <w:rPr>
                <w:rFonts w:ascii="Times New Roman" w:hAnsi="Times New Roman"/>
                <w:sz w:val="20"/>
              </w:rPr>
              <w:t>[***].</w:t>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6" w:name="zeb8b4519528545dd921f76e1228943d1"/>
      <w:bookmarkStart w:id="167" w:name="zeb8b4519528545dd921f76e1228943d1"/>
      <w:bookmarkEnd w:id="167"/>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31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u w:val="single"/>
              </w:rPr>
              <w:t>Compensation</w:t>
            </w:r>
            <w:r>
              <w:rPr>
                <w:rFonts w:ascii="Times New Roman" w:hAnsi="Times New Roman"/>
                <w:b/>
                <w:color w:val="000000"/>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8" w:name="z13b5c7996bab4416b3b985c62f9bc909"/>
      <w:bookmarkStart w:id="169" w:name="z13b5c7996bab4416b3b985c62f9bc909"/>
      <w:bookmarkEnd w:id="16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each month of the Term, Company shall receive the Revenue Share set forth in Section IX above and the Header Bidding Fee set forth in Paragraph 4.c below, as set forth in Paragraph 4.d hereof.</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70" w:name="z73d3d0a0eb35471ba87103da8a09585b"/>
      <w:bookmarkStart w:id="171" w:name="z73d3d0a0eb35471ba87103da8a09585b"/>
      <w:bookmarkEnd w:id="17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shall not be compensated for any unauthorized implementation of the Platform, for any implementation of the Platform that makes it impossible to click or track clicks, or for any fraudulent or invalid clicks, traffic, or Recommendation Pageviews (as defined below). Fraudulent or invalid clicks means (a) clicks or taps on Recommendation originating from a non-human program or automated agent (e.g., internet robot or spider) for the purpose of manipulating click or tap measurement activity, or (b) impressions or clicks that result from activity designed to manipulate legitimate ad serving or measurement processes or to create fictitious activity that leads to inflated counts as measured by (i) Company’s traffic is converting at less than [***] of Taboola’s network average for similar type of integrations or (ii) the Recommendation Pageviews are the result of transfers or referrals of Visitors by a third-party traffic source and result in a monthly click-through rate that is less than [***] of the click-through rate experienced by the remainder of the Recommendation Pageviews that occurred on the Properties during the same month.</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72" w:name="z18d4428059164cbfb54f4a048faa007a"/>
      <w:bookmarkStart w:id="173" w:name="z18d4428059164cbfb54f4a048faa007a"/>
      <w:bookmarkEnd w:id="173"/>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rPr>
              <w:t>Header Bidding Fee</w:t>
            </w:r>
            <w:r>
              <w:rPr>
                <w:rFonts w:ascii="Times New Roman" w:hAnsi="Times New Roman"/>
                <w:sz w:val="20"/>
              </w:rPr>
              <w:t>. In addition to Company’s Compensation in Section IX, for each month of the Term, Company shall receive the Header Bidding Fee (as defined below) for any HB Placements monetized via the Header Bidding Adapter. For the purposes of this Agreement, the “</w:t>
            </w:r>
            <w:r>
              <w:rPr>
                <w:rFonts w:ascii="Times New Roman" w:hAnsi="Times New Roman"/>
                <w:b/>
                <w:sz w:val="20"/>
              </w:rPr>
              <w:t>Header Bidding Fee</w:t>
            </w:r>
            <w:r>
              <w:rPr>
                <w:rFonts w:ascii="Times New Roman" w:hAnsi="Times New Roman"/>
                <w:sz w:val="20"/>
              </w:rPr>
              <w:t>” shall mean the sum of the aggregate Winning Bids (as defined below) for all HB Placements purchased by Taboola. Company’s measurements are the definitive measurements to calculate the Header Bidding Fee. Any discrepancy with respect to Taboola’s measurements and Company’s measurements will be addressed pursuant to the Exchange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74" w:name="za9c7fc2a71534d9ba47b34a38d4de09b"/>
      <w:bookmarkStart w:id="175" w:name="za9c7fc2a71534d9ba47b34a38d4de09b"/>
      <w:bookmarkEnd w:id="17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payments shall be remitted to Company in U.S. dollars within forty-five (45) days after the end of the calendar month in which that revenue was generated, provided that Company has registered and continues to be registered with Taboola’s payment services company, Payoneer. Any objection to any invoice shall be stated in writing to Taboola within ninety (90) days of receipt of the invoice, [***]. [***] Company is responsible for providing accurate payment information, including, but not limited to, the correct entity name.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76" w:name="z274fb9dc4c66445293036e43db018751"/>
      <w:bookmarkStart w:id="177" w:name="z274fb9dc4c66445293036e43db018751"/>
      <w:bookmarkEnd w:id="177"/>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Taboola may also offer certain services and products to Taboola Advertisers (e.g., data products, brand safety) that are separate and independent from the Services and fees for such services are not included in the Gross Revenue.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8" w:name="z69563c2381d44bbcb319c4e461182d1f"/>
      <w:bookmarkStart w:id="179" w:name="z69563c2381d44bbcb319c4e461182d1f"/>
      <w:bookmarkEnd w:id="179"/>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10042" w:type="dxa"/>
            <w:tcBorders/>
            <w:vAlign w:val="center"/>
          </w:tcPr>
          <w:p>
            <w:pPr>
              <w:pStyle w:val="TableContents"/>
              <w:bidi w:val="0"/>
              <w:spacing w:before="0" w:after="0"/>
              <w:jc w:val="both"/>
              <w:rPr/>
            </w:pPr>
            <w:r>
              <w:rPr/>
              <w:t> </w:t>
            </w:r>
            <w:r>
              <w:rPr>
                <w:rFonts w:ascii="Times New Roman" w:hAnsi="Times New Roman"/>
                <w:b/>
                <w:sz w:val="20"/>
              </w:rPr>
              <w:t>Delay of Payment</w:t>
            </w:r>
            <w:r>
              <w:rPr>
                <w:rFonts w:ascii="Times New Roman" w:hAnsi="Times New Roman"/>
                <w:sz w:val="20"/>
              </w:rPr>
              <w:t>.  To ensure proper payment, Company is solely responsible for providing and maintaining accurate contact and payment information associated with Company’s account. Failure to comply shall result in delay of Company’s due payment.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80" w:name="z38e9ed702cb94ea994147981d73f82ed"/>
      <w:bookmarkStart w:id="181" w:name="z38e9ed702cb94ea994147981d73f82ed"/>
      <w:bookmarkEnd w:id="18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9997"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rPr>
              <w:t>Taxes</w:t>
            </w:r>
            <w:r>
              <w:rPr>
                <w:rFonts w:ascii="Times New Roman" w:hAnsi="Times New Roman"/>
                <w:sz w:val="20"/>
              </w:rPr>
              <w:t>.</w:t>
            </w:r>
            <w:r>
              <w:rPr>
                <w:rFonts w:ascii="Times New Roman" w:hAnsi="Times New Roman"/>
                <w:sz w:val="16"/>
              </w:rPr>
              <w:t xml:space="preserve">  </w:t>
            </w:r>
            <w:r>
              <w:rPr>
                <w:rFonts w:ascii="Times New Roman" w:hAnsi="Times New Roman"/>
                <w:sz w:val="20"/>
              </w:rPr>
              <w:t>Each Party will be responsible, as required under applicable law, for identifying and paying all taxes and other governmental fees and charges (and any penalties interest, and other additions thereto) that are imposed on that Party upon or with respect to the transactions and payments received by it under this Agreement. Any Revenue Share (as applicable) payable by Taboola to Company hereunder is exclusive of all national, state, or local sales taxes, use taxes, or value added taxes.  If any deductions or withholdings are required by law, Taboola shall pay Company in respect of all amounts required to be paid under this Agreement, such sum or consideration as will, after such deduction or withholding has been made, leave Company with the same amount of consideration as it would have been entitled to receive in the absence of any such requirement to make a deduction or withholding.  Each of the Parties shall cooperate in good faith with any applicable withholding agent to mitigate or eliminate any deduction or withholdings, including by providing reasonably requested tax forms or other relevant documentation in respect of withholding taxes.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82" w:name="z402b702cd20a4266ad829e095f8150ec"/>
      <w:bookmarkStart w:id="183" w:name="z402b702cd20a4266ad829e095f8150ec"/>
      <w:bookmarkEnd w:id="18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9997"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Analytics Dashboard</w:t>
            </w:r>
            <w:r>
              <w:rPr>
                <w:rFonts w:ascii="Times New Roman" w:hAnsi="Times New Roman"/>
                <w:color w:val="000000"/>
                <w:sz w:val="20"/>
              </w:rPr>
              <w:t>.  Company acknowledges that any analytics provided in the Analytics Dashboard are estimates only and will only be finalized fourteen (14) days after the conclusion of any calendar month.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dd3824b073cc48c6b4394b11d9e0578a"/>
      <w:bookmarkStart w:id="185" w:name="zdd3824b073cc48c6b4394b11d9e0578a"/>
      <w:bookmarkEnd w:id="185"/>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44"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u w:val="single"/>
              </w:rPr>
              <w:t>Exclusivity</w:t>
            </w:r>
            <w:r>
              <w:rPr>
                <w:rFonts w:ascii="Times New Roman" w:hAnsi="Times New Roman"/>
                <w:b/>
                <w:sz w:val="20"/>
              </w:rPr>
              <w:t xml:space="preserve">: </w:t>
            </w:r>
            <w:r>
              <w:rPr>
                <w:rFonts w:ascii="Times New Roman" w:hAnsi="Times New Roman"/>
                <w:sz w:val="20"/>
              </w:rPr>
              <w:t>Excluding Company’s owned and operated native advertising marketplace (referred to between the Parties as “Gemini”), Taboola will be Company’s exclusive third-party provider of Native Advertisements on the Properties.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6" w:name="zfc57936e07884dd99c728239160dcab2"/>
      <w:bookmarkStart w:id="187" w:name="zfc57936e07884dd99c728239160dcab2"/>
      <w:bookmarkEnd w:id="187"/>
    </w:p>
    <w:tbl>
      <w:tblPr>
        <w:tblW w:w="2020" w:type="dxa"/>
        <w:jc w:val="left"/>
        <w:tblInd w:w="0" w:type="dxa"/>
        <w:tblLayout w:type="fixed"/>
        <w:tblCellMar>
          <w:top w:w="0" w:type="dxa"/>
          <w:left w:w="0" w:type="dxa"/>
          <w:bottom w:w="0" w:type="dxa"/>
          <w:right w:w="0" w:type="dxa"/>
        </w:tblCellMar>
      </w:tblPr>
      <w:tblGrid>
        <w:gridCol w:w="185"/>
        <w:gridCol w:w="183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18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Property Divestiture</w:t>
            </w:r>
            <w:r>
              <w:rPr>
                <w:rFonts w:ascii="Times New Roman" w:hAnsi="Times New Roman"/>
                <w:b/>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8" w:name="z3e44bab905d8407580c178e36a1ac1d5"/>
      <w:bookmarkStart w:id="189" w:name="z3e44bab905d8407580c178e36a1ac1d5"/>
      <w:bookmarkEnd w:id="18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may divest a Property (or Properties) during the Term.  If Company divests a Property, the Parties shall reduce the then-current Baseline proportionately based on the sale of the Divested Asset (as defined below) subject to the following conditions: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90" w:name="zded1feb7d53b47a1b0f1a76e68fdd05d"/>
      <w:bookmarkStart w:id="191" w:name="zded1feb7d53b47a1b0f1a76e68fdd05d"/>
      <w:bookmarkEnd w:id="191"/>
    </w:p>
    <w:tbl>
      <w:tblPr>
        <w:tblW w:w="858" w:type="dxa"/>
        <w:jc w:val="left"/>
        <w:tblInd w:w="0" w:type="dxa"/>
        <w:tblLayout w:type="fixed"/>
        <w:tblCellMar>
          <w:top w:w="0" w:type="dxa"/>
          <w:left w:w="0" w:type="dxa"/>
          <w:bottom w:w="0" w:type="dxa"/>
          <w:right w:w="0" w:type="dxa"/>
        </w:tblCellMar>
      </w:tblPr>
      <w:tblGrid>
        <w:gridCol w:w="38"/>
        <w:gridCol w:w="125"/>
        <w:gridCol w:w="69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6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     </w:t>
            </w:r>
          </w:p>
        </w:tc>
      </w:tr>
    </w:tbl>
    <w:p>
      <w:pPr>
        <w:pStyle w:val="TextBody"/>
        <w:bidi w:val="0"/>
        <w:spacing w:before="0" w:after="0"/>
        <w:ind w:left="1080" w:right="0" w:hanging="0"/>
        <w:jc w:val="both"/>
        <w:rPr>
          <w:sz w:val="20"/>
        </w:rPr>
      </w:pPr>
      <w:r>
        <w:rPr>
          <w:sz w:val="20"/>
        </w:rPr>
      </w:r>
    </w:p>
    <w:p>
      <w:pPr>
        <w:pStyle w:val="Normal"/>
        <w:bidi w:val="0"/>
        <w:spacing w:before="0" w:after="0"/>
        <w:jc w:val="left"/>
        <w:rPr>
          <w:sz w:val="4"/>
          <w:szCs w:val="4"/>
        </w:rPr>
      </w:pPr>
      <w:r>
        <w:rPr>
          <w:sz w:val="4"/>
          <w:szCs w:val="4"/>
        </w:rPr>
      </w:r>
      <w:bookmarkStart w:id="192" w:name="z69d32bbee1c04a7a9f4aa7fffbb44348"/>
      <w:bookmarkStart w:id="193" w:name="z69d32bbee1c04a7a9f4aa7fffbb44348"/>
      <w:bookmarkEnd w:id="193"/>
    </w:p>
    <w:tbl>
      <w:tblPr>
        <w:tblW w:w="693" w:type="dxa"/>
        <w:jc w:val="left"/>
        <w:tblInd w:w="0" w:type="dxa"/>
        <w:tblLayout w:type="fixed"/>
        <w:tblCellMar>
          <w:top w:w="0" w:type="dxa"/>
          <w:left w:w="0" w:type="dxa"/>
          <w:bottom w:w="0" w:type="dxa"/>
          <w:right w:w="0" w:type="dxa"/>
        </w:tblCellMar>
      </w:tblPr>
      <w:tblGrid>
        <w:gridCol w:w="38"/>
        <w:gridCol w:w="185"/>
        <w:gridCol w:w="47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94" w:name="zac04b249ff5f4027a75561808c01393f"/>
      <w:bookmarkStart w:id="195" w:name="zac04b249ff5f4027a75561808c01393f"/>
      <w:bookmarkEnd w:id="195"/>
    </w:p>
    <w:tbl>
      <w:tblPr>
        <w:tblW w:w="753" w:type="dxa"/>
        <w:jc w:val="left"/>
        <w:tblInd w:w="0" w:type="dxa"/>
        <w:tblLayout w:type="fixed"/>
        <w:tblCellMar>
          <w:top w:w="0" w:type="dxa"/>
          <w:left w:w="0" w:type="dxa"/>
          <w:bottom w:w="0" w:type="dxa"/>
          <w:right w:w="0" w:type="dxa"/>
        </w:tblCellMar>
      </w:tblPr>
      <w:tblGrid>
        <w:gridCol w:w="38"/>
        <w:gridCol w:w="245"/>
        <w:gridCol w:w="4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96" w:name="zc5d34c435b5c409c884183e12a1c7e93"/>
      <w:bookmarkStart w:id="197" w:name="zc5d34c435b5c409c884183e12a1c7e93"/>
      <w:bookmarkEnd w:id="197"/>
    </w:p>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iv.</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98" w:name="zd1519948b54f4c0f968063f4f7cc84b8"/>
      <w:bookmarkStart w:id="199" w:name="zd1519948b54f4c0f968063f4f7cc84b8"/>
      <w:bookmarkEnd w:id="19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Notwithstanding the foregoing, any Property (or Properties) that Company divests but otherwise retains sufficient management and control thereof to continue to perform its obligations under the Agreement shall not be considered a Divested Asset for purposes of this Paragraph 6. For clarity, if Company no longer retains such management and control of the Property (or Properties), then the Property (or Properties) will become a Divested Asset and subject to Paragraph 6.a above.</w:t>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8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b/>
          <w:color w:val="000000"/>
          <w:sz w:val="20"/>
          <w:u w:val="single"/>
        </w:rPr>
        <w:t>Privacy and Data Protection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0" w:name="zf54e45e643064e048c6122006c1b9fce"/>
      <w:bookmarkStart w:id="201" w:name="zf54e45e643064e048c6122006c1b9fce"/>
      <w:bookmarkEnd w:id="201"/>
    </w:p>
    <w:tbl>
      <w:tblPr>
        <w:tblW w:w="8028" w:type="dxa"/>
        <w:jc w:val="left"/>
        <w:tblInd w:w="0" w:type="dxa"/>
        <w:tblLayout w:type="fixed"/>
        <w:tblCellMar>
          <w:top w:w="0" w:type="dxa"/>
          <w:left w:w="0" w:type="dxa"/>
          <w:bottom w:w="0" w:type="dxa"/>
          <w:right w:w="0" w:type="dxa"/>
        </w:tblCellMar>
      </w:tblPr>
      <w:tblGrid>
        <w:gridCol w:w="38"/>
        <w:gridCol w:w="155"/>
        <w:gridCol w:w="7835"/>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7835"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Privacy Definitions.</w:t>
            </w:r>
            <w:r>
              <w:rPr>
                <w:rFonts w:ascii="Times New Roman" w:hAnsi="Times New Roman"/>
                <w:color w:val="000000"/>
                <w:sz w:val="16"/>
              </w:rPr>
              <w:t xml:space="preserve"> </w:t>
            </w:r>
            <w:r>
              <w:rPr>
                <w:rFonts w:ascii="Times New Roman" w:hAnsi="Times New Roman"/>
                <w:color w:val="000000"/>
                <w:sz w:val="20"/>
              </w:rPr>
              <w:t>In this Paragraph 5, the following terms shall have the following meanings: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2" w:name="zd4bb2d458bf74bf8ab3b1972a0327938"/>
      <w:bookmarkStart w:id="203" w:name="zd4bb2d458bf74bf8ab3b1972a0327938"/>
      <w:bookmarkEnd w:id="20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42" w:type="dxa"/>
            <w:tcBorders/>
            <w:vAlign w:val="center"/>
          </w:tcPr>
          <w:p>
            <w:pPr>
              <w:pStyle w:val="TableContents"/>
              <w:bidi w:val="0"/>
              <w:spacing w:before="0" w:after="0"/>
              <w:jc w:val="both"/>
              <w:rPr>
                <w:color w:val="000000"/>
              </w:rPr>
            </w:pPr>
            <w:r>
              <w:rPr>
                <w:color w:val="000000"/>
              </w:rPr>
              <w:t>“</w:t>
            </w:r>
            <w:r>
              <w:rPr>
                <w:rFonts w:ascii="Times New Roman" w:hAnsi="Times New Roman"/>
                <w:b/>
                <w:color w:val="000000"/>
                <w:sz w:val="20"/>
              </w:rPr>
              <w:t>Applicable Privacy Laws”</w:t>
            </w:r>
            <w:r>
              <w:rPr>
                <w:rFonts w:ascii="Times New Roman" w:hAnsi="Times New Roman"/>
                <w:color w:val="000000"/>
                <w:sz w:val="16"/>
              </w:rPr>
              <w:t xml:space="preserve"> </w:t>
            </w:r>
            <w:r>
              <w:rPr>
                <w:rFonts w:ascii="Times New Roman" w:hAnsi="Times New Roman"/>
                <w:color w:val="000000"/>
                <w:sz w:val="20"/>
              </w:rPr>
              <w:t>means all applicable international, national, federal, and state data protection and privacy laws including requirements relating to the collection, use, storage, deletion, security and transfer of Personal Data, (including but not limited to  EU Privacy Law as applicable to the processing of Personal Data in the European Union, UK Data Protection Law, and California Privacy Law as applicable to the processing of Personal Data of California residents) enacted and effective during the Term and any legislation replacing or updating any of the foregoing;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4" w:name="zdea551a0fb2d446191c9eb3520417c70"/>
      <w:bookmarkStart w:id="205" w:name="zdea551a0fb2d446191c9eb3520417c70"/>
      <w:bookmarkEnd w:id="205"/>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82" w:type="dxa"/>
            <w:tcBorders/>
            <w:vAlign w:val="center"/>
          </w:tcPr>
          <w:p>
            <w:pPr>
              <w:pStyle w:val="TableContents"/>
              <w:bidi w:val="0"/>
              <w:spacing w:before="0" w:after="0"/>
              <w:jc w:val="both"/>
              <w:rPr/>
            </w:pPr>
            <w:r>
              <w:rPr/>
              <w:t>“</w:t>
            </w:r>
            <w:r>
              <w:rPr>
                <w:rFonts w:ascii="Times New Roman" w:hAnsi="Times New Roman"/>
                <w:b/>
                <w:sz w:val="20"/>
              </w:rPr>
              <w:t>California Privacy Law”</w:t>
            </w:r>
            <w:r>
              <w:rPr>
                <w:rFonts w:ascii="Times New Roman" w:hAnsi="Times New Roman"/>
                <w:sz w:val="16"/>
              </w:rPr>
              <w:t xml:space="preserve"> </w:t>
            </w:r>
            <w:r>
              <w:rPr>
                <w:rFonts w:ascii="Times New Roman" w:hAnsi="Times New Roman"/>
                <w:sz w:val="20"/>
              </w:rPr>
              <w:t>means California Consumer Privacy Act of 2018, Cal. Civil Code § 1798.100 et seq., and any amendments or legislation replacing or updating any of the foregoing (also, “</w:t>
            </w:r>
            <w:r>
              <w:rPr>
                <w:rFonts w:ascii="Times New Roman" w:hAnsi="Times New Roman"/>
                <w:b/>
                <w:sz w:val="20"/>
              </w:rPr>
              <w:t>CCPA</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6" w:name="z61bf24544b474871baa0af1cb56c3958"/>
      <w:bookmarkStart w:id="207" w:name="z61bf24544b474871baa0af1cb56c3958"/>
      <w:bookmarkEnd w:id="207"/>
    </w:p>
    <w:tbl>
      <w:tblPr>
        <w:tblW w:w="8343" w:type="dxa"/>
        <w:jc w:val="left"/>
        <w:tblInd w:w="0" w:type="dxa"/>
        <w:tblLayout w:type="fixed"/>
        <w:tblCellMar>
          <w:top w:w="0" w:type="dxa"/>
          <w:left w:w="0" w:type="dxa"/>
          <w:bottom w:w="0" w:type="dxa"/>
          <w:right w:w="0" w:type="dxa"/>
        </w:tblCellMar>
      </w:tblPr>
      <w:tblGrid>
        <w:gridCol w:w="38"/>
        <w:gridCol w:w="245"/>
        <w:gridCol w:w="806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8060" w:type="dxa"/>
            <w:tcBorders/>
            <w:vAlign w:val="center"/>
          </w:tcPr>
          <w:p>
            <w:pPr>
              <w:pStyle w:val="TableContents"/>
              <w:bidi w:val="0"/>
              <w:spacing w:before="0" w:after="0"/>
              <w:jc w:val="both"/>
              <w:rPr>
                <w:color w:val="000000"/>
              </w:rPr>
            </w:pPr>
            <w:r>
              <w:rPr>
                <w:color w:val="000000"/>
              </w:rPr>
              <w:t>“</w:t>
            </w:r>
            <w:r>
              <w:rPr>
                <w:rFonts w:ascii="Times New Roman" w:hAnsi="Times New Roman"/>
                <w:b/>
                <w:color w:val="000000"/>
                <w:sz w:val="20"/>
              </w:rPr>
              <w:t>Controller”</w:t>
            </w:r>
            <w:r>
              <w:rPr>
                <w:rFonts w:ascii="Times New Roman" w:hAnsi="Times New Roman"/>
                <w:color w:val="000000"/>
                <w:sz w:val="16"/>
              </w:rPr>
              <w:t xml:space="preserve"> </w:t>
            </w:r>
            <w:r>
              <w:rPr>
                <w:rFonts w:ascii="Times New Roman" w:hAnsi="Times New Roman"/>
                <w:color w:val="000000"/>
                <w:sz w:val="20"/>
              </w:rPr>
              <w:t>means an entity that determines the purposes and means of processing Personal Data;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8" w:name="z98227278bd414674a56d2a4c2f251bbf"/>
      <w:bookmarkStart w:id="209" w:name="z98227278bd414674a56d2a4c2f251bbf"/>
      <w:bookmarkEnd w:id="209"/>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iv.</w:t>
            </w:r>
          </w:p>
        </w:tc>
        <w:tc>
          <w:tcPr>
            <w:tcW w:w="9937" w:type="dxa"/>
            <w:tcBorders/>
            <w:vAlign w:val="center"/>
          </w:tcPr>
          <w:p>
            <w:pPr>
              <w:pStyle w:val="TableContents"/>
              <w:bidi w:val="0"/>
              <w:spacing w:before="0" w:after="0"/>
              <w:jc w:val="both"/>
              <w:rPr>
                <w:color w:val="000000"/>
              </w:rPr>
            </w:pPr>
            <w:r>
              <w:rPr>
                <w:color w:val="000000"/>
              </w:rPr>
              <w:t>“</w:t>
            </w:r>
            <w:r>
              <w:rPr>
                <w:rFonts w:ascii="Times New Roman" w:hAnsi="Times New Roman"/>
                <w:b/>
                <w:color w:val="000000"/>
                <w:sz w:val="20"/>
              </w:rPr>
              <w:t>EU Privacy Law”</w:t>
            </w:r>
            <w:r>
              <w:rPr>
                <w:rFonts w:ascii="Times New Roman" w:hAnsi="Times New Roman"/>
                <w:color w:val="000000"/>
                <w:sz w:val="16"/>
              </w:rPr>
              <w:t xml:space="preserve"> </w:t>
            </w:r>
            <w:r>
              <w:rPr>
                <w:rFonts w:ascii="Times New Roman" w:hAnsi="Times New Roman"/>
                <w:color w:val="000000"/>
                <w:sz w:val="20"/>
              </w:rPr>
              <w:t>means: (aa) EU Regulation 2016/679 (the “</w:t>
            </w:r>
            <w:r>
              <w:rPr>
                <w:rFonts w:ascii="Times New Roman" w:hAnsi="Times New Roman"/>
                <w:b/>
                <w:color w:val="000000"/>
                <w:sz w:val="20"/>
              </w:rPr>
              <w:t>General Data Protection Regulation</w:t>
            </w:r>
            <w:r>
              <w:rPr>
                <w:rFonts w:ascii="Times New Roman" w:hAnsi="Times New Roman"/>
                <w:color w:val="000000"/>
                <w:sz w:val="20"/>
              </w:rPr>
              <w:t>”) and any applicable national legislation made under or pursuant to it; and (bb) EU Directive 2002/58/EC as implemented by relevant member states and any applicable national legislation implementing it; in each case as amended or superseded;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0" w:name="zfd971c474f644f9b813d4cd5989dff70"/>
      <w:bookmarkStart w:id="211" w:name="zfd971c474f644f9b813d4cd5989dff70"/>
      <w:bookmarkEnd w:id="211"/>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w:t>
            </w:r>
          </w:p>
        </w:tc>
        <w:tc>
          <w:tcPr>
            <w:tcW w:w="6275" w:type="dxa"/>
            <w:tcBorders/>
            <w:vAlign w:val="center"/>
          </w:tcPr>
          <w:p>
            <w:pPr>
              <w:pStyle w:val="TableContents"/>
              <w:bidi w:val="0"/>
              <w:spacing w:before="0" w:after="0"/>
              <w:jc w:val="both"/>
              <w:rPr>
                <w:color w:val="000000"/>
              </w:rPr>
            </w:pPr>
            <w:r>
              <w:rPr>
                <w:color w:val="000000"/>
              </w:rPr>
              <w:t>“</w:t>
            </w:r>
            <w:r>
              <w:rPr>
                <w:rFonts w:ascii="Times New Roman" w:hAnsi="Times New Roman"/>
                <w:b/>
                <w:color w:val="000000"/>
                <w:sz w:val="20"/>
              </w:rPr>
              <w:t>Personal Data”</w:t>
            </w:r>
            <w:r>
              <w:rPr>
                <w:rFonts w:ascii="Times New Roman" w:hAnsi="Times New Roman"/>
                <w:color w:val="000000"/>
                <w:sz w:val="16"/>
              </w:rPr>
              <w:t xml:space="preserve"> </w:t>
            </w:r>
            <w:r>
              <w:rPr>
                <w:rFonts w:ascii="Times New Roman" w:hAnsi="Times New Roman"/>
                <w:color w:val="000000"/>
                <w:sz w:val="20"/>
              </w:rPr>
              <w:t>shall have the meanings given in Applicable Privacy Laws.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2" w:name="z760803795190475b92bab8314857339f"/>
      <w:bookmarkStart w:id="213" w:name="z760803795190475b92bab8314857339f"/>
      <w:bookmarkEnd w:id="213"/>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w:t>
            </w:r>
          </w:p>
        </w:tc>
        <w:tc>
          <w:tcPr>
            <w:tcW w:w="9937" w:type="dxa"/>
            <w:tcBorders/>
            <w:vAlign w:val="center"/>
          </w:tcPr>
          <w:p>
            <w:pPr>
              <w:pStyle w:val="TableContents"/>
              <w:bidi w:val="0"/>
              <w:spacing w:before="0" w:after="0"/>
              <w:jc w:val="both"/>
              <w:rPr/>
            </w:pPr>
            <w:r>
              <w:rPr/>
              <w:t>“</w:t>
            </w:r>
            <w:r>
              <w:rPr>
                <w:rFonts w:ascii="Times New Roman" w:hAnsi="Times New Roman"/>
                <w:b/>
                <w:sz w:val="20"/>
              </w:rPr>
              <w:t xml:space="preserve">Self-Regulatory Principles” </w:t>
            </w:r>
            <w:r>
              <w:rPr>
                <w:rFonts w:ascii="Times New Roman" w:hAnsi="Times New Roman"/>
                <w:sz w:val="20"/>
              </w:rPr>
              <w:t>means all applicable industry self-regulatory rules, codes and guidelines of which each Party upholds (including, without limitation and as applicable, the rules, codes and guidelines of the Interactive Advertising Bureau (IAB), the Network Advertising Initiative (NAI), the Digital Advertising Alliance (DAA); the European Digital Advertising Alliance (EDAA)).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4" w:name="z656d4c00f6ca4c9787d991c8b8aac5c0"/>
      <w:bookmarkStart w:id="215" w:name="z656d4c00f6ca4c9787d991c8b8aac5c0"/>
      <w:bookmarkEnd w:id="215"/>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vii.</w:t>
            </w:r>
          </w:p>
        </w:tc>
        <w:tc>
          <w:tcPr>
            <w:tcW w:w="9877" w:type="dxa"/>
            <w:tcBorders/>
            <w:vAlign w:val="center"/>
          </w:tcPr>
          <w:p>
            <w:pPr>
              <w:pStyle w:val="TableContents"/>
              <w:bidi w:val="0"/>
              <w:spacing w:before="0" w:after="0"/>
              <w:jc w:val="both"/>
              <w:rPr>
                <w:color w:val="000000"/>
              </w:rPr>
            </w:pPr>
            <w:r>
              <w:rPr>
                <w:color w:val="000000"/>
              </w:rPr>
              <w:t>“</w:t>
            </w:r>
            <w:r>
              <w:rPr>
                <w:rFonts w:ascii="Times New Roman" w:hAnsi="Times New Roman"/>
                <w:b/>
                <w:color w:val="000000"/>
                <w:sz w:val="20"/>
              </w:rPr>
              <w:t xml:space="preserve">Sensitive Data” </w:t>
            </w:r>
            <w:r>
              <w:rPr>
                <w:rFonts w:ascii="Times New Roman" w:hAnsi="Times New Roman"/>
                <w:color w:val="000000"/>
                <w:sz w:val="20"/>
              </w:rPr>
              <w:t xml:space="preserve">means any information that falls under a subset of Personal Data determined to be particularly sensitive such that unlawfully processing the data can result in a high risk of harm to an individual as defined by Applicable Privacy Laws or Self-Regulatory Principles (e.g., Sensitive Information under the NAI code, Special Categories of Personal Data under the GDPR, Children’s data under COPPA).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6" w:name="z812ae4b97b35422b92fe59ed9d19d806"/>
      <w:bookmarkStart w:id="217" w:name="z812ae4b97b35422b92fe59ed9d19d806"/>
      <w:bookmarkEnd w:id="217"/>
    </w:p>
    <w:tbl>
      <w:tblPr>
        <w:tblW w:w="9018" w:type="dxa"/>
        <w:jc w:val="left"/>
        <w:tblInd w:w="0" w:type="dxa"/>
        <w:tblLayout w:type="fixed"/>
        <w:tblCellMar>
          <w:top w:w="0" w:type="dxa"/>
          <w:left w:w="0" w:type="dxa"/>
          <w:bottom w:w="0" w:type="dxa"/>
          <w:right w:w="0" w:type="dxa"/>
        </w:tblCellMar>
      </w:tblPr>
      <w:tblGrid>
        <w:gridCol w:w="38"/>
        <w:gridCol w:w="350"/>
        <w:gridCol w:w="863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viii.</w:t>
            </w:r>
          </w:p>
        </w:tc>
        <w:tc>
          <w:tcPr>
            <w:tcW w:w="8630" w:type="dxa"/>
            <w:tcBorders/>
            <w:vAlign w:val="center"/>
          </w:tcPr>
          <w:p>
            <w:pPr>
              <w:pStyle w:val="TableContents"/>
              <w:bidi w:val="0"/>
              <w:spacing w:before="0" w:after="0"/>
              <w:jc w:val="both"/>
              <w:rPr>
                <w:color w:val="000000"/>
              </w:rPr>
            </w:pPr>
            <w:r>
              <w:rPr>
                <w:color w:val="000000"/>
              </w:rPr>
              <w:t>“</w:t>
            </w:r>
            <w:r>
              <w:rPr>
                <w:rFonts w:ascii="Times New Roman" w:hAnsi="Times New Roman"/>
                <w:b/>
                <w:color w:val="000000"/>
                <w:sz w:val="20"/>
              </w:rPr>
              <w:t>UK Data Protection Law”</w:t>
            </w:r>
            <w:r>
              <w:rPr>
                <w:rFonts w:ascii="Times New Roman" w:hAnsi="Times New Roman"/>
                <w:color w:val="000000"/>
                <w:sz w:val="16"/>
              </w:rPr>
              <w:t xml:space="preserve"> </w:t>
            </w:r>
            <w:r>
              <w:rPr>
                <w:rFonts w:ascii="Times New Roman" w:hAnsi="Times New Roman"/>
                <w:color w:val="000000"/>
                <w:sz w:val="20"/>
              </w:rPr>
              <w:t>means the UK Data Protection Act of 2018 as may be amended or superseded.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8" w:name="zab4778bd5797424baed9bf388cc84df3"/>
      <w:bookmarkStart w:id="219" w:name="zab4778bd5797424baed9bf388cc84df3"/>
      <w:bookmarkEnd w:id="21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Role of the Parties.</w:t>
            </w:r>
            <w:r>
              <w:rPr>
                <w:rFonts w:ascii="Times New Roman" w:hAnsi="Times New Roman"/>
                <w:color w:val="000000"/>
                <w:sz w:val="16"/>
              </w:rPr>
              <w:t xml:space="preserve"> </w:t>
            </w:r>
            <w:r>
              <w:rPr>
                <w:rFonts w:ascii="Times New Roman" w:hAnsi="Times New Roman"/>
                <w:color w:val="000000"/>
                <w:sz w:val="20"/>
              </w:rPr>
              <w:t>The Parties shall continue to process data in accordance with the Data Processing Addendum (“</w:t>
            </w:r>
            <w:r>
              <w:rPr>
                <w:rFonts w:ascii="Times New Roman" w:hAnsi="Times New Roman"/>
                <w:b/>
                <w:color w:val="000000"/>
                <w:sz w:val="20"/>
              </w:rPr>
              <w:t>DPA</w:t>
            </w:r>
            <w:r>
              <w:rPr>
                <w:rFonts w:ascii="Times New Roman" w:hAnsi="Times New Roman"/>
                <w:color w:val="000000"/>
                <w:sz w:val="20"/>
              </w:rPr>
              <w:t>”) executed by the Parties on May 28, 2018.  Subject to the terms of the DPA, Taboola acknowledges that Company is a Controller of Personal Data relating to its Visitors of the Properties. Subject to the restrictions set forth in this Agreement, Company acknowledges that Taboola shall also be an independent Controller of Personal Data that it processes about Visitors to provide its Services (both to Company and to Taboola’s other digital properties). In no event shall the Parties process Personal Data that they each collect about Visitors as joint Controllers. If changes in any law evolve such that Taboola and Company may no longer be considered separate and independent Controllers, the Parties shall negotiate in good faith a new data processing addendum to account for such change.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0" w:name="zc61a15d78e374d0abdad2dbf2fdc3090"/>
      <w:bookmarkStart w:id="221" w:name="zc61a15d78e374d0abdad2dbf2fdc3090"/>
      <w:bookmarkEnd w:id="221"/>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both"/>
              <w:rPr>
                <w:rFonts w:ascii="Times New Roman" w:hAnsi="Times New Roman"/>
                <w:sz w:val="24"/>
              </w:rPr>
            </w:pPr>
            <w:r>
              <w:rPr>
                <w:rFonts w:ascii="Times New Roman" w:hAnsi="Times New Roman"/>
                <w:b/>
                <w:sz w:val="20"/>
              </w:rPr>
              <w:t>Compliance.</w:t>
            </w:r>
            <w:r>
              <w:rPr>
                <w:rFonts w:ascii="Times New Roman" w:hAnsi="Times New Roman"/>
                <w:sz w:val="24"/>
              </w:rPr>
              <w:t xml:space="preserve"> </w:t>
            </w:r>
            <w:r>
              <w:rPr>
                <w:rFonts w:ascii="Times New Roman" w:hAnsi="Times New Roman"/>
                <w:sz w:val="20"/>
              </w:rPr>
              <w:t>Each Party shall comply with its responsibilities under Applicable Privacy Laws. In particular, each Party shall process Visitors’ Personal Data in accordance with this Agreement and only for purposes that have been properly notified to Visitors (in accordance with Paragraph 5.d below) and shall ensure that it has a lawful basis for processing Visitors’ Personal Data consistent with the requirements of Applicable Privacy Laws and any necessary consents obtained from Visitors. As of the effective date of this Agreement, each Party represents that it is a member of the NAI, Digital Advertising Alliance (“DAA”), and European Interactive Digital Advertising Alliance (“EDAA”) and is committed to maintaining adherence with the NAI, DAA, and EDAA Self-Regulatory Principles. Each Party agrees that it shall take no intentional action (or negligently fail to take an action) that would jeopardize the other Party’s membership in these organizations or cause the other Party to violate the Self-Regulatory Principles.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2" w:name="zb2e1104b553f413db201d842aaea5bd6"/>
      <w:bookmarkStart w:id="223" w:name="zb2e1104b553f413db201d842aaea5bd6"/>
      <w:bookmarkEnd w:id="22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97"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Transparency.</w:t>
            </w:r>
            <w:r>
              <w:rPr>
                <w:rFonts w:ascii="Times New Roman" w:hAnsi="Times New Roman"/>
                <w:color w:val="000000"/>
                <w:sz w:val="16"/>
              </w:rPr>
              <w:t xml:space="preserve"> </w:t>
            </w:r>
            <w:r>
              <w:rPr>
                <w:rFonts w:ascii="Times New Roman" w:hAnsi="Times New Roman"/>
                <w:color w:val="000000"/>
                <w:sz w:val="20"/>
              </w:rPr>
              <w:t>Each Party shall, at all times during the Term, comply with its respective published privacy and cookie policies and disclosures. Each Party shall ensure that its website (and as to Company, each Property) includes prominently posted privacy and cookie policies that describe in a legally sufficient manner the Personal Data that it collects, how it uses and shares such Personal Data, and how users and Visitors can opt out of such use in accordance with Applicable Privacy Laws.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Taboola: Specifically, Taboola agrees that its privacy policy shall describe (i) the types of data collected by Taboola including but not limited to its use of cookies, unique identifiers, and non-cookie technologies for interest-based advertising and analytics, (ii) how, and for what purpose the data will be used or transferred to third parties, and shall provide a clear and conspicuous link to either the NAI’s industry opt-out page at </w:t>
      </w:r>
      <w:r>
        <w:rPr>
          <w:rFonts w:ascii="Times New Roman" w:hAnsi="Times New Roman"/>
          <w:color w:val="000000"/>
          <w:sz w:val="20"/>
          <w:u w:val="single"/>
        </w:rPr>
        <w:t>http://www.networkadvertising.org</w:t>
      </w:r>
      <w:r>
        <w:rPr>
          <w:rFonts w:ascii="Times New Roman" w:hAnsi="Times New Roman"/>
          <w:color w:val="000000"/>
          <w:sz w:val="20"/>
        </w:rPr>
        <w:t xml:space="preserve">, the DAA’s industry opt-out page at </w:t>
      </w:r>
      <w:r>
        <w:rPr>
          <w:rFonts w:ascii="Times New Roman" w:hAnsi="Times New Roman"/>
          <w:color w:val="000000"/>
          <w:sz w:val="20"/>
          <w:u w:val="single"/>
        </w:rPr>
        <w:t>http://www.aboutads.info</w:t>
      </w:r>
      <w:r>
        <w:rPr>
          <w:rFonts w:ascii="Times New Roman" w:hAnsi="Times New Roman"/>
          <w:color w:val="000000"/>
          <w:sz w:val="20"/>
        </w:rPr>
        <w:t xml:space="preserve">, or (as to European web-based media and data collection) a link to the EDAA opt-out link at </w:t>
      </w:r>
      <w:r>
        <w:rPr>
          <w:rFonts w:ascii="Times New Roman" w:hAnsi="Times New Roman"/>
          <w:color w:val="000000"/>
          <w:sz w:val="20"/>
          <w:u w:val="single"/>
        </w:rPr>
        <w:t>http://www.youronlinechoices.eu</w:t>
      </w:r>
      <w:r>
        <w:rPr>
          <w:rFonts w:ascii="Times New Roman" w:hAnsi="Times New Roman"/>
          <w:color w:val="000000"/>
          <w:sz w:val="20"/>
        </w:rPr>
        <w:t>, in a manner that meets the requirements of all Applicable Privacy Laws.</w:t>
      </w:r>
    </w:p>
    <w:p>
      <w:pPr>
        <w:pStyle w:val="TextBody"/>
        <w:bidi w:val="0"/>
        <w:spacing w:before="0" w:after="0"/>
        <w:jc w:val="left"/>
        <w:rPr>
          <w:color w:val="000000"/>
        </w:rPr>
      </w:pPr>
      <w:r>
        <w:rPr>
          <w:color w:val="000000"/>
        </w:rPr>
        <w:t> </w:t>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14</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Parties shall agree using the IAB TCF (as defined below) to pass along user preferences unless and until such time that the IAB TCF is discontinued or determined to be unlawful, and thereafter the Parties shall agree to work in good faith to adopt a mechanism for Company to pass on any opt out requests it receives from Visitors and shall work together in good faith to ensure that any data subject rights are appropriately honored by the Parties. Similarly, Taboola shall continue to honor any end user opt outs it receives for Taboola Data.  Taboola agrees that it will implement all Company-recommended privacy controls and safeguards, to the satisfaction of Company, for the purposes of honoring Visitor opt outs and for facilitating data subject requests under Applicable Privacy Laws, including but not limited to integrating with the Yahoo Privacy Dashboard and any opt-out technology provided to Taboola by Company and that it shall action the following: Virginia, California and National Section GPP Signals for Opt-out of sale/share/targeted advertising and any other privacy strings or user preference signaling mechanism that may later go into effect during the Term. Additionally, Company will pass Taboola an identifier associated with an erasure request to enable Taboola to effectuate such erasure. Taboola agrees that erasure shall be completed within 30 days of receipt of the identifier. Additionally, in the event that the Parties agree to utilize Company’s ConnectID solution, Taboola agrees to participate in the NAI’s audience match opt-out portal and any other industry opt-outs that may be relevant or applicable during the Term.</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Company: Specifically, Company agrees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4" w:name="z482a74b9bc7341bb8f16e617e9917d0d"/>
      <w:bookmarkStart w:id="225" w:name="z482a74b9bc7341bb8f16e617e9917d0d"/>
      <w:bookmarkEnd w:id="22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 to its web-based Properties, Company’s Privacy Policy shall describe the use of cookies, unique identifiers, and non-cookie technologies by third parties (i.e. Taboola) for interest-based advertising and analytics (on and off the Properties), and shall provide a link to either the NAI’s industry opt-out page at </w:t>
            </w:r>
            <w:r>
              <w:rPr>
                <w:rFonts w:ascii="Times New Roman" w:hAnsi="Times New Roman"/>
                <w:sz w:val="20"/>
                <w:u w:val="single"/>
              </w:rPr>
              <w:t>http://www.networkadvertising.org</w:t>
            </w:r>
            <w:r>
              <w:rPr>
                <w:rFonts w:ascii="Times New Roman" w:hAnsi="Times New Roman"/>
                <w:sz w:val="20"/>
              </w:rPr>
              <w:t xml:space="preserve">, the DAA’s industry opt-out page at </w:t>
            </w:r>
            <w:r>
              <w:rPr>
                <w:rFonts w:ascii="Times New Roman" w:hAnsi="Times New Roman"/>
                <w:sz w:val="20"/>
                <w:u w:val="single"/>
              </w:rPr>
              <w:t>http://www.aboutads.info</w:t>
            </w:r>
            <w:r>
              <w:rPr>
                <w:rFonts w:ascii="Times New Roman" w:hAnsi="Times New Roman"/>
                <w:sz w:val="20"/>
              </w:rPr>
              <w:t xml:space="preserve">, or (as to European web-based media and data collection) a link to the EDAA opt-out link at </w:t>
            </w:r>
            <w:r>
              <w:rPr>
                <w:rFonts w:ascii="Times New Roman" w:hAnsi="Times New Roman"/>
                <w:sz w:val="20"/>
                <w:u w:val="single"/>
              </w:rPr>
              <w:t>http://www.youronlinechoices.eu</w:t>
            </w:r>
            <w:r>
              <w:rPr>
                <w:rFonts w:ascii="Times New Roman" w:hAnsi="Times New Roman"/>
                <w:sz w:val="20"/>
              </w:rPr>
              <w:t>, in a manner that meets the requirements of EU Privacy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6" w:name="ze5bec2b5e51041a2889f6fd080c1b60a"/>
      <w:bookmarkStart w:id="227" w:name="ze5bec2b5e51041a2889f6fd080c1b60a"/>
      <w:bookmarkEnd w:id="22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8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to mobile app-based Properties, Company’s Privacy Policy shall describe the use on its mobile apps of SDKs and collection of mobile ad identifiers for interest-based or cross-app advertising and analytics (on and off the Properties); and provide a description of how users and Visitors may opt out of the collection of mobile data for cross-app advertising through device settings;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8" w:name="z33a7ca4f3eb848d585c7411c5d8acb8c"/>
      <w:bookmarkStart w:id="229" w:name="z33a7ca4f3eb848d585c7411c5d8acb8c"/>
      <w:bookmarkEnd w:id="229"/>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992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its EU-facing Properties, Company shall ensure that it obtains the Visitors’ freely given, specific, informed, and unambiguous consent in accordance with EU Privacy Law, with respect to placing or accessing any Taboola cookies or any other unique identifiers on the users’ and Visitors’ device(s).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Each Party represents that it shall remain a member in good standing of the IAB Transparency and Consent (“</w:t>
      </w:r>
      <w:r>
        <w:rPr>
          <w:rFonts w:ascii="Times New Roman" w:hAnsi="Times New Roman"/>
          <w:b/>
          <w:color w:val="000000"/>
          <w:sz w:val="20"/>
        </w:rPr>
        <w:t>IAB TCF</w:t>
      </w:r>
      <w:r>
        <w:rPr>
          <w:rFonts w:ascii="Times New Roman" w:hAnsi="Times New Roman"/>
          <w:color w:val="000000"/>
          <w:sz w:val="20"/>
        </w:rPr>
        <w:t>”) Framework and in the event that the IAB TCF is determined to be unlawful, subject to the terms of this Agreement, the Parties shall work together in good faith to determine a lawful method for Taboola to process and use Company Data in the EU.</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0" w:name="zfeb21632e54d4c8b9570a03de7d26e7f"/>
      <w:bookmarkStart w:id="231" w:name="zfeb21632e54d4c8b9570a03de7d26e7f"/>
      <w:bookmarkEnd w:id="231"/>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10012"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rPr>
              <w:t>California Privacy Law.</w:t>
            </w:r>
            <w:r>
              <w:rPr>
                <w:rFonts w:ascii="Times New Roman" w:hAnsi="Times New Roman"/>
                <w:sz w:val="16"/>
              </w:rPr>
              <w:t xml:space="preserve"> </w:t>
            </w:r>
            <w:r>
              <w:rPr>
                <w:rFonts w:ascii="Times New Roman" w:hAnsi="Times New Roman"/>
                <w:sz w:val="20"/>
              </w:rPr>
              <w:t>Taboola is an independent Business, as defined under California Privacy Law, in regard to the Personal Data it collects from individual California Visitors. As a Business, Taboola shall honor (i) individual California Visitors’ requests to access, verify, and delete their Personal Data via Taboola’s Subject Access Request Portal (the “Portal”), available at</w:t>
            </w:r>
            <w:r>
              <w:rPr>
                <w:rFonts w:ascii="Times New Roman" w:hAnsi="Times New Roman"/>
                <w:sz w:val="20"/>
                <w:u w:val="single"/>
              </w:rPr>
              <w:t xml:space="preserve"> https://accessrequest.taboola.com</w:t>
            </w:r>
            <w:r>
              <w:rPr>
                <w:rFonts w:ascii="Times New Roman" w:hAnsi="Times New Roman"/>
                <w:sz w:val="20"/>
              </w:rPr>
              <w:t>, and (ii) individual California Visitors’ instructions to not sell their data, which may be received in one of two ways: (a) Company may implement and pass signals via the IAB CCPA Compliance Framework or some other agreed upon framework, or (b) if Company does not implement (a), then Taboola shall implement its own in-Platform California Privacy Law notice (either, the “Signal”). Upon receipt of a Signal, Taboola shall immediately stop any subsequent sales of Personal Data regarding that California Visitor. Where Taboola engages service providers, as defined under California Privacy Law, Taboola shall enter into written agreements with each such provider to limit any post-Signal uses of Personal Data to only those specific business purposes set forth by Taboola.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2" w:name="z304f1332645241d89a09285cb0094d17"/>
      <w:bookmarkStart w:id="233" w:name="z304f1332645241d89a09285cb0094d17"/>
      <w:bookmarkEnd w:id="23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10042"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Additional Representations and Warranties.</w:t>
            </w:r>
            <w:r>
              <w:rPr>
                <w:rFonts w:ascii="Times New Roman" w:hAnsi="Times New Roman"/>
                <w:color w:val="000000"/>
                <w:sz w:val="16"/>
              </w:rPr>
              <w:t xml:space="preserve"> </w:t>
            </w:r>
            <w:r>
              <w:rPr>
                <w:rFonts w:ascii="Times New Roman" w:hAnsi="Times New Roman"/>
                <w:color w:val="000000"/>
                <w:sz w:val="20"/>
              </w:rPr>
              <w:t>Each Party represents and warrants that (ii) it will comply with all applicable laws, it has obtained all rights, permissions and consents necessary under Applicable Privacy Laws to disclose, transfer or transmit any data to the other Party for use consistent with this Agreement (iii) no data or processes used hereunder by either Party to transfer or transmit such data shall infringe on or violate (a) any intellectual property rights (b) any other proprietary right or other right of any third party, including but not limited to any third party right to privacy (c) any Applicable Privacy Laws or any Self-Regulatory Principles.  Each Party represents and warrants to the other Party that it shall not make use of any Sensitive Data in the performance of its obligations under this Agreement and shall not pass any Sensitive Data to the other Party.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4" w:name="z763894e316db4dfa9c8c114f058b80b2"/>
      <w:bookmarkStart w:id="235" w:name="z763894e316db4dfa9c8c114f058b80b2"/>
      <w:bookmarkEnd w:id="23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9997"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 xml:space="preserve">Data Retention. </w:t>
            </w:r>
            <w:r>
              <w:rPr>
                <w:rFonts w:ascii="Times New Roman" w:hAnsi="Times New Roman"/>
                <w:color w:val="000000"/>
                <w:sz w:val="20"/>
              </w:rPr>
              <w:t>Taboola shall not retain Company Data for longer than the lesser of: (i) the time period during which Taboola has a legitimate need to retain such data in order to perform its obligations under this Agreement; and (ii) 13 months from the date on which such data was first collected by Taboola or provided by Company. Taboola shall provide Company with a copy of all Company Data that was transferred to Taboola and retained by Taboola (in a manner that is wholly separate from the Taboola Data and/or has not been integrated in any of Taboola’s algorithms or systems in a way that transforms the data so that it is no longer distinguishable as Company Data but has become Taboola Data) by Company promptly upon Company’s request from time to 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6" w:name="zce8a4096dc1d4a2ab21d28c6834954c4"/>
      <w:bookmarkStart w:id="237" w:name="zce8a4096dc1d4a2ab21d28c6834954c4"/>
      <w:bookmarkEnd w:id="23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9997"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Not Legal Advice.</w:t>
            </w:r>
            <w:r>
              <w:rPr>
                <w:rFonts w:ascii="Times New Roman" w:hAnsi="Times New Roman"/>
                <w:color w:val="000000"/>
                <w:sz w:val="16"/>
              </w:rPr>
              <w:t xml:space="preserve"> </w:t>
            </w:r>
            <w:r>
              <w:rPr>
                <w:rFonts w:ascii="Times New Roman" w:hAnsi="Times New Roman"/>
                <w:color w:val="000000"/>
                <w:sz w:val="20"/>
              </w:rPr>
              <w:t>During the Term, Taboola may provide recommended privacy policy or disclosure language to Company. Company acknowledges that it shall not rely on such recommended language as, or as a substitute for, legal advice and that Company itself is solely responsible for any disclosures in its privacy policy or on its website.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8" w:name="zd641b252628a47949e50ead4b5bc76df"/>
      <w:bookmarkStart w:id="239" w:name="zd641b252628a47949e50ead4b5bc76df"/>
      <w:bookmarkEnd w:id="239"/>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42"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rPr>
              <w:t>Security.</w:t>
            </w:r>
            <w:r>
              <w:rPr>
                <w:rFonts w:ascii="Times New Roman" w:hAnsi="Times New Roman"/>
                <w:sz w:val="16"/>
              </w:rPr>
              <w:t xml:space="preserve"> </w:t>
            </w:r>
            <w:r>
              <w:rPr>
                <w:rFonts w:ascii="Times New Roman" w:hAnsi="Times New Roman"/>
                <w:sz w:val="20"/>
              </w:rPr>
              <w:t>Taboola shall comply with Company’s Network Security Terms attached hereto Appendix I and to be updated from time to time with 10 days notice.  Taboola shall also not, nor authorize third parties to: (a) insert Company-unapproved code into, redirect, or otherwise “piggyback” tags onto Company-approved tags (except where approved by Company, e.g., conversion pixels);  (b) serve code in any manner that prompts a Visitor to install any type of software, such as browser-helper object, or any similar software, (c) use any security exploits or oversights in a Visitor’s browser to install any type of software, browser helper object, or any similar mechanism, (d) utilize any technology that creates any kind of persistent identification object/element that, when used, will bypass a Visitor’s browser preferences and settings or restore deleted cookies and other cached objects; or (e) use JavaScript or any other software for any other purpose not approved by Company, including: (i) materially manipulating page content, (ii) materially moving page content or moving advertising (except where directed by Company through the Platform UI), or (iii) hijacking or otherwise manipulating destination URLs.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0" w:name="z46d73274a17f418eadc440924f23533c"/>
      <w:bookmarkStart w:id="241" w:name="z46d73274a17f418eadc440924f23533c"/>
      <w:bookmarkEnd w:id="241"/>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j.</w:t>
            </w:r>
          </w:p>
        </w:tc>
        <w:tc>
          <w:tcPr>
            <w:tcW w:w="10042"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Cooperation.</w:t>
            </w:r>
            <w:r>
              <w:rPr>
                <w:rFonts w:ascii="Times New Roman" w:hAnsi="Times New Roman"/>
                <w:color w:val="000000"/>
                <w:sz w:val="16"/>
              </w:rPr>
              <w:t xml:space="preserve"> </w:t>
            </w:r>
            <w:r>
              <w:rPr>
                <w:rFonts w:ascii="Times New Roman" w:hAnsi="Times New Roman"/>
                <w:color w:val="000000"/>
                <w:sz w:val="20"/>
              </w:rPr>
              <w:t>If either Party receives any inquiry, complaint or correspondence (a “</w:t>
            </w:r>
            <w:r>
              <w:rPr>
                <w:rFonts w:ascii="Times New Roman" w:hAnsi="Times New Roman"/>
                <w:b/>
                <w:color w:val="000000"/>
                <w:sz w:val="20"/>
              </w:rPr>
              <w:t>Third Party Notice</w:t>
            </w:r>
            <w:r>
              <w:rPr>
                <w:rFonts w:ascii="Times New Roman" w:hAnsi="Times New Roman"/>
                <w:color w:val="000000"/>
                <w:sz w:val="20"/>
              </w:rPr>
              <w:t>”) from an individual, regulator, or other third party concerning the processing of Visitors’ Personal Data in connection with the Services, it shall promptly inform the other Party and the Parties shall cooperate in good faith and as reasonably necessary to address the requirements of such Third Party Notice.</w:t>
            </w:r>
          </w:p>
        </w:tc>
      </w:tr>
    </w:tbl>
    <w:p>
      <w:pPr>
        <w:pStyle w:val="TextBody"/>
        <w:bidi w:val="0"/>
        <w:spacing w:before="0" w:after="0"/>
        <w:jc w:val="left"/>
        <w:rPr>
          <w:color w:val="000000"/>
        </w:rPr>
      </w:pPr>
      <w:r>
        <w:rPr>
          <w:color w:val="000000"/>
        </w:rPr>
        <w:t> </w:t>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2" w:name="zf676b84866444e4390631aa9d6f6a180"/>
      <w:bookmarkStart w:id="243" w:name="zf676b84866444e4390631aa9d6f6a180"/>
      <w:bookmarkEnd w:id="24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k.</w:t>
            </w:r>
          </w:p>
        </w:tc>
        <w:tc>
          <w:tcPr>
            <w:tcW w:w="9997"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International Data Transfers.</w:t>
            </w:r>
            <w:r>
              <w:rPr>
                <w:rFonts w:ascii="Times New Roman" w:hAnsi="Times New Roman"/>
                <w:color w:val="000000"/>
                <w:sz w:val="16"/>
              </w:rPr>
              <w:t xml:space="preserve"> </w:t>
            </w:r>
            <w:r>
              <w:rPr>
                <w:rFonts w:ascii="Times New Roman" w:hAnsi="Times New Roman"/>
                <w:color w:val="000000"/>
                <w:sz w:val="20"/>
              </w:rPr>
              <w:t>Neither Party shall process (nor permit any third party to process) any Personal Data relating to EU Visitors in a territory that is outside of the European Economic Area unless it first implements appropriate safeguards consistent with the requirements of EU Privacy Law to enable such processing to occur lawfully outside of the European Economic Area.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4" w:name="z0d733bc25090449baaa7db88fdaa4fe7"/>
      <w:bookmarkStart w:id="245" w:name="z0d733bc25090449baaa7db88fdaa4fe7"/>
      <w:bookmarkEnd w:id="245"/>
    </w:p>
    <w:tbl>
      <w:tblPr>
        <w:tblW w:w="3610" w:type="dxa"/>
        <w:jc w:val="left"/>
        <w:tblInd w:w="0" w:type="dxa"/>
        <w:tblLayout w:type="fixed"/>
        <w:tblCellMar>
          <w:top w:w="0" w:type="dxa"/>
          <w:left w:w="0" w:type="dxa"/>
          <w:bottom w:w="0" w:type="dxa"/>
          <w:right w:w="0" w:type="dxa"/>
        </w:tblCellMar>
      </w:tblPr>
      <w:tblGrid>
        <w:gridCol w:w="185"/>
        <w:gridCol w:w="3425"/>
      </w:tblGrid>
      <w:tr>
        <w:trPr/>
        <w:tc>
          <w:tcPr>
            <w:tcW w:w="1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8.</w:t>
            </w:r>
          </w:p>
        </w:tc>
        <w:tc>
          <w:tcPr>
            <w:tcW w:w="3425"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u w:val="single"/>
              </w:rPr>
              <w:t>Audit Rights and Reporting Obligations</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6" w:name="zc8add6cd2bf64915b77176a474c78e19"/>
      <w:bookmarkStart w:id="247" w:name="zc8add6cd2bf64915b77176a474c78e19"/>
      <w:bookmarkEnd w:id="247"/>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 xml:space="preserve">Reporting.  </w:t>
            </w:r>
            <w:r>
              <w:rPr>
                <w:rFonts w:ascii="Times New Roman" w:hAnsi="Times New Roman"/>
                <w:color w:val="000000"/>
                <w:sz w:val="20"/>
              </w:rPr>
              <w:t>Taboola shall deliver reporting in the Analytics Dashboard via a data feed to Company that will be accessible in a manner to be agreed upon the Parties (e.g., API) and updated daily.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8" w:name="z86055417c3bc4bf1bf8af9e90039d7c9"/>
      <w:bookmarkStart w:id="249" w:name="z86055417c3bc4bf1bf8af9e90039d7c9"/>
      <w:bookmarkEnd w:id="249"/>
    </w:p>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1400"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rPr>
              <w:t>Financial Audit</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0" w:name="zf7f5ed26aad64b95a03f5d5f5ed59fd5"/>
      <w:bookmarkStart w:id="251" w:name="zf7f5ed26aad64b95a03f5d5f5ed59fd5"/>
      <w:bookmarkEnd w:id="251"/>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2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Taboola shall maintain, all books, documents, records, sales data, impression counts, papers, or other materials related to this Agreement (the “</w:t>
            </w:r>
            <w:r>
              <w:rPr>
                <w:rFonts w:ascii="Times New Roman" w:hAnsi="Times New Roman"/>
                <w:b/>
                <w:sz w:val="20"/>
              </w:rPr>
              <w:t>Relevant Records</w:t>
            </w:r>
            <w:r>
              <w:rPr>
                <w:rFonts w:ascii="Times New Roman" w:hAnsi="Times New Roman"/>
                <w:sz w:val="20"/>
              </w:rPr>
              <w:t>”).  During the Term [***] (or a longer period if required by applicable law) after the expiration or termination of this Agreement, Company shall have the right to audit Relevant Records using an independent third-party auditor that has entered into a confidentiality agreement that is no less restrictive as the confidentiality terms herein.  Taboola shall establish and maintain a reasonable accounting system that enables Company and its audit-related agents to identify revenues, expenses, expenditures, costs of goods, margins, discounts, rebates or other payments received and use of funds related to this Agreement.  The audit period shall cover no more than the completed quarters of the current period and prior year (“</w:t>
            </w:r>
            <w:r>
              <w:rPr>
                <w:rFonts w:ascii="Times New Roman" w:hAnsi="Times New Roman"/>
                <w:b/>
                <w:sz w:val="20"/>
              </w:rPr>
              <w:t>Audit Term</w:t>
            </w:r>
            <w:r>
              <w:rPr>
                <w:rFonts w:ascii="Times New Roman" w:hAnsi="Times New Roman"/>
                <w:sz w:val="20"/>
              </w:rPr>
              <w:t>”), provided however, Company can expand the scope of an audit beyond the Audit Term if: (1) Company has a reasonable belief that there are errors in payments made by Taboola beyond the Audit Term; or (2)  Company has a reasonable belief based on the discovery of facts or actions that material errors were made in payments beyond the Audit Term.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2" w:name="za33485daeffa4cf980d466039d4c735d"/>
      <w:bookmarkStart w:id="253" w:name="za33485daeffa4cf980d466039d4c735d"/>
      <w:bookmarkEnd w:id="253"/>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shall provide Taboola with at least forty-five (45) days’ prior written notice of Company’s intent to exercise its rights under this subparagraph 8(b)(ii) Taboola shall ensure that the Relevant Records and, if requested, relevant employees, will be made available to Company’s auditor or its audit-related agents during normal business hours at Taboola’s office or place of business.  If no such location is available, then Taboola will ensure that the Relevant Records, and if requested, relevant employees, will be made available at a time and location that Company will determine.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4" w:name="z1ac80de30ad14223a6e19be73f42017e"/>
      <w:bookmarkStart w:id="255" w:name="z1ac80de30ad14223a6e19be73f42017e"/>
      <w:bookmarkEnd w:id="255"/>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988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shall provide Taboola with a summary and/or report of such audit.  If any audit reveals an underpayment to Company, Taboola shall promptly pay Company the shortfall. If any shortfall is more than [***] of the amount properly due to Company, then Taboola shall also promptly pay Company all reasonable costs associated with such audit.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6" w:name="z3c546f9a67c141b587b7874adbab6a95"/>
      <w:bookmarkStart w:id="257" w:name="z3c546f9a67c141b587b7874adbab6a95"/>
      <w:bookmarkEnd w:id="257"/>
    </w:p>
    <w:tbl>
      <w:tblPr>
        <w:tblW w:w="3010" w:type="dxa"/>
        <w:jc w:val="left"/>
        <w:tblInd w:w="0" w:type="dxa"/>
        <w:tblLayout w:type="fixed"/>
        <w:tblCellMar>
          <w:top w:w="0" w:type="dxa"/>
          <w:left w:w="0" w:type="dxa"/>
          <w:bottom w:w="0" w:type="dxa"/>
          <w:right w:w="0" w:type="dxa"/>
        </w:tblCellMar>
      </w:tblPr>
      <w:tblGrid>
        <w:gridCol w:w="185"/>
        <w:gridCol w:w="282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282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u w:val="single"/>
              </w:rPr>
              <w:t>Representations and Warranties</w:t>
            </w:r>
            <w:r>
              <w:rPr>
                <w:rFonts w:ascii="Times New Roman" w:hAnsi="Times New Roman"/>
                <w:b/>
                <w:color w:val="000000"/>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8" w:name="z22f759bc05a3471b81b0f9ff87c537c2"/>
      <w:bookmarkStart w:id="259" w:name="z22f759bc05a3471b81b0f9ff87c537c2"/>
      <w:bookmarkEnd w:id="25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sz w:val="16"/>
              </w:rPr>
            </w:pPr>
            <w:r>
              <w:rPr>
                <w:rFonts w:ascii="Times New Roman" w:hAnsi="Times New Roman"/>
                <w:b/>
                <w:sz w:val="20"/>
              </w:rPr>
              <w:t>Company Representations.</w:t>
            </w:r>
            <w:r>
              <w:rPr>
                <w:rFonts w:ascii="Times New Roman" w:hAnsi="Times New Roman"/>
                <w:sz w:val="16"/>
              </w:rPr>
              <w:t xml:space="preserve"> </w:t>
            </w:r>
            <w:r>
              <w:rPr>
                <w:rFonts w:ascii="Times New Roman" w:hAnsi="Times New Roman"/>
                <w:sz w:val="20"/>
              </w:rPr>
              <w:t>Company represents and warrants that (i) it either owns and operates the Properties or otherwise has the full right and authority to grant the rights granted hereunder; (ii) the Company Content is either owned by Company or properly licensed; (iii) the Properties, the Company Content (excluding Native Advertisements from Company Advertisers and Company Licensed Content), and Taboola’s use of the Properties or the Company Content (excluding Native Advertisements from Company Advertisers and Company Licensed Content) in accordance with this Agreement will not infringe upon the intellectual property rights of any third party; (iv) as it relates to the Company Licensed Content, it has the full right and authority to grant the rights granted herein and such grant does not violate the terms of any agreements it has with any third party; (v) Company’s Native Advertisement inventory on the Properties will be included in the Placements and the documentation containing Company’s Placements as presented to Taboola in the “Native Format Screenshot” and “[***]” files provided by Company represent the Native Advertising inventory on the Properties and are true and correct as of the Effective Date, (vi) it is not subject to nor owned or controlled by any person that is subject to sanctions or export control restrictions imposed pursuant to the laws of the United States, Israel, or any other jurisdiction whose laws are applicable to the performance of this Agreement; (vii) it will comply with all applicable laws, including but not limited to all Applicable Privacy Laws,  and regulations in its performance of this Agreement, including with respect to the use of the Services, and including but not limited to economic sanctions and export control laws and regulations of the United States, Israel, and, as applicable, other jurisdictions; and (viii) it will not take any action that could result in economic sanctions or other trade control restrictions or penalties being imposed on Taboola. Company shall ensure that each of its mobile applications included as Properties complies with any applicable Apple/iOS and Android rules, guidelines, or requirements and any agreements into which Company has entered with such platform entities. Company shall further ensure that any signal or flag indicating that an end user has opted its mobile ad identifier out of cross-app or interest-based advertising (e.g., an “LMT=1” signal) is communicated to Taboola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0" w:name="z20304009eae3432096251bb75c07f4b0"/>
      <w:bookmarkStart w:id="261" w:name="z20304009eae3432096251bb75c07f4b0"/>
      <w:bookmarkEnd w:id="261"/>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Taboola Representations and Disclaimers.</w:t>
            </w:r>
            <w:r>
              <w:rPr>
                <w:rFonts w:ascii="Times New Roman" w:hAnsi="Times New Roman"/>
                <w:color w:val="000000"/>
                <w:sz w:val="16"/>
              </w:rPr>
              <w:t xml:space="preserve"> </w:t>
            </w:r>
            <w:r>
              <w:rPr>
                <w:rFonts w:ascii="Times New Roman" w:hAnsi="Times New Roman"/>
                <w:color w:val="000000"/>
                <w:sz w:val="20"/>
              </w:rPr>
              <w:t>Taboola represents and warrants that (i) has the full right and authority to grant the rights granted hereunder, (ii) it is not subject to nor owned or controlled by any person that is subject to sanctions or export control restrictions imposed pursuant to the laws of the United States, Israel, or any other jurisdiction whose laws are applicable to the performance of this Agreement; (iii) it will comply with all applicable laws and regulations in its performance of this Agreement, including but not limited to all Applicable Privacy Laws, economic sanctions and export control laws and regulations of the United States, Israel, and, as applicable, other jurisdictions; (iv) it will not take any action that could result in economic sanctions or other trade control restrictions or penalties being imposed on Company; and (v) the Services (excluding the Recommendations), SDK (if applicable), Analytics Dashboard, Platform (and related technologies), Taboola Ads, and Company’s use of any of the foregoing will not infringe the intellectual property rights of any third party; (v) the Services, SDK, Taboola Sponsored Content, Analytics Dashboard, Widgets, Content Cards, Feeds, Platform (and related technologies), and Taboola Ads are free of any viruses, Trojan horses, trap doors, back doors, Easter eggs, worms, time bombs, cancelbots or other computer programming routines that may potentially damage, interfere with, intercept, disable, deactivate or expropriate any information. EXCEPT AS PROVIDED HEREIN, TABOOLA PROVIDES THE SERVICES “AS IS.”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2" w:name="z2358fdf7813841f792b6b7cccbc6526d"/>
      <w:bookmarkStart w:id="263" w:name="z2358fdf7813841f792b6b7cccbc6526d"/>
      <w:bookmarkEnd w:id="26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DISCLAIMER OF WARRANTIES</w:t>
            </w:r>
            <w:r>
              <w:rPr>
                <w:rFonts w:ascii="Times New Roman" w:hAnsi="Times New Roman"/>
                <w:color w:val="000000"/>
                <w:sz w:val="20"/>
              </w:rPr>
              <w:t>.  EXCEPT AS PROVIDED HEREIN, EACH PARTY EXPRESSLY DISCLAIMS, TO THE FULLEST EXTENT PERMITTED BY LAW, ALL OTHER REPRESENTATIONS AND WARRANTIES, WHETHER EXPRESS, IMPLIED, OR STATUTORY, INCLUDING THE IMPLIED WARRANTIES OF TITLE, MERCHANTABILITY AND FITNESS FOR A PARTICULAR PURPOSE. ALL BETA FEATURES PROVIDED BY TABOOLA ARE PROVIDED ON AN “AS IS” BASIS, WITHOUT ANY REPRESENTATIONS, WARRANTIES, COVENANTS, OR OBLIGATIONS OF ANY KIND. ANY USE BY COMPANY OF BETA FEATURES IS SOLELY AT COMPANY’S OWN RISK.</w:t>
            </w:r>
          </w:p>
        </w:tc>
      </w:tr>
    </w:tbl>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64" w:name="z2a7bbdb3ebf74126a34e62661b517339"/>
      <w:bookmarkStart w:id="265" w:name="z2a7bbdb3ebf74126a34e62661b517339"/>
      <w:bookmarkEnd w:id="265"/>
    </w:p>
    <w:tbl>
      <w:tblPr>
        <w:tblW w:w="1735" w:type="dxa"/>
        <w:jc w:val="left"/>
        <w:tblInd w:w="0" w:type="dxa"/>
        <w:tblLayout w:type="fixed"/>
        <w:tblCellMar>
          <w:top w:w="0" w:type="dxa"/>
          <w:left w:w="0" w:type="dxa"/>
          <w:bottom w:w="0" w:type="dxa"/>
          <w:right w:w="0" w:type="dxa"/>
        </w:tblCellMar>
      </w:tblPr>
      <w:tblGrid>
        <w:gridCol w:w="290"/>
        <w:gridCol w:w="1445"/>
      </w:tblGrid>
      <w:tr>
        <w:trPr/>
        <w:tc>
          <w:tcPr>
            <w:tcW w:w="2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10.</w:t>
            </w:r>
          </w:p>
        </w:tc>
        <w:tc>
          <w:tcPr>
            <w:tcW w:w="14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Indemnification</w:t>
            </w:r>
            <w:r>
              <w:rPr>
                <w:rFonts w:ascii="Times New Roman" w:hAnsi="Times New Roman"/>
                <w:b/>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6" w:name="z3bed25d1d4874c1683ff6e44c33c4c28"/>
      <w:bookmarkStart w:id="267" w:name="z3bed25d1d4874c1683ff6e44c33c4c28"/>
      <w:bookmarkEnd w:id="267"/>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Taboola shall indemnify, defend, and hold harmless Company and its parent, subsidiaries, and Affiliates, and its and their representatives, officers, directors, agents, and employees, from and against any and all third-party claims, damages, fines, penalties, awards, judgments, and liabilities (including reasonable outside attorneys’ fees and costs) (collectively, the “</w:t>
            </w:r>
            <w:r>
              <w:rPr>
                <w:rFonts w:ascii="Times New Roman" w:hAnsi="Times New Roman"/>
                <w:b/>
                <w:sz w:val="20"/>
              </w:rPr>
              <w:t>Losses</w:t>
            </w:r>
            <w:r>
              <w:rPr>
                <w:rFonts w:ascii="Times New Roman" w:hAnsi="Times New Roman"/>
                <w:sz w:val="20"/>
              </w:rPr>
              <w:t>”) resulting from, arising out of, or related to: (i) Taboola’s breach or alleged breach of any of Taboola’s representations, warranties or obligations set forth herein; or (ii) a claim that the Platform (and related technologies), SDK, Taboola Sponsored Content, Services (excluding Company Content), Platform, Analytics Dashboard, Taboola Ads, violates a third party patent, trademark, trade secret, copyright, or privacy right, except to the extent that such claim arises solely due to the combination of the Platform with the Company Content or a Property (where, but for such combination, such claim would not have arisen). If the Platform or Services are held in a suit or proceeding to infringe any intellectual property rights of a third party, and the use of such Platform or Services is enjoined, or Taboola reasonably believes that it is likely to be found to infringe or likely to be enjoined, then Taboola may, at its sole cost, expense, and option either (a) procure the right to continue using such Platform or Services, or (b) modify such Platform or Services so that it becomes non-infringing without affecting the basic functionality of such Platform or Services.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8" w:name="z59fa54c6a45f4e14931936f4a3813935"/>
      <w:bookmarkStart w:id="269" w:name="z59fa54c6a45f4e14931936f4a3813935"/>
      <w:bookmarkEnd w:id="26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 shall indemnify, defend, and hold harmless Taboola and its parent, subsidiaries, and Affiliates, and its and their representatives, officers, directors, agents, and employees, from and against all Losses resulting from, arising out of, or related to (i) Company’s breach or alleged breach of any of Company’s representations, warranties, or obligations herein; (ii) a claim that the Properties or the Company Content violates a third-party trademark, trade secret, copyright, patent, or privacy right; or (iii) a claim that Company did not comply with its Privacy Policy or any claim arising from Company Data (not as a result of Taboola’s misuse of Company Data or Taboola’s breach of obligations imposed on Taboola with respect to use of Company Data) or Taboola’s use of the Company Data for the purposes as contemplated herein.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0" w:name="z93008d0704d54f32b3c7a297215409e5"/>
      <w:bookmarkStart w:id="271" w:name="z93008d0704d54f32b3c7a297215409e5"/>
      <w:bookmarkEnd w:id="271"/>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Parties agree that in claiming any indemnification hereunder, the Party claiming indemnification (the “</w:t>
            </w:r>
            <w:r>
              <w:rPr>
                <w:rFonts w:ascii="Times New Roman" w:hAnsi="Times New Roman"/>
                <w:b/>
                <w:sz w:val="20"/>
              </w:rPr>
              <w:t>Claimant</w:t>
            </w:r>
            <w:r>
              <w:rPr>
                <w:rFonts w:ascii="Times New Roman" w:hAnsi="Times New Roman"/>
                <w:sz w:val="20"/>
              </w:rPr>
              <w:t>”) shall (i) promptly notify the other Party in writing of the claim; (ii) grant the indemnifying Party sole control of the defense (except that the Claimant may, at its own expense, assist in the defense); and (iii) provide the indemnifying Party, at the indemnifying Party’s expense, with all assistance, information, and authority reasonably required for the defense of the claim. In no event shall the indemnifying Party enter into any settlement or agree to any disposition of the indemnified claim(s) without the prior written consent of the Claimant.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2" w:name="z6c6c8f5b86f44492b85588daa85f2ce4"/>
      <w:bookmarkStart w:id="273" w:name="z6c6c8f5b86f44492b85588daa85f2ce4"/>
      <w:bookmarkEnd w:id="273"/>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201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u w:val="single"/>
              </w:rPr>
              <w:t>Limitation of Liability</w:t>
            </w:r>
            <w:r>
              <w:rPr>
                <w:rFonts w:ascii="Times New Roman" w:hAnsi="Times New Roman"/>
                <w:b/>
                <w:color w:val="000000"/>
                <w:sz w:val="20"/>
              </w:rPr>
              <w:t>:</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16"/>
        </w:rPr>
      </w:pPr>
      <w:r>
        <w:rPr>
          <w:rFonts w:ascii="Times New Roman" w:hAnsi="Times New Roman"/>
          <w:b/>
          <w:color w:val="000000"/>
          <w:sz w:val="20"/>
        </w:rPr>
        <w:t>LIMITATION ON LIABILITY</w:t>
      </w:r>
      <w:r>
        <w:rPr>
          <w:rFonts w:ascii="Times New Roman" w:hAnsi="Times New Roman"/>
          <w:color w:val="000000"/>
          <w:sz w:val="20"/>
        </w:rPr>
        <w:t>.  EXCEPT FOR ANY LIABILITY ARISING UNDER [***], AND A PARTY’S WILLFUL MISCONDUCT AND GROSS NEGLIGENCE (both as capped below), TO THE EXTENT PERMITTED BY APPLICABLE LAW, THE AGGREGATE LIABILITY OF EITHER PARTY ARISING UNDER THIS AGREEMENT SHALL IN NO EVENT EXCEED [***].</w:t>
      </w:r>
    </w:p>
    <w:p>
      <w:pPr>
        <w:pStyle w:val="Normal"/>
        <w:bidi w:val="0"/>
        <w:spacing w:before="0" w:after="0"/>
        <w:jc w:val="left"/>
        <w:rPr>
          <w:sz w:val="4"/>
          <w:szCs w:val="4"/>
        </w:rPr>
      </w:pPr>
      <w:r>
        <w:rPr>
          <w:sz w:val="4"/>
          <w:szCs w:val="4"/>
        </w:rPr>
      </w:r>
      <w:bookmarkStart w:id="274" w:name="z5c4aaedd8f7d46849e44eb0c6af79bd1"/>
      <w:bookmarkStart w:id="275" w:name="z5c4aaedd8f7d46849e44eb0c6af79bd1"/>
      <w:bookmarkEnd w:id="275"/>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47"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b/>
                <w:color w:val="000000"/>
                <w:sz w:val="20"/>
              </w:rPr>
              <w:t>EXCLUSION OF CERTAIN DAMAGES</w:t>
            </w:r>
            <w:r>
              <w:rPr>
                <w:rFonts w:ascii="Times New Roman" w:hAnsi="Times New Roman"/>
                <w:color w:val="000000"/>
                <w:sz w:val="20"/>
              </w:rPr>
              <w:t>.  IN NO EVENT SHALL A PARTY BE LIABLE TO THE OTHER PARTY FOR ANY INDIRECT, INCIDENTAL, CONSEQUENTIAL, SPECIAL, PUNITIVE, OR EXEMPLARY DAMAGES, INCLUDING BUT NOT LIMITED TO, LOSS OF PROFITS OR LOSS OF BUSINESS OPPORTUNITY, EVEN IF SUCH DAMAGES ARE FORESEEABLE AND WHETHER OR NOT EITHER PARTY HAS BEEN ADVISED OF THE POSSIBILITY THEREOF.</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b/>
          <w:color w:val="000000"/>
          <w:sz w:val="20"/>
          <w:u w:val="single"/>
        </w:rPr>
        <w:t>Confidentiality</w:t>
      </w:r>
      <w:r>
        <w:rPr>
          <w:rFonts w:ascii="Times New Roman" w:hAnsi="Times New Roman"/>
          <w:b/>
          <w:color w:val="000000"/>
          <w:sz w:val="20"/>
        </w:rPr>
        <w:t>:</w:t>
      </w:r>
      <w:r>
        <w:rPr>
          <w:rFonts w:ascii="Times New Roman" w:hAnsi="Times New Roman"/>
          <w:color w:val="000000"/>
          <w:sz w:val="20"/>
        </w:rPr>
        <w:t xml:space="preserve"> During the Term, either Party may receive (the “</w:t>
      </w:r>
      <w:r>
        <w:rPr>
          <w:rFonts w:ascii="Times New Roman" w:hAnsi="Times New Roman"/>
          <w:b/>
          <w:color w:val="000000"/>
          <w:sz w:val="20"/>
        </w:rPr>
        <w:t>Receiving Party</w:t>
      </w:r>
      <w:r>
        <w:rPr>
          <w:rFonts w:ascii="Times New Roman" w:hAnsi="Times New Roman"/>
          <w:color w:val="000000"/>
          <w:sz w:val="20"/>
        </w:rPr>
        <w:t>”) certain information and materials concerning the other Party’s business, technology, customers, and products that are confidential and of substantial value to the other Party (the “</w:t>
      </w:r>
      <w:r>
        <w:rPr>
          <w:rFonts w:ascii="Times New Roman" w:hAnsi="Times New Roman"/>
          <w:b/>
          <w:color w:val="000000"/>
          <w:sz w:val="20"/>
        </w:rPr>
        <w:t>Disclosing Party</w:t>
      </w:r>
      <w:r>
        <w:rPr>
          <w:rFonts w:ascii="Times New Roman" w:hAnsi="Times New Roman"/>
          <w:color w:val="000000"/>
          <w:sz w:val="20"/>
        </w:rPr>
        <w:t>”). The Receiving Party will not use or disclose to any third party the Disclosing Party’s Confidential Information (as defined below) except as necessary for the performance of this Agreement or for enforcement of its terms in the event of a breach; the Receiving Party may make such disclosure only to those individuals who are bound by confidentiality obligations at least as restrictive as those set forth herein (provided that the Receiving Party hereby agrees that it shall be responsible for any violation of the terms of this Agreement by such third parties). The Receiving Party will protect and preserve the Confidential Information as confidential, using no less care than it protects and preserves its own confidential and proprietary information (but in no event less than a reasonable degree of care), and shall not use the Confidential Information for any purpose except as necessary to carry out its obligations under this Agreement. The foregoing obligations will not restrict the Receiving Party from disclosing Confidential Information of the Disclosing Party (a) pursuant to a court order from a court of competent jurisdiction, an administrative agency, or other governmental body, provided that the Receiving Party, to the extent permitted by law, gives reasonable prior written notice to the Disclosing Party so that it may contest such order and, in the event that disclosure is required, only discloses the portion of Confidential Information that its legal counsel advises is legally required; (b) pursuant to a regulatory investigation or enforcement or in response to any governmental agency request; or (c) to any existing or potential investors, acquirers and financiers as part of a due diligence process. The foregoing shall also not restrict Taboola from disclosing Company’s contact information in response to any claim that the Properties or the Company Content infringes upon, violates, or misappropriates any third-party Intellectual Property Rights. The “Confidential Information” consists of (a) Taboola Data, any technical information or plans concerning the Services, the Platform, or any software or other technology of Taboola or the Properties; (b) Company Data, any financial information of the Company; (c) other information disclosed by the Disclosing Party to the Receiving Party that is marked as confidential or should reasonably be assumed to be confidential under the circumstances; and (d) the content of this Agreement. Confidential Information does not include information that: (i) is or becomes generally known to the public through no fault of or breach of the Receiving Party; (ii) is rightfully known by the Receiving Party at the time of disclosure without an obligation of confidentiality; (iii) is independently developed by the Receiving Party without use of the Disclosing Party’s Confidential Information; or (iv) is rightfully obtained by the Receiving Party from a third party that has no duty of Confidentiality to the Disclosing Party.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13.    </w:t>
      </w:r>
      <w:r>
        <w:rPr>
          <w:rFonts w:ascii="Times New Roman" w:hAnsi="Times New Roman"/>
          <w:b/>
          <w:color w:val="000000"/>
          <w:sz w:val="20"/>
          <w:u w:val="single"/>
        </w:rPr>
        <w:t>Applicable Law and Jurisdiction</w:t>
      </w:r>
      <w:r>
        <w:rPr>
          <w:rFonts w:ascii="Times New Roman" w:hAnsi="Times New Roman"/>
          <w:b/>
          <w:color w:val="000000"/>
          <w:sz w:val="20"/>
        </w:rPr>
        <w:t>:</w:t>
      </w:r>
      <w:r>
        <w:rPr>
          <w:rFonts w:ascii="Times New Roman" w:hAnsi="Times New Roman"/>
          <w:color w:val="000000"/>
          <w:sz w:val="20"/>
        </w:rPr>
        <w:t xml:space="preserve"> This Agreement will be governed by and construed in accordance with the laws of the State of New York excluding its conflicts of law principles. Any legal action or proceeding arising under this Agreement will be brought exclusively in the federal or state courts located in the County of New York, New York and the Parties hereby irrevocably consent to personal jurisdiction and venue therein. If either Party commences litigation to enforce any provision of this Agreement, the prevailing Party shall be entitled to recover its reasonable legal fees, costs, and expenses of litigation.</w:t>
      </w:r>
    </w:p>
    <w:p>
      <w:pPr>
        <w:pStyle w:val="TextBody"/>
        <w:bidi w:val="0"/>
        <w:spacing w:before="0" w:after="0"/>
        <w:jc w:val="left"/>
        <w:rPr>
          <w:color w:val="000000"/>
        </w:rPr>
      </w:pPr>
      <w:r>
        <w:rPr>
          <w:color w:val="000000"/>
        </w:rPr>
        <w:t> </w:t>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17</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14.          </w:t>
      </w:r>
      <w:r>
        <w:rPr>
          <w:rFonts w:ascii="Times New Roman" w:hAnsi="Times New Roman"/>
          <w:b/>
          <w:color w:val="000000"/>
          <w:sz w:val="20"/>
          <w:u w:val="single"/>
        </w:rPr>
        <w:t>Negotiation/Mediation/Arbitration</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6" w:name="ze315621fb4c24d8c8256cee89bdc1587"/>
      <w:bookmarkStart w:id="277" w:name="ze315621fb4c24d8c8256cee89bdc1587"/>
      <w:bookmarkEnd w:id="277"/>
    </w:p>
    <w:tbl>
      <w:tblPr>
        <w:tblW w:w="1128" w:type="dxa"/>
        <w:jc w:val="left"/>
        <w:tblInd w:w="0" w:type="dxa"/>
        <w:tblLayout w:type="fixed"/>
        <w:tblCellMar>
          <w:top w:w="0" w:type="dxa"/>
          <w:left w:w="0" w:type="dxa"/>
          <w:bottom w:w="0" w:type="dxa"/>
          <w:right w:w="0" w:type="dxa"/>
        </w:tblCellMar>
      </w:tblPr>
      <w:tblGrid>
        <w:gridCol w:w="38"/>
        <w:gridCol w:w="170"/>
        <w:gridCol w:w="9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78" w:name="za9e726f0ab2e4835b9f3c6266dea2b96"/>
      <w:bookmarkStart w:id="279" w:name="za9e726f0ab2e4835b9f3c6266dea2b96"/>
      <w:bookmarkEnd w:id="279"/>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0" w:name="zc9bf60289d094e9a9b711877a9c5305d"/>
      <w:bookmarkStart w:id="281" w:name="zc9bf60289d094e9a9b711877a9c5305d"/>
      <w:bookmarkEnd w:id="281"/>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2" w:name="z6bab0e861e4e4351afc7bd9b13c0fdf1"/>
      <w:bookmarkStart w:id="283" w:name="z6bab0e861e4e4351afc7bd9b13c0fdf1"/>
      <w:bookmarkEnd w:id="283"/>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4" w:name="z135a50786bb747639b77d90b28e262a3"/>
      <w:bookmarkStart w:id="285" w:name="z135a50786bb747639b77d90b28e262a3"/>
      <w:bookmarkEnd w:id="285"/>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6" w:name="zf6077595753849c8b39d6eb9543ff864"/>
      <w:bookmarkStart w:id="287" w:name="zf6077595753849c8b39d6eb9543ff864"/>
      <w:bookmarkEnd w:id="287"/>
    </w:p>
    <w:tbl>
      <w:tblPr>
        <w:tblW w:w="903" w:type="dxa"/>
        <w:jc w:val="left"/>
        <w:tblInd w:w="0" w:type="dxa"/>
        <w:tblLayout w:type="fixed"/>
        <w:tblCellMar>
          <w:top w:w="0" w:type="dxa"/>
          <w:left w:w="0" w:type="dxa"/>
          <w:bottom w:w="0" w:type="dxa"/>
          <w:right w:w="0" w:type="dxa"/>
        </w:tblCellMar>
      </w:tblPr>
      <w:tblGrid>
        <w:gridCol w:w="38"/>
        <w:gridCol w:w="170"/>
        <w:gridCol w:w="6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6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8" w:name="z9e4a5f1b5f074edf9fe73143d3cf52b5"/>
      <w:bookmarkStart w:id="289" w:name="z9e4a5f1b5f074edf9fe73143d3cf52b5"/>
      <w:bookmarkEnd w:id="289"/>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90" w:name="z22dd38e46a3447a890371d0ba83ce1db"/>
      <w:bookmarkStart w:id="291" w:name="z22dd38e46a3447a890371d0ba83ce1db"/>
      <w:bookmarkEnd w:id="291"/>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92" w:name="zaefddcc1c08846ae862cc400eb9db156"/>
      <w:bookmarkStart w:id="293" w:name="zaefddcc1c08846ae862cc400eb9db156"/>
      <w:bookmarkEnd w:id="293"/>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94" w:name="z1d66e775f43e4de7bb5c1e8f4e0fa3dd"/>
      <w:bookmarkStart w:id="295" w:name="z1d66e775f43e4de7bb5c1e8f4e0fa3dd"/>
      <w:bookmarkEnd w:id="295"/>
    </w:p>
    <w:tbl>
      <w:tblPr>
        <w:tblW w:w="783" w:type="dxa"/>
        <w:jc w:val="left"/>
        <w:tblInd w:w="0" w:type="dxa"/>
        <w:tblLayout w:type="fixed"/>
        <w:tblCellMar>
          <w:top w:w="0" w:type="dxa"/>
          <w:left w:w="0" w:type="dxa"/>
          <w:bottom w:w="0" w:type="dxa"/>
          <w:right w:w="0" w:type="dxa"/>
        </w:tblCellMar>
      </w:tblPr>
      <w:tblGrid>
        <w:gridCol w:w="38"/>
        <w:gridCol w:w="275"/>
        <w:gridCol w:w="47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96" w:name="zec8dd9bab9204a16be46fc1d59adf807"/>
      <w:bookmarkStart w:id="297" w:name="zec8dd9bab9204a16be46fc1d59adf807"/>
      <w:bookmarkEnd w:id="297"/>
    </w:p>
    <w:tbl>
      <w:tblPr>
        <w:tblW w:w="783" w:type="dxa"/>
        <w:jc w:val="left"/>
        <w:tblInd w:w="0" w:type="dxa"/>
        <w:tblLayout w:type="fixed"/>
        <w:tblCellMar>
          <w:top w:w="0" w:type="dxa"/>
          <w:left w:w="0" w:type="dxa"/>
          <w:bottom w:w="0" w:type="dxa"/>
          <w:right w:w="0" w:type="dxa"/>
        </w:tblCellMar>
      </w:tblPr>
      <w:tblGrid>
        <w:gridCol w:w="38"/>
        <w:gridCol w:w="275"/>
        <w:gridCol w:w="47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15.   </w:t>
      </w:r>
      <w:r>
        <w:rPr>
          <w:rFonts w:ascii="Times New Roman" w:hAnsi="Times New Roman"/>
          <w:b/>
          <w:color w:val="000000"/>
          <w:sz w:val="20"/>
          <w:u w:val="single"/>
        </w:rPr>
        <w:t>Assignment</w:t>
      </w:r>
      <w:r>
        <w:rPr>
          <w:rFonts w:ascii="Times New Roman" w:hAnsi="Times New Roman"/>
          <w:b/>
          <w:color w:val="000000"/>
          <w:sz w:val="20"/>
        </w:rPr>
        <w:t>:</w:t>
      </w:r>
      <w:r>
        <w:rPr>
          <w:rFonts w:ascii="Times New Roman" w:hAnsi="Times New Roman"/>
          <w:color w:val="000000"/>
          <w:sz w:val="20"/>
        </w:rPr>
        <w:t xml:space="preserve"> The rights and obligations of each Party hereunder shall inure to the benefit of the respective successors and assigns of the Parties hereto, provided that, except as expressly provided herein, this Agreement and any rights or obligations hereunder shall not be assigned or delegated without the prior written consent of the other Party, except that, either Party, may assign this Agreement to an Affiliate, without the other Party’s prior written consent, as long as such Affiliate agrees to be fully bound by the terms and conditions set forth in this Agreement. In addition, notwithstanding the foregoing, Company may assign this Agreement without Taboola’s consent to a party that acquires all or substantially all of the outstanding capital stock of Company or a third party that purchases all or substantially all of the assets of Company.  Taboola may assign this Agreement without Company’s consent to a party that acquires all or substantially all of the outstanding capital stock of Taboola or a third party that purchases all or substantially all of the assets of Taboola. Notwithstanding the foregoing, Taboola shall not assign this Agreement to [***], without Company’s prior written consent.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16.    </w:t>
      </w:r>
      <w:r>
        <w:rPr>
          <w:rFonts w:ascii="Times New Roman" w:hAnsi="Times New Roman"/>
          <w:b/>
          <w:color w:val="000000"/>
          <w:sz w:val="20"/>
          <w:u w:val="single"/>
        </w:rPr>
        <w:t>Taboola’s Provision of Services</w:t>
      </w:r>
      <w:r>
        <w:rPr>
          <w:rFonts w:ascii="Times New Roman" w:hAnsi="Times New Roman"/>
          <w:color w:val="000000"/>
          <w:sz w:val="20"/>
        </w:rPr>
        <w:t>: Company acknowledges that as between the Parties, Taboola’s parent company, Taboola.com Ltd., owns all intellectual property rights in and to the Platform and the Services, and that Taboola is just an authorized reseller and distributor of the Platform and the Services. Accordingly, Company understands and agrees that Taboola.com Ltd. will provide the Platform to Taboola for purposes of licensing and distribution by Taboola in the provision of its Services, and will perform certain other backend services on behalf of Taboola. Company hereby consents to Taboola’s delegation of the performance of some of the Services hereunder to Taboola.com Ltd., subject to Taboola remaining liable for the complete and correct discharge of all its responsibilities hereunder.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17.    </w:t>
      </w:r>
      <w:r>
        <w:rPr>
          <w:rFonts w:ascii="Times New Roman" w:hAnsi="Times New Roman"/>
          <w:b/>
          <w:color w:val="000000"/>
          <w:sz w:val="20"/>
          <w:u w:val="single"/>
        </w:rPr>
        <w:t>Publicity and Marks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rPr>
        <w:t>Press Release</w:t>
      </w:r>
      <w:r>
        <w:rPr>
          <w:rFonts w:ascii="Times New Roman" w:hAnsi="Times New Roman"/>
          <w:color w:val="000000"/>
          <w:sz w:val="20"/>
        </w:rPr>
        <w:t>.  Neither Party shall issue a press release or make any other announcement regarding the relationship of the Parties under this Agreement without the other Party’s prior written consent, which shall not be unreasonably withheld or delayed.</w:t>
      </w:r>
    </w:p>
    <w:p>
      <w:pPr>
        <w:pStyle w:val="TextBody"/>
        <w:bidi w:val="0"/>
        <w:spacing w:before="0" w:after="0"/>
        <w:jc w:val="left"/>
        <w:rPr>
          <w:color w:val="000000"/>
        </w:rPr>
      </w:pPr>
      <w:r>
        <w:rPr>
          <w:color w:val="000000"/>
        </w:rPr>
        <w:t> </w:t>
      </w:r>
    </w:p>
    <w:p>
      <w:pPr>
        <w:pStyle w:val="TextBody"/>
        <w:bidi w:val="0"/>
        <w:spacing w:before="0" w:after="0"/>
        <w:ind w:left="360" w:right="0" w:hanging="0"/>
        <w:jc w:val="both"/>
        <w:rPr>
          <w:rFonts w:ascii="Times New Roman" w:hAnsi="Times New Roman"/>
          <w:color w:val="000000"/>
          <w:sz w:val="16"/>
        </w:rPr>
      </w:pPr>
      <w:r>
        <w:rPr>
          <w:rFonts w:ascii="Times New Roman" w:hAnsi="Times New Roman"/>
          <w:color w:val="000000"/>
          <w:sz w:val="20"/>
        </w:rPr>
        <w:t xml:space="preserve">b.  </w:t>
      </w:r>
      <w:r>
        <w:rPr>
          <w:rFonts w:ascii="Times New Roman" w:hAnsi="Times New Roman"/>
          <w:b/>
          <w:color w:val="000000"/>
          <w:sz w:val="20"/>
        </w:rPr>
        <w:t>Public Representations</w:t>
      </w:r>
      <w:r>
        <w:rPr>
          <w:rFonts w:ascii="Times New Roman" w:hAnsi="Times New Roman"/>
          <w:color w:val="000000"/>
          <w:sz w:val="20"/>
        </w:rPr>
        <w:t>. Either Party may represent to the public that it is an authorized seller of the Placements and may accurately represent it can sell the Placements after taking into consideration any adjustments to Placements for any reason (i.e., if Property has been divested pursuant to Paragraph 6 of the Terms and Conditions, a Party’s representations must change accordingly). In addition, any general positioning in regard to the Placements will be mutually agreed upon.   Any general positioning any use of previously approved or substantially similar general positioning included in new or revised sales materials approved within the previous 6 months will not require the other Party’s approval.</w:t>
      </w:r>
    </w:p>
    <w:p>
      <w:pPr>
        <w:pStyle w:val="TextBody"/>
        <w:bidi w:val="0"/>
        <w:spacing w:before="0" w:after="0"/>
        <w:jc w:val="left"/>
        <w:rPr>
          <w:color w:val="000000"/>
        </w:rPr>
      </w:pPr>
      <w:r>
        <w:rPr>
          <w:color w:val="000000"/>
        </w:rPr>
        <w:t> </w:t>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rPr>
        <w:t>Marks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360" w:right="0" w:firstLine="360"/>
        <w:jc w:val="both"/>
        <w:rPr>
          <w:rFonts w:ascii="Times New Roman" w:hAnsi="Times New Roman"/>
          <w:color w:val="000000"/>
          <w:sz w:val="20"/>
        </w:rPr>
      </w:pPr>
      <w:r>
        <w:rPr>
          <w:rFonts w:ascii="Times New Roman" w:hAnsi="Times New Roman"/>
          <w:color w:val="000000"/>
          <w:sz w:val="20"/>
        </w:rPr>
        <w:t>1.          </w:t>
      </w:r>
      <w:r>
        <w:rPr>
          <w:rFonts w:ascii="Times New Roman" w:hAnsi="Times New Roman"/>
          <w:b/>
          <w:color w:val="000000"/>
          <w:sz w:val="20"/>
        </w:rPr>
        <w:t>Company Authorized Logos</w:t>
      </w:r>
      <w:r>
        <w:rPr>
          <w:rFonts w:ascii="Times New Roman" w:hAnsi="Times New Roman"/>
          <w:color w:val="000000"/>
          <w:sz w:val="20"/>
        </w:rPr>
        <w:t>.  Company grants to Taboola a non-exclusive, non-transferable, revocable, royalty-free license to use the Company Authorized Logos during the Term, solely in accordance with the branding specifications provided by Company from time to time (and updated by Company from time to time) and other terms of this Agreement, and solely in connection with Taboola’s performance of the Services under this Agreement. Company reserves all rights not expressly granted in this Paragraph 17(c)(1).  Taboola acknowledges Company’s sole ownership of the Company Authorized Logos and all associated goodwill, and that Company retains all right, title, and interest in and to the Company Authorized Logos. All goodwill arising from Taboola’s use of the Company Authorized Logos shall inure to the sole benefit of Company. Taboola shall not use any Company Authorized Logo in any manner specifically prohibited by Company, or that will or may diminish or otherwise damage Company’s goodwill in the Company Authorized Logo. Taboola shall not adopt, use, or register any corporate name, trade name, trademark, domain name, service mark, certification mark, or other designation that violates Company’s rights in any Company Authorized Logo. Company shall have the sole right to, and in its sole discretion may, control any action concerning any Company Authorized Logo. Taboola shall fully correct and remedy any deficiencies in its use of an Company Authorized Logo, or the quality of an Company Authorized Logo in connection with its sales efforts, within a reasonable time after it receives notice from Company. This Agreement does not grant Taboola any license or other right to use any other trademark, service mark, trade name or trade dress of Company.</w:t>
      </w:r>
    </w:p>
    <w:p>
      <w:pPr>
        <w:pStyle w:val="TextBody"/>
        <w:bidi w:val="0"/>
        <w:spacing w:before="0" w:after="0"/>
        <w:jc w:val="left"/>
        <w:rPr>
          <w:color w:val="000000"/>
        </w:rPr>
      </w:pPr>
      <w:r>
        <w:rPr>
          <w:color w:val="000000"/>
        </w:rPr>
        <w:t> </w:t>
      </w:r>
    </w:p>
    <w:p>
      <w:pPr>
        <w:pStyle w:val="TextBody"/>
        <w:bidi w:val="0"/>
        <w:spacing w:before="0" w:after="0"/>
        <w:ind w:left="360" w:right="0" w:firstLine="360"/>
        <w:jc w:val="both"/>
        <w:rPr>
          <w:rFonts w:ascii="Times New Roman" w:hAnsi="Times New Roman"/>
          <w:color w:val="000000"/>
          <w:sz w:val="20"/>
        </w:rPr>
      </w:pPr>
      <w:r>
        <w:rPr>
          <w:rFonts w:ascii="Times New Roman" w:hAnsi="Times New Roman"/>
          <w:color w:val="000000"/>
          <w:sz w:val="20"/>
        </w:rPr>
        <w:t>2.          </w:t>
      </w:r>
      <w:r>
        <w:rPr>
          <w:rFonts w:ascii="Times New Roman" w:hAnsi="Times New Roman"/>
          <w:b/>
          <w:color w:val="000000"/>
          <w:sz w:val="20"/>
        </w:rPr>
        <w:t>Taboola Authorized Logos</w:t>
      </w:r>
      <w:r>
        <w:rPr>
          <w:rFonts w:ascii="Times New Roman" w:hAnsi="Times New Roman"/>
          <w:color w:val="000000"/>
          <w:sz w:val="20"/>
        </w:rPr>
        <w:t>. Taboola grants to Company a non-exclusive, non-transferable, revocable, royalty-free license to use the Taboola Authorized Logos during the Term, solely in accordance with the branding specifications provided by Taboola from time to time (and updated by Taboola from time to time) and other terms of this Agreement, and solely in connection with Taboola’s performance of the Services under this Agreement. Taboola reserves all rights not expressly granted in this Paragraph 17(c)(2).  Company acknowledges Taboola’s sole ownership of the Taboola Authorized Logos and all associated goodwill, and that Taboola retains all right, title, and interest in and to the Taboola Authorized Logos. All goodwill arising from Company’s use of the Taboola Authorized Logos shall inure to the sole benefit of Taboola. Company shall not use any Taboola Authorized Logo in any manner specifically prohibited by Taboola, or that will or may diminish or otherwise damage Taboola’s goodwill in the Taboola Authorized Logos. Company shall not adopt, use, or register any corporate name, trade name, trademark, domain name, service mark, certification mark, or other designation that violates Taboola’s rights in any Taboola Authorized Logo. Taboola shall have the sole right to, and in its sole discretion may, control any action concerning any Taboola Authorized Logo. Company shall fully correct and remedy any deficiencies in its use of a Taboola Authorized Logo, within a reasonable time after it receives notice from Company. This Agreement does not grant Taboola any license or other right to use any other trademark, service mark, trade name or trade dress of Company.</w:t>
      </w:r>
    </w:p>
    <w:p>
      <w:pPr>
        <w:pStyle w:val="TextBody"/>
        <w:bidi w:val="0"/>
        <w:spacing w:before="0" w:after="0"/>
        <w:jc w:val="left"/>
        <w:rPr>
          <w:color w:val="000000"/>
        </w:rPr>
      </w:pPr>
      <w:r>
        <w:rPr>
          <w:color w:val="000000"/>
        </w:rPr>
        <w:t> </w:t>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18</w:t>
      </w:r>
    </w:p>
    <w:p>
      <w:pPr>
        <w:pStyle w:val="HorizontalLine"/>
        <w:pBdr>
          <w:bottom w:val="single" w:sz="12" w:space="0" w:color="808080"/>
        </w:pBdr>
        <w:bidi w:val="0"/>
        <w:spacing w:before="200" w:after="200"/>
        <w:jc w:val="left"/>
        <w:rPr/>
      </w:pPr>
      <w:r>
        <w:rPr/>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b/>
          <w:color w:val="000000"/>
          <w:sz w:val="20"/>
        </w:rPr>
        <w:t>Marketing Materials</w:t>
      </w:r>
      <w:r>
        <w:rPr>
          <w:rFonts w:ascii="Times New Roman" w:hAnsi="Times New Roman"/>
          <w:color w:val="000000"/>
          <w:sz w:val="20"/>
        </w:rPr>
        <w:t>.  Neither Party shall distribute or otherwise use any marketing materials relating to this Agreement unless use of such marketing materials comply with this Agreement, and the brand guidelines and marketing guidelines provided by other Party.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18.    </w:t>
      </w:r>
      <w:r>
        <w:rPr>
          <w:rFonts w:ascii="Times New Roman" w:hAnsi="Times New Roman"/>
          <w:b/>
          <w:color w:val="000000"/>
          <w:sz w:val="20"/>
          <w:u w:val="single"/>
        </w:rPr>
        <w:t>Notices:</w:t>
      </w:r>
      <w:r>
        <w:rPr>
          <w:rFonts w:ascii="Times New Roman" w:hAnsi="Times New Roman"/>
          <w:b/>
          <w:color w:val="000000"/>
          <w:sz w:val="20"/>
        </w:rPr>
        <w:t xml:space="preserve">  </w:t>
      </w:r>
      <w:r>
        <w:rPr>
          <w:rFonts w:ascii="Times New Roman" w:hAnsi="Times New Roman"/>
          <w:color w:val="000000"/>
          <w:sz w:val="20"/>
        </w:rPr>
        <w:t>Notices under this Agreement are sufficient if given by internationally recognized overnight courier service or electronic mail with electronic confirmation or personal delivery to the other Party at the address for that Party listed on the signature page.  Notice is effective: (a) when delivered personally; (b) on the business day after sending by a nationally recognized courier service; or (c) on the business day after sending electronic mail with electronic confirmation to the sender.  Either Party may from time to time change the notice address by giving the other Party notice of the change in accordance with this Paragraph 18.</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19.    </w:t>
      </w:r>
      <w:r>
        <w:rPr>
          <w:rFonts w:ascii="Times New Roman" w:hAnsi="Times New Roman"/>
          <w:b/>
          <w:color w:val="000000"/>
          <w:sz w:val="20"/>
          <w:u w:val="single"/>
        </w:rPr>
        <w:t>Force Majeure</w:t>
      </w:r>
      <w:r>
        <w:rPr>
          <w:rFonts w:ascii="Times New Roman" w:hAnsi="Times New Roman"/>
          <w:b/>
          <w:color w:val="000000"/>
          <w:sz w:val="20"/>
        </w:rPr>
        <w:t>:</w:t>
      </w:r>
      <w:r>
        <w:rPr>
          <w:rFonts w:ascii="Times New Roman" w:hAnsi="Times New Roman"/>
          <w:color w:val="000000"/>
          <w:sz w:val="20"/>
        </w:rPr>
        <w:t xml:space="preserve"> Neither Party will be responsible for any failure or delay in its performance under this Agreement due to causes beyond its reasonable control, including, but not limited to, labor disputes, strikes, any prohibition, admonishment, encouragement or restriction by any government or other legal authority that affects this Agreement and is not in force on the date of this Agreement, lockouts, failures of the Internet, shortages of or inability to obtain energy, raw materials, or supplies, pandemics, war, terrorism, riot, or acts of God.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20.   </w:t>
      </w:r>
      <w:r>
        <w:rPr>
          <w:rFonts w:ascii="Times New Roman" w:hAnsi="Times New Roman"/>
          <w:b/>
          <w:color w:val="000000"/>
          <w:sz w:val="20"/>
          <w:u w:val="single"/>
        </w:rPr>
        <w:t>Miscellaneous</w:t>
      </w:r>
      <w:r>
        <w:rPr>
          <w:rFonts w:ascii="Times New Roman" w:hAnsi="Times New Roman"/>
          <w:b/>
          <w:color w:val="000000"/>
          <w:sz w:val="20"/>
        </w:rPr>
        <w:t>:</w:t>
      </w:r>
      <w:r>
        <w:rPr>
          <w:rFonts w:ascii="Times New Roman" w:hAnsi="Times New Roman"/>
          <w:color w:val="000000"/>
          <w:sz w:val="20"/>
        </w:rPr>
        <w:t xml:space="preserve"> This Agreement constitutes the complete and exclusive understanding and agreement between the Parties regarding the subject matter herein, and supersedes all prior or contemporaneous agreements or understandings, written or oral, relating to its subject matter. The failure of either Party to enforce strict performance by the other Party of any provision of this Agreement or to exercise any right under this Agreement shall not be construed as a waiver of that Party’s right. Any waiver, modification, or amendment of any provision of this Agreement will be effective only if in writing and signed by a duly authorized representative of each Party. Nothing in this Agreement shall be construed to create a partnership, joint venture, agency, employment, or any other relationship between Company and Taboola. Except as otherwise specifically set forth herein, neither Party will (i) represent itself to be a partner, employee, representative, or agent of the other Party; or (ii) enter into any agreement on the other Party’s behalf, in the other Party’s name, or otherwise bind the other Party to any agreement or obligation. Should any section or part of a section within this Agreement be rendered void or unenforceable by any court of competent jurisdiction, the remaining provisions of this Agreement shall nevertheless be binding upon the Parties with the same effect as though the void or unenforceable part had been severed and deleted. Paragraphs 1.e, 4.d, 8.b (for 2 years after the termination or expiration of this Agreement) 10-14 and 20 of these Terms and Conditions shall survive the termination of this Agreement. Each Party agrees that this Agreement may be executed by electronic signature. Electronic execution of this Agreement by a Party is intended to authenticate this writing and have the same force and effect as a manual signature. Neither Party may challenge the authenticity or validity of this Agreement on the basis that it was signed electronically.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21.    </w:t>
      </w:r>
      <w:r>
        <w:rPr>
          <w:rFonts w:ascii="Times New Roman" w:hAnsi="Times New Roman"/>
          <w:b/>
          <w:color w:val="000000"/>
          <w:sz w:val="20"/>
          <w:u w:val="single"/>
        </w:rPr>
        <w:t>Further Assurances</w:t>
      </w:r>
      <w:r>
        <w:rPr>
          <w:rFonts w:ascii="Times New Roman" w:hAnsi="Times New Roman"/>
          <w:color w:val="000000"/>
          <w:sz w:val="20"/>
        </w:rPr>
        <w:t>.  The Parties hereby agree to discuss in good faith any potential amendments or clarifications to this Agreement as may be reasonably proposed by either Party to the other for the purposes of further refining or improving this Agreement.</w:t>
      </w:r>
    </w:p>
    <w:p>
      <w:pPr>
        <w:pStyle w:val="TextBody"/>
        <w:bidi w:val="0"/>
        <w:spacing w:before="0" w:after="0"/>
        <w:jc w:val="left"/>
        <w:rPr>
          <w:color w:val="000000"/>
        </w:rPr>
      </w:pPr>
      <w:r>
        <w:rPr>
          <w:color w:val="000000"/>
        </w:rPr>
        <w:t> </w:t>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List of Properties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B</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Technical Integration Plan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Placement Screenshots* and Matrix of Placement Groups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Example Calculations of the Baseline Conditions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Minimum Margin Chart</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Header Bidding Amendment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G</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Demand Services Migration Key Provisions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1440" w:right="0" w:hanging="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H</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Service Level Agreement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t>
      </w:r>
    </w:p>
    <w:p>
      <w:pPr>
        <w:pStyle w:val="TextBody"/>
        <w:bidi w:val="0"/>
        <w:spacing w:before="0" w:after="0"/>
        <w:jc w:val="left"/>
        <w:rPr>
          <w:sz w:val="20"/>
        </w:rPr>
      </w:pPr>
      <w:r>
        <w:rPr>
          <w:sz w:val="20"/>
        </w:rPr>
      </w:r>
    </w:p>
    <w:p>
      <w:pPr>
        <w:pStyle w:val="TextBody"/>
        <w:bidi w:val="0"/>
        <w:spacing w:before="200" w:after="200"/>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Network Security Agreement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br/>
      </w:r>
      <w:r>
        <w:rPr>
          <w:rFonts w:ascii="Times New Roman" w:hAnsi="Times New Roman"/>
          <w:b w:val="false"/>
          <w:i w:val="false"/>
          <w:caps w:val="false"/>
          <w:smallCaps w:val="false"/>
          <w:color w:val="000000"/>
          <w:sz w:val="16"/>
        </w:rPr>
        <w:t>Page 28</w:t>
      </w:r>
      <w:r>
        <w:rPr>
          <w:rFonts w:ascii="Times New Roman" w:hAnsi="Times New Roman"/>
          <w:color w:val="000000"/>
          <w:sz w:val="20"/>
        </w:rPr>
        <w:t xml:space="preserve">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brackets [***], has been omitted pursuant to Item 601(b)(10)(iv) of Regulation S-K.</w:t>
      </w:r>
    </w:p>
    <w:p>
      <w:pPr>
        <w:pStyle w:val="TextBody"/>
        <w:bidi w:val="0"/>
        <w:spacing w:before="0" w:after="0"/>
        <w:jc w:val="left"/>
        <w:rPr>
          <w:color w:val="000000"/>
        </w:rPr>
      </w:pPr>
      <w:r>
        <w:rPr>
          <w:color w:val="000000"/>
        </w:rPr>
        <w:t> </w:t>
      </w:r>
    </w:p>
    <w:p>
      <w:pPr>
        <w:pStyle w:val="TextBody"/>
        <w:bidi w:val="0"/>
        <w:spacing w:before="0" w:after="0"/>
        <w:ind w:left="251" w:right="0" w:hanging="0"/>
        <w:jc w:val="left"/>
        <w:rPr>
          <w:color w:val="000000"/>
        </w:rPr>
      </w:pPr>
      <w:r>
        <w:rPr>
          <w:color w:val="000000"/>
        </w:rPr>
        <w:drawing>
          <wp:inline distT="0" distB="0" distL="0" distR="0">
            <wp:extent cx="169545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95450" cy="4667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274320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304800"/>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Addendum (this “</w:t>
      </w:r>
      <w:r>
        <w:rPr>
          <w:rFonts w:ascii="Times New Roman" w:hAnsi="Times New Roman"/>
          <w:b/>
          <w:color w:val="000000"/>
          <w:sz w:val="20"/>
          <w:u w:val="single"/>
        </w:rPr>
        <w:t>Addendum</w:t>
      </w:r>
      <w:r>
        <w:rPr>
          <w:rFonts w:ascii="Times New Roman" w:hAnsi="Times New Roman"/>
          <w:color w:val="000000"/>
          <w:sz w:val="20"/>
        </w:rPr>
        <w:t>”) adds the functionality described below to the Digital Property and Demand Services Agreement (the “</w:t>
      </w:r>
      <w:r>
        <w:rPr>
          <w:rFonts w:ascii="Times New Roman" w:hAnsi="Times New Roman"/>
          <w:b/>
          <w:color w:val="000000"/>
          <w:sz w:val="20"/>
          <w:u w:val="single"/>
        </w:rPr>
        <w:t>Agreement</w:t>
      </w:r>
      <w:r>
        <w:rPr>
          <w:rFonts w:ascii="Times New Roman" w:hAnsi="Times New Roman"/>
          <w:color w:val="000000"/>
          <w:sz w:val="20"/>
        </w:rPr>
        <w:t>”) between Taboola, Inc. (“</w:t>
      </w:r>
      <w:r>
        <w:rPr>
          <w:rFonts w:ascii="Times New Roman" w:hAnsi="Times New Roman"/>
          <w:b/>
          <w:color w:val="000000"/>
          <w:sz w:val="20"/>
          <w:u w:val="single"/>
        </w:rPr>
        <w:t>Taboola</w:t>
      </w:r>
      <w:r>
        <w:rPr>
          <w:rFonts w:ascii="Times New Roman" w:hAnsi="Times New Roman"/>
          <w:color w:val="000000"/>
          <w:sz w:val="20"/>
        </w:rPr>
        <w:t>”) and Yahoo Inc. (“</w:t>
      </w:r>
      <w:r>
        <w:rPr>
          <w:rFonts w:ascii="Times New Roman" w:hAnsi="Times New Roman"/>
          <w:b/>
          <w:color w:val="000000"/>
          <w:sz w:val="20"/>
          <w:u w:val="single"/>
        </w:rPr>
        <w:t>Yahoo</w:t>
      </w:r>
      <w:r>
        <w:rPr>
          <w:rFonts w:ascii="Times New Roman" w:hAnsi="Times New Roman"/>
          <w:color w:val="000000"/>
          <w:sz w:val="20"/>
        </w:rPr>
        <w:t>”). This Addendum is made and effective as of May 1, 2023 (the “</w:t>
      </w:r>
      <w:r>
        <w:rPr>
          <w:rFonts w:ascii="Times New Roman" w:hAnsi="Times New Roman"/>
          <w:b/>
          <w:color w:val="000000"/>
          <w:sz w:val="20"/>
          <w:u w:val="single"/>
        </w:rPr>
        <w:t>Addendum Effective Date</w:t>
      </w:r>
      <w:r>
        <w:rPr>
          <w:rFonts w:ascii="Times New Roman" w:hAnsi="Times New Roman"/>
          <w:color w:val="000000"/>
          <w:sz w:val="20"/>
        </w:rPr>
        <w:t>”) and continue until terminated as provided in the Agreement. Yahoo and Taboola may each be referred to as a “</w:t>
      </w:r>
      <w:r>
        <w:rPr>
          <w:rFonts w:ascii="Times New Roman" w:hAnsi="Times New Roman"/>
          <w:b/>
          <w:color w:val="000000"/>
          <w:sz w:val="20"/>
          <w:u w:val="single"/>
        </w:rPr>
        <w:t>Party</w:t>
      </w:r>
      <w:r>
        <w:rPr>
          <w:rFonts w:ascii="Times New Roman" w:hAnsi="Times New Roman"/>
          <w:color w:val="000000"/>
          <w:sz w:val="20"/>
        </w:rPr>
        <w:t>” or collectively as the “</w:t>
      </w:r>
      <w:r>
        <w:rPr>
          <w:rFonts w:ascii="Times New Roman" w:hAnsi="Times New Roman"/>
          <w:b/>
          <w:color w:val="000000"/>
          <w:sz w:val="20"/>
          <w:u w:val="single"/>
        </w:rPr>
        <w:t>Parties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Addendum governs Taboola’s access to and purchase of Placements made available by Yahoo on a programmatic basis (e.g., via real time bidding, as further described below). This Addendum shall, upon acceptance by Taboola and Yahoo, become an Addendum to the Agreement. Capitalized terms used herein and not otherwise defined shall have the meaning ascribed to them in the Agreement. In the event of any inconsistency between the terms of this Addendum and the Agreement, the terms of this Addendum shall prevail.</w:t>
      </w:r>
    </w:p>
    <w:p>
      <w:pPr>
        <w:pStyle w:val="TextBody"/>
        <w:bidi w:val="0"/>
        <w:spacing w:before="0" w:after="0"/>
        <w:ind w:left="140" w:right="132" w:hanging="0"/>
        <w:jc w:val="both"/>
        <w:rPr>
          <w:color w:val="000000"/>
        </w:rPr>
      </w:pPr>
      <w:r>
        <w:rPr>
          <w:color w:val="000000"/>
        </w:rPr>
      </w:r>
    </w:p>
    <w:p>
      <w:pPr>
        <w:pStyle w:val="Normal"/>
        <w:bidi w:val="0"/>
        <w:spacing w:before="0" w:after="0"/>
        <w:jc w:val="left"/>
        <w:rPr>
          <w:sz w:val="4"/>
          <w:szCs w:val="4"/>
        </w:rPr>
      </w:pPr>
      <w:r>
        <w:rPr>
          <w:sz w:val="4"/>
          <w:szCs w:val="4"/>
        </w:rPr>
      </w:r>
      <w:bookmarkStart w:id="298" w:name="z0d8467b2768746169f02c2753ee9841d"/>
      <w:bookmarkStart w:id="299" w:name="z0d8467b2768746169f02c2753ee9841d"/>
      <w:bookmarkEnd w:id="299"/>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bookmarkStart w:id="300" w:name="bookmarkid.30j0zll"/>
            <w:bookmarkEnd w:id="300"/>
            <w:r>
              <w:rPr/>
              <w:t>1.</w:t>
            </w:r>
          </w:p>
        </w:tc>
        <w:tc>
          <w:tcPr>
            <w:tcW w:w="10042" w:type="dxa"/>
            <w:tcBorders/>
            <w:vAlign w:val="center"/>
          </w:tcPr>
          <w:p>
            <w:pPr>
              <w:pStyle w:val="TableContents"/>
              <w:bidi w:val="0"/>
              <w:spacing w:before="0" w:after="0"/>
              <w:jc w:val="both"/>
              <w:rPr/>
            </w:pPr>
            <w:r>
              <w:rPr>
                <w:color w:val="000000"/>
                <w:u w:val="single"/>
              </w:rPr>
              <w:t>Placement Availability</w:t>
            </w:r>
            <w:r>
              <w:rPr>
                <w:color w:val="000000"/>
              </w:rPr>
              <w:t>. Yahoo may make Placements available to Taboola on a programmatic basis (e.g., via real time bidding) (the “</w:t>
            </w:r>
            <w:r>
              <w:rPr>
                <w:b/>
                <w:color w:val="000000"/>
                <w:u w:val="single"/>
              </w:rPr>
              <w:t>RTB Connection</w:t>
            </w:r>
            <w:r>
              <w:rPr>
                <w:color w:val="000000"/>
              </w:rPr>
              <w:t>”). The terms and conditions of the “Ad Platforms Agreement – Exchange” between Yahoo EMEA Limited (formerly, Verizon Media EMEA Limited) and Taboola.com Ltd. dated December 1, 2020 (the “</w:t>
            </w:r>
            <w:r>
              <w:rPr>
                <w:b/>
                <w:color w:val="000000"/>
                <w:u w:val="single"/>
              </w:rPr>
              <w:t>Exchange Agreement</w:t>
            </w:r>
            <w:r>
              <w:rPr>
                <w:color w:val="000000"/>
              </w:rPr>
              <w:t>”) are hereby adopted by Yahoo and Taboola and shall apply to the Parties’ access to and use of the RTB connection. References to “</w:t>
            </w:r>
            <w:r>
              <w:rPr>
                <w:b/>
                <w:color w:val="000000"/>
                <w:u w:val="single"/>
              </w:rPr>
              <w:t>You</w:t>
            </w:r>
            <w:r>
              <w:rPr>
                <w:color w:val="000000"/>
              </w:rPr>
              <w:t>” or “</w:t>
            </w:r>
            <w:r>
              <w:rPr>
                <w:b/>
                <w:color w:val="000000"/>
                <w:u w:val="single"/>
              </w:rPr>
              <w:t>Your</w:t>
            </w:r>
            <w:r>
              <w:rPr>
                <w:color w:val="000000"/>
              </w:rPr>
              <w:t>” in the Exchange Agreement shall mean Taboola and references to “</w:t>
            </w:r>
            <w:r>
              <w:rPr>
                <w:b/>
                <w:color w:val="000000"/>
                <w:u w:val="single"/>
              </w:rPr>
              <w:t>Verizon Media</w:t>
            </w:r>
            <w:r>
              <w:rPr>
                <w:color w:val="000000"/>
              </w:rPr>
              <w:t>”, “</w:t>
            </w:r>
            <w:r>
              <w:rPr>
                <w:b/>
                <w:color w:val="000000"/>
                <w:u w:val="single"/>
              </w:rPr>
              <w:t>We</w:t>
            </w:r>
            <w:r>
              <w:rPr>
                <w:color w:val="000000"/>
              </w:rPr>
              <w:t>”, “</w:t>
            </w:r>
            <w:r>
              <w:rPr>
                <w:b/>
                <w:color w:val="000000"/>
                <w:u w:val="single"/>
              </w:rPr>
              <w:t>Us</w:t>
            </w:r>
            <w:r>
              <w:rPr>
                <w:color w:val="000000"/>
              </w:rPr>
              <w:t>” or “</w:t>
            </w:r>
            <w:r>
              <w:rPr>
                <w:b/>
                <w:color w:val="000000"/>
                <w:u w:val="single"/>
              </w:rPr>
              <w:t>Our</w:t>
            </w:r>
            <w:r>
              <w:rPr>
                <w:color w:val="000000"/>
              </w:rPr>
              <w:t>” shall mean “</w:t>
            </w:r>
            <w:r>
              <w:rPr>
                <w:b/>
                <w:color w:val="000000"/>
                <w:u w:val="single"/>
              </w:rPr>
              <w:t>Yahoo</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1" w:name="z6f62f792b43542b79002d2f5c44fed72"/>
      <w:bookmarkStart w:id="302" w:name="z6f62f792b43542b79002d2f5c44fed72"/>
      <w:bookmarkEnd w:id="302"/>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bookmarkStart w:id="303" w:name="bookmarkid.1fob9te"/>
            <w:bookmarkEnd w:id="303"/>
            <w:r>
              <w:rPr/>
              <w:t>2.</w:t>
            </w:r>
          </w:p>
        </w:tc>
        <w:tc>
          <w:tcPr>
            <w:tcW w:w="10047" w:type="dxa"/>
            <w:tcBorders/>
            <w:vAlign w:val="center"/>
          </w:tcPr>
          <w:p>
            <w:pPr>
              <w:pStyle w:val="TableContents"/>
              <w:bidi w:val="0"/>
              <w:spacing w:before="0" w:after="0"/>
              <w:jc w:val="both"/>
              <w:rPr>
                <w:color w:val="000000"/>
              </w:rPr>
            </w:pPr>
            <w:r>
              <w:rPr>
                <w:color w:val="000000"/>
                <w:u w:val="single"/>
              </w:rPr>
              <w:t>Other Changes to The Adopted Exchange Agreement</w:t>
            </w:r>
            <w:r>
              <w:rPr>
                <w:color w:val="000000"/>
              </w:rPr>
              <w:t xml:space="preserve">. Section 15 of the adopted Exchange Agreement shall be replaced in its entirety by Sections 13 and 14 of the Agreement. Payments to Yahoo shall be made pursuant to Section 4 of the Terms and Conditions of the Agreement. Yahoo and Taboola shall maintain this RTB Connection for a period of time as further agreed to in good faith by the Parties. The Parties agree to replace the advertising policies and specifications link described in the cover page with the following: </w:t>
            </w:r>
            <w:r>
              <w:rPr>
                <w:color w:val="000000"/>
                <w:u w:val="single"/>
              </w:rPr>
              <w:t>https://adspecs.yahooinc.com/native-ads</w:t>
            </w:r>
            <w:r>
              <w:rPr>
                <w:color w:val="000000"/>
              </w:rPr>
              <w:t>. Section</w:t>
            </w:r>
          </w:p>
          <w:p>
            <w:pPr>
              <w:pStyle w:val="TableContents"/>
              <w:bidi w:val="0"/>
              <w:spacing w:before="0" w:after="0"/>
              <w:jc w:val="both"/>
              <w:rPr/>
            </w:pPr>
            <w:r>
              <w:rPr/>
              <w:t>7.1.1 (a) (Privacy Policy) is deleted and replaced with the following: “</w:t>
            </w:r>
            <w:r>
              <w:rPr>
                <w:i/>
              </w:rPr>
              <w:t>conspicuously post on your website(s) and mobile application(s) (and on your Advertisers’ website(s) and mobile applications) and adhere to a privacy policy that complies with all applicable laws, rules, regulations, and self-regulatory principles, including as applicable the principles of the Digital Advertising Alliance, Interactive Advertising Bureau, American Association of Advertising Agencies and Network Advertising Initiative (“NAI”)</w:t>
            </w:r>
            <w:r>
              <w:rPr/>
              <w:t xml:space="preserve">”. The URL referenced in Section 7.1.2 (Tracking Mechanisms) shall be changed to </w:t>
            </w:r>
            <w:r>
              <w:rPr>
                <w:u w:val="single"/>
              </w:rPr>
              <w:t>https://legal.yahoo.com/xw/en/yahoo/privacy/enterprise/pixelandcustomaudience/index.html</w:t>
            </w:r>
            <w:r>
              <w:rPr/>
              <w:t>. Section 15 (Applicable Law) shall be deleted and replaced with the following: “</w:t>
            </w:r>
            <w:r>
              <w:rPr>
                <w:i/>
              </w:rPr>
              <w:t>The terms of the Advertising Agreement and any dispute relating thereto or between you and us will be governed by the laws of the State of New York, without regard to conflict/choice of law principles. The United Nations Convention on Contracts for the International Sale of Goods does not apply to the Advertising Agreement. You and We agree to submit to the exclusive jurisdiction of the state and federal courts located in the borough of Manhattan, New York. Any claim against Us will be adjudicated on an individual basis and will not be consolidated in any proceeding with any claim or controversy of any other party.</w:t>
            </w:r>
            <w:r>
              <w:rPr/>
              <w:t>”</w:t>
            </w:r>
            <w:r>
              <w:rPr>
                <w:color w:val="000000"/>
              </w:rPr>
              <w:t xml:space="preserve">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4" w:name="z58d15e2294d14fefa6f732e7b9ddfcda"/>
      <w:bookmarkStart w:id="305" w:name="z58d15e2294d14fefa6f732e7b9ddfcda"/>
      <w:bookmarkEnd w:id="305"/>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bookmarkStart w:id="306" w:name="z_headingh.2et92p0"/>
            <w:bookmarkStart w:id="307" w:name="bookmarkid.3znysh7"/>
            <w:bookmarkEnd w:id="306"/>
            <w:bookmarkEnd w:id="307"/>
            <w:r>
              <w:rPr/>
              <w:t>3.</w:t>
            </w:r>
          </w:p>
        </w:tc>
        <w:tc>
          <w:tcPr>
            <w:tcW w:w="10011" w:type="dxa"/>
            <w:tcBorders/>
            <w:vAlign w:val="center"/>
          </w:tcPr>
          <w:p>
            <w:pPr>
              <w:pStyle w:val="TableContents"/>
              <w:bidi w:val="0"/>
              <w:spacing w:before="0" w:after="0"/>
              <w:jc w:val="both"/>
              <w:rPr>
                <w:color w:val="000000"/>
              </w:rPr>
            </w:pPr>
            <w:r>
              <w:rPr>
                <w:color w:val="000000"/>
                <w:u w:val="single"/>
              </w:rPr>
              <w:t>Bidding and Payment</w:t>
            </w:r>
            <w:r>
              <w:rPr>
                <w:color w:val="000000"/>
              </w:rPr>
              <w:t>.[***]. Payment shall be delivered as specified in Section 4(d) of the Digital Property Services Agreement Terms and Conditions.</w:t>
            </w:r>
            <w:bookmarkStart w:id="308" w:name="bookmarkid.tyjcwt"/>
            <w:bookmarkEnd w:id="308"/>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09" w:name="zc952c12dfad241e7998b7ec00cc9b813"/>
      <w:bookmarkStart w:id="310" w:name="zc952c12dfad241e7998b7ec00cc9b813"/>
      <w:bookmarkEnd w:id="310"/>
    </w:p>
    <w:tbl>
      <w:tblPr>
        <w:tblW w:w="1255" w:type="dxa"/>
        <w:jc w:val="left"/>
        <w:tblInd w:w="0" w:type="dxa"/>
        <w:tblLayout w:type="fixed"/>
        <w:tblCellMar>
          <w:top w:w="0" w:type="dxa"/>
          <w:left w:w="0" w:type="dxa"/>
          <w:bottom w:w="0" w:type="dxa"/>
          <w:right w:w="0" w:type="dxa"/>
        </w:tblCellMar>
      </w:tblPr>
      <w:tblGrid>
        <w:gridCol w:w="215"/>
        <w:gridCol w:w="1040"/>
      </w:tblGrid>
      <w:tr>
        <w:trPr/>
        <w:tc>
          <w:tcPr>
            <w:tcW w:w="215" w:type="dxa"/>
            <w:tcBorders/>
            <w:vAlign w:val="center"/>
          </w:tcPr>
          <w:p>
            <w:pPr>
              <w:pStyle w:val="TableContents"/>
              <w:bidi w:val="0"/>
              <w:spacing w:before="0" w:after="283"/>
              <w:jc w:val="left"/>
              <w:rPr/>
            </w:pPr>
            <w:r>
              <w:rPr/>
              <w:t>4.</w:t>
            </w:r>
          </w:p>
        </w:tc>
        <w:tc>
          <w:tcPr>
            <w:tcW w:w="1040" w:type="dxa"/>
            <w:tcBorders/>
            <w:vAlign w:val="center"/>
          </w:tcPr>
          <w:p>
            <w:pPr>
              <w:pStyle w:val="TableContents"/>
              <w:bidi w:val="0"/>
              <w:spacing w:before="0" w:after="0"/>
              <w:jc w:val="both"/>
              <w:rPr>
                <w:color w:val="000000"/>
              </w:rPr>
            </w:pPr>
            <w:r>
              <w:rPr>
                <w:color w:val="000000"/>
                <w:u w:val="single"/>
              </w:rPr>
              <w:t>Reporting</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1" w:name="zead3b534ce8c46f1b7d2b954758810b1"/>
      <w:bookmarkStart w:id="312" w:name="zead3b534ce8c46f1b7d2b954758810b1"/>
      <w:bookmarkEnd w:id="312"/>
    </w:p>
    <w:tbl>
      <w:tblPr>
        <w:tblW w:w="10205" w:type="dxa"/>
        <w:jc w:val="left"/>
        <w:tblInd w:w="0" w:type="dxa"/>
        <w:tblLayout w:type="fixed"/>
        <w:tblCellMar>
          <w:top w:w="0" w:type="dxa"/>
          <w:left w:w="0" w:type="dxa"/>
          <w:bottom w:w="0" w:type="dxa"/>
          <w:right w:w="0" w:type="dxa"/>
        </w:tblCellMar>
      </w:tblPr>
      <w:tblGrid>
        <w:gridCol w:w="75"/>
        <w:gridCol w:w="335"/>
        <w:gridCol w:w="979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bookmarkStart w:id="313" w:name="bookmarkid.3dy6vkm"/>
            <w:bookmarkEnd w:id="313"/>
            <w:r>
              <w:rPr/>
              <w:t>4.1.</w:t>
            </w:r>
          </w:p>
        </w:tc>
        <w:tc>
          <w:tcPr>
            <w:tcW w:w="9795" w:type="dxa"/>
            <w:tcBorders/>
            <w:vAlign w:val="center"/>
          </w:tcPr>
          <w:p>
            <w:pPr>
              <w:pStyle w:val="TableContents"/>
              <w:bidi w:val="0"/>
              <w:spacing w:before="0" w:after="0"/>
              <w:jc w:val="both"/>
              <w:rPr>
                <w:color w:val="000000"/>
              </w:rPr>
            </w:pPr>
            <w:r>
              <w:rPr>
                <w:color w:val="000000"/>
                <w:u w:val="single"/>
              </w:rPr>
              <w:t>Online Reporting</w:t>
            </w:r>
            <w:r>
              <w:rPr>
                <w:color w:val="000000"/>
              </w:rPr>
              <w:t>.  Taboola shall provide Yahoo with online access to current data similar to the data provided in Section 4.2 below, which shall be updated at least daily, for Yahoo’s planning and forecasting purposes. Such data shall be considered preliminary data and may be adjusted by Taboola as needed before being finalized in the reporting provided in Section 4.2 below.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4" w:name="z7963a4c4cc3b433caa90b30d757705f2"/>
      <w:bookmarkStart w:id="315" w:name="z7963a4c4cc3b433caa90b30d757705f2"/>
      <w:bookmarkEnd w:id="315"/>
    </w:p>
    <w:tbl>
      <w:tblPr>
        <w:tblW w:w="10205" w:type="dxa"/>
        <w:jc w:val="left"/>
        <w:tblInd w:w="0" w:type="dxa"/>
        <w:tblLayout w:type="fixed"/>
        <w:tblCellMar>
          <w:top w:w="0" w:type="dxa"/>
          <w:left w:w="0" w:type="dxa"/>
          <w:bottom w:w="0" w:type="dxa"/>
          <w:right w:w="0" w:type="dxa"/>
        </w:tblCellMar>
      </w:tblPr>
      <w:tblGrid>
        <w:gridCol w:w="75"/>
        <w:gridCol w:w="331"/>
        <w:gridCol w:w="9799"/>
      </w:tblGrid>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bookmarkStart w:id="316" w:name="z_headingh.4d34og8"/>
            <w:bookmarkStart w:id="317" w:name="bookmarkid.1t3h5sf"/>
            <w:bookmarkEnd w:id="316"/>
            <w:bookmarkEnd w:id="317"/>
            <w:r>
              <w:rPr/>
              <w:t>4.2.</w:t>
            </w:r>
          </w:p>
        </w:tc>
        <w:tc>
          <w:tcPr>
            <w:tcW w:w="9799" w:type="dxa"/>
            <w:tcBorders/>
            <w:vAlign w:val="center"/>
          </w:tcPr>
          <w:p>
            <w:pPr>
              <w:pStyle w:val="TableContents"/>
              <w:bidi w:val="0"/>
              <w:spacing w:before="0" w:after="0"/>
              <w:jc w:val="both"/>
              <w:rPr>
                <w:color w:val="000000"/>
              </w:rPr>
            </w:pPr>
            <w:r>
              <w:rPr>
                <w:color w:val="000000"/>
                <w:u w:val="single"/>
              </w:rPr>
              <w:t>Monthly Reporting</w:t>
            </w:r>
            <w:r>
              <w:rPr>
                <w:color w:val="000000"/>
              </w:rPr>
              <w:t>. Along with the payment described in Section 3 above, Taboola agrees to provide Yahoo with reporting regarding such payment with details reasonably sufficient for Yahoo to independently calculate and verify the amounts paid to Yahoo. Such reporting shall include at least the fields listed in Exhibit A. Yahoo and Taboola may agree on reasonable additions to such reporting to support Yahoo in meeting its compliance and accounting obligations.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8" w:name="zc1ff15ff312047abb973c1b6b2298f60"/>
      <w:bookmarkStart w:id="319" w:name="zc1ff15ff312047abb973c1b6b2298f60"/>
      <w:bookmarkEnd w:id="319"/>
    </w:p>
    <w:tbl>
      <w:tblPr>
        <w:tblW w:w="1060" w:type="dxa"/>
        <w:jc w:val="left"/>
        <w:tblInd w:w="0" w:type="dxa"/>
        <w:tblLayout w:type="fixed"/>
        <w:tblCellMar>
          <w:top w:w="0" w:type="dxa"/>
          <w:left w:w="0" w:type="dxa"/>
          <w:bottom w:w="0" w:type="dxa"/>
          <w:right w:w="0" w:type="dxa"/>
        </w:tblCellMar>
      </w:tblPr>
      <w:tblGrid>
        <w:gridCol w:w="75"/>
        <w:gridCol w:w="380"/>
        <w:gridCol w:w="60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bookmarkStart w:id="320" w:name="bookmarkid.2s8eyo1"/>
            <w:bookmarkEnd w:id="320"/>
            <w:r>
              <w:rPr/>
              <w:t>4.3.</w:t>
            </w:r>
          </w:p>
        </w:tc>
        <w:tc>
          <w:tcPr>
            <w:tcW w:w="605" w:type="dxa"/>
            <w:tcBorders/>
            <w:vAlign w:val="center"/>
          </w:tcPr>
          <w:p>
            <w:pPr>
              <w:pStyle w:val="TableContents"/>
              <w:bidi w:val="0"/>
              <w:spacing w:before="0" w:after="0"/>
              <w:jc w:val="both"/>
              <w:rPr>
                <w:color w:val="000000"/>
              </w:rPr>
            </w:pP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1" w:name="z4ea3e7e2ed96448db00b2e5891d0404d"/>
      <w:bookmarkStart w:id="322" w:name="z4ea3e7e2ed96448db00b2e5891d0404d"/>
      <w:bookmarkEnd w:id="322"/>
    </w:p>
    <w:tbl>
      <w:tblPr>
        <w:tblW w:w="1000" w:type="dxa"/>
        <w:jc w:val="left"/>
        <w:tblInd w:w="0" w:type="dxa"/>
        <w:tblLayout w:type="fixed"/>
        <w:tblCellMar>
          <w:top w:w="0" w:type="dxa"/>
          <w:left w:w="0" w:type="dxa"/>
          <w:bottom w:w="0" w:type="dxa"/>
          <w:right w:w="0" w:type="dxa"/>
        </w:tblCellMar>
      </w:tblPr>
      <w:tblGrid>
        <w:gridCol w:w="75"/>
        <w:gridCol w:w="380"/>
        <w:gridCol w:w="54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4.4.</w:t>
            </w:r>
          </w:p>
        </w:tc>
        <w:tc>
          <w:tcPr>
            <w:tcW w:w="545" w:type="dxa"/>
            <w:tcBorders/>
            <w:vAlign w:val="center"/>
          </w:tcPr>
          <w:p>
            <w:pPr>
              <w:pStyle w:val="TableContents"/>
              <w:bidi w:val="0"/>
              <w:spacing w:before="0" w:after="0"/>
              <w:jc w:val="both"/>
              <w:rPr>
                <w:color w:val="000000"/>
              </w:rPr>
            </w:pPr>
            <w:r>
              <w:rPr>
                <w:color w:val="000000"/>
              </w:rPr>
              <w:t>[***]</w:t>
            </w:r>
            <w:bookmarkStart w:id="323" w:name="bookmarkid.17dp8vu"/>
            <w:bookmarkEnd w:id="323"/>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4" w:name="z9be9bba046074b879461c9a481cc2d6f"/>
      <w:bookmarkStart w:id="325" w:name="z9be9bba046074b879461c9a481cc2d6f"/>
      <w:bookmarkEnd w:id="325"/>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bookmarkStart w:id="326" w:name="bookmarkid.3rdcrjn"/>
            <w:bookmarkEnd w:id="326"/>
            <w:r>
              <w:rPr/>
              <w:t>5.</w:t>
            </w:r>
          </w:p>
        </w:tc>
        <w:tc>
          <w:tcPr>
            <w:tcW w:w="10029" w:type="dxa"/>
            <w:tcBorders/>
            <w:vAlign w:val="center"/>
          </w:tcPr>
          <w:p>
            <w:pPr>
              <w:pStyle w:val="TableContents"/>
              <w:bidi w:val="0"/>
              <w:spacing w:before="0" w:after="0"/>
              <w:jc w:val="both"/>
              <w:rPr>
                <w:color w:val="000000"/>
              </w:rPr>
            </w:pPr>
            <w:r>
              <w:rPr>
                <w:color w:val="000000"/>
                <w:u w:val="single"/>
              </w:rPr>
              <w:t>Term</w:t>
            </w:r>
            <w:r>
              <w:rPr>
                <w:color w:val="000000"/>
              </w:rPr>
              <w:t>. This Addendum shall remain in effect until terminated by the Parties upon at least 30 days’ written notice. This Addendum may be terminated separately from the Agreement and termination of this Addendum shall have no impact upon the term of the Agreement.</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i/>
          <w:color w:val="4F81BC"/>
          <w:sz w:val="20"/>
        </w:rPr>
      </w:pPr>
      <w:r>
        <w:rPr>
          <w:rFonts w:ascii="Times New Roman" w:hAnsi="Times New Roman"/>
          <w:b/>
          <w:i/>
          <w:color w:val="4F81BC"/>
          <w:sz w:val="20"/>
        </w:rPr>
        <w:t>The rest of this page left intentionally blank</w:t>
      </w:r>
    </w:p>
    <w:p>
      <w:pPr>
        <w:pStyle w:val="TextBody"/>
        <w:bidi w:val="0"/>
        <w:spacing w:before="0" w:after="0"/>
        <w:ind w:left="3236" w:right="0" w:firstLine="363"/>
        <w:jc w:val="left"/>
        <w:rPr>
          <w:b/>
          <w:i/>
          <w:color w:val="4F81BC"/>
        </w:rPr>
      </w:pPr>
      <w:r>
        <w:rPr>
          <w:b/>
          <w:i/>
          <w:color w:val="4F81BC"/>
        </w:rPr>
      </w:r>
    </w:p>
    <w:p>
      <w:pPr>
        <w:pStyle w:val="HorizontalLine"/>
        <w:pBdr>
          <w:bottom w:val="single" w:sz="12" w:space="0" w:color="808080"/>
        </w:pBdr>
        <w:bidi w:val="0"/>
        <w:spacing w:before="200" w:after="200"/>
        <w:jc w:val="left"/>
        <w:rPr/>
      </w:pPr>
      <w:r>
        <w:rPr/>
      </w:r>
    </w:p>
    <w:p>
      <w:pPr>
        <w:pStyle w:val="TextBody"/>
        <w:bidi w:val="0"/>
        <w:spacing w:before="0" w:after="0"/>
        <w:ind w:left="140" w:right="0" w:hanging="0"/>
        <w:jc w:val="left"/>
        <w:rPr>
          <w:rFonts w:ascii="Times New Roman" w:hAnsi="Times New Roman"/>
          <w:color w:val="000000"/>
          <w:sz w:val="20"/>
        </w:rPr>
      </w:pPr>
      <w:r>
        <w:rPr>
          <w:rFonts w:ascii="Times New Roman" w:hAnsi="Times New Roman"/>
          <w:color w:val="000000"/>
          <w:sz w:val="20"/>
        </w:rPr>
        <w:t>IN WITNESS WHEREOF, the Parties hereto, have executed this Addendum as of the Addendum Effective 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7" w:name="zbc247ba93a654a72a6605bda5b581439"/>
      <w:bookmarkStart w:id="328" w:name="zbc247ba93a654a72a6605bda5b581439"/>
      <w:bookmarkEnd w:id="328"/>
    </w:p>
    <w:tbl>
      <w:tblPr>
        <w:tblW w:w="6985" w:type="dxa"/>
        <w:jc w:val="left"/>
        <w:tblInd w:w="0" w:type="dxa"/>
        <w:tblLayout w:type="fixed"/>
        <w:tblCellMar>
          <w:top w:w="0" w:type="dxa"/>
          <w:left w:w="0" w:type="dxa"/>
          <w:bottom w:w="0" w:type="dxa"/>
          <w:right w:w="0" w:type="dxa"/>
        </w:tblCellMar>
      </w:tblPr>
      <w:tblGrid>
        <w:gridCol w:w="3230"/>
        <w:gridCol w:w="3755"/>
      </w:tblGrid>
      <w:tr>
        <w:trPr/>
        <w:tc>
          <w:tcPr>
            <w:tcW w:w="3230" w:type="dxa"/>
            <w:tcBorders/>
            <w:vAlign w:val="center"/>
          </w:tcPr>
          <w:p>
            <w:pPr>
              <w:pStyle w:val="TableContents"/>
              <w:bidi w:val="0"/>
              <w:spacing w:before="0" w:after="0"/>
              <w:jc w:val="left"/>
              <w:rPr>
                <w:b/>
              </w:rPr>
            </w:pPr>
            <w:r>
              <w:rPr>
                <w:b/>
              </w:rPr>
              <w:t>Yahoo Inc.</w:t>
            </w:r>
          </w:p>
        </w:tc>
        <w:tc>
          <w:tcPr>
            <w:tcW w:w="3755" w:type="dxa"/>
            <w:tcBorders/>
            <w:vAlign w:val="center"/>
          </w:tcPr>
          <w:p>
            <w:pPr>
              <w:pStyle w:val="TableContents"/>
              <w:bidi w:val="0"/>
              <w:spacing w:before="0" w:after="0"/>
              <w:jc w:val="left"/>
              <w:rPr>
                <w:b/>
              </w:rPr>
            </w:pPr>
            <w:r>
              <w:rPr>
                <w:b/>
              </w:rPr>
              <w:t>Taboola, Inc.</w:t>
            </w:r>
          </w:p>
        </w:tc>
      </w:tr>
      <w:tr>
        <w:trPr/>
        <w:tc>
          <w:tcPr>
            <w:tcW w:w="3230" w:type="dxa"/>
            <w:tcBorders/>
            <w:vAlign w:val="center"/>
          </w:tcPr>
          <w:p>
            <w:pPr>
              <w:pStyle w:val="TableContents"/>
              <w:bidi w:val="0"/>
              <w:spacing w:before="0" w:after="0"/>
              <w:jc w:val="left"/>
              <w:rPr/>
            </w:pPr>
            <w:r>
              <w:rPr/>
              <w:t xml:space="preserve">By: </w:t>
            </w:r>
            <w:r>
              <w:rPr>
                <w:u w:val="single"/>
              </w:rPr>
              <w:t>/s/ Matt Sanchez</w:t>
            </w:r>
          </w:p>
        </w:tc>
        <w:tc>
          <w:tcPr>
            <w:tcW w:w="3755" w:type="dxa"/>
            <w:tcBorders/>
            <w:vAlign w:val="center"/>
          </w:tcPr>
          <w:p>
            <w:pPr>
              <w:pStyle w:val="TableContents"/>
              <w:bidi w:val="0"/>
              <w:spacing w:before="0" w:after="0"/>
              <w:jc w:val="left"/>
              <w:rPr/>
            </w:pPr>
            <w:r>
              <w:rPr/>
              <w:t xml:space="preserve">By: </w:t>
            </w:r>
            <w:r>
              <w:rPr>
                <w:u w:val="single"/>
              </w:rPr>
              <w:t>/s/ James Arthur</w:t>
            </w:r>
          </w:p>
        </w:tc>
      </w:tr>
      <w:tr>
        <w:trPr/>
        <w:tc>
          <w:tcPr>
            <w:tcW w:w="3230" w:type="dxa"/>
            <w:tcBorders/>
            <w:vAlign w:val="center"/>
          </w:tcPr>
          <w:p>
            <w:pPr>
              <w:pStyle w:val="TableContents"/>
              <w:bidi w:val="0"/>
              <w:spacing w:before="0" w:after="0"/>
              <w:jc w:val="left"/>
              <w:rPr/>
            </w:pPr>
            <w:r>
              <w:rPr/>
              <w:t>Name (Print): Matt Sanchez</w:t>
            </w:r>
          </w:p>
        </w:tc>
        <w:tc>
          <w:tcPr>
            <w:tcW w:w="3755" w:type="dxa"/>
            <w:tcBorders/>
            <w:vAlign w:val="center"/>
          </w:tcPr>
          <w:p>
            <w:pPr>
              <w:pStyle w:val="TableContents"/>
              <w:bidi w:val="0"/>
              <w:spacing w:before="0" w:after="0"/>
              <w:jc w:val="left"/>
              <w:rPr/>
            </w:pPr>
            <w:r>
              <w:rPr/>
              <w:t>Name: James Arthur</w:t>
            </w:r>
          </w:p>
        </w:tc>
      </w:tr>
      <w:tr>
        <w:trPr/>
        <w:tc>
          <w:tcPr>
            <w:tcW w:w="3230" w:type="dxa"/>
            <w:tcBorders/>
            <w:vAlign w:val="center"/>
          </w:tcPr>
          <w:p>
            <w:pPr>
              <w:pStyle w:val="TableContents"/>
              <w:bidi w:val="0"/>
              <w:spacing w:before="0" w:after="0"/>
              <w:jc w:val="left"/>
              <w:rPr/>
            </w:pPr>
            <w:r>
              <w:rPr/>
              <w:t>Title: President, Home Ecosystem</w:t>
            </w:r>
          </w:p>
        </w:tc>
        <w:tc>
          <w:tcPr>
            <w:tcW w:w="3755" w:type="dxa"/>
            <w:tcBorders/>
            <w:vAlign w:val="center"/>
          </w:tcPr>
          <w:p>
            <w:pPr>
              <w:pStyle w:val="TableContents"/>
              <w:bidi w:val="0"/>
              <w:spacing w:before="0" w:after="0"/>
              <w:jc w:val="left"/>
              <w:rPr/>
            </w:pPr>
            <w:r>
              <w:rPr/>
              <w:t>Title: VP, Global Strategic Partnerships</w:t>
            </w:r>
          </w:p>
        </w:tc>
      </w:tr>
      <w:tr>
        <w:trPr/>
        <w:tc>
          <w:tcPr>
            <w:tcW w:w="3230" w:type="dxa"/>
            <w:tcBorders/>
            <w:vAlign w:val="center"/>
          </w:tcPr>
          <w:p>
            <w:pPr>
              <w:pStyle w:val="TableContents"/>
              <w:bidi w:val="0"/>
              <w:spacing w:before="0" w:after="0"/>
              <w:jc w:val="left"/>
              <w:rPr/>
            </w:pPr>
            <w:r>
              <w:rPr/>
              <w:t>Date: 9/27/2023</w:t>
            </w:r>
          </w:p>
        </w:tc>
        <w:tc>
          <w:tcPr>
            <w:tcW w:w="3755" w:type="dxa"/>
            <w:tcBorders/>
            <w:vAlign w:val="center"/>
          </w:tcPr>
          <w:p>
            <w:pPr>
              <w:pStyle w:val="TableContents"/>
              <w:bidi w:val="0"/>
              <w:spacing w:before="0" w:after="0"/>
              <w:jc w:val="left"/>
              <w:rPr/>
            </w:pPr>
            <w:r>
              <w:rPr/>
              <w:t>Date: 9/26/2023</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4F81BC"/>
          <w:sz w:val="20"/>
        </w:rPr>
      </w:pPr>
      <w:r>
        <w:rPr>
          <w:rFonts w:ascii="Times New Roman" w:hAnsi="Times New Roman"/>
          <w:b/>
          <w:i/>
          <w:color w:val="4F81BC"/>
          <w:sz w:val="20"/>
        </w:rPr>
        <w:t>Exhibit A</w:t>
      </w:r>
    </w:p>
    <w:p>
      <w:pPr>
        <w:pStyle w:val="TextBody"/>
        <w:bidi w:val="0"/>
        <w:spacing w:before="0" w:after="0"/>
        <w:ind w:left="4" w:right="0" w:hanging="0"/>
        <w:jc w:val="center"/>
        <w:rPr>
          <w:rFonts w:ascii="Times New Roman" w:hAnsi="Times New Roman"/>
          <w:b/>
          <w:i/>
          <w:color w:val="4F81BC"/>
          <w:sz w:val="20"/>
        </w:rPr>
      </w:pPr>
      <w:r>
        <w:rPr>
          <w:rFonts w:ascii="Times New Roman" w:hAnsi="Times New Roman"/>
          <w:b/>
          <w:i/>
          <w:color w:val="4F81BC"/>
          <w:sz w:val="20"/>
        </w:rPr>
        <w:t>Reporting Fields</w:t>
      </w:r>
    </w:p>
    <w:p>
      <w:pPr>
        <w:pStyle w:val="TextBody"/>
        <w:bidi w:val="0"/>
        <w:spacing w:before="0" w:after="0"/>
        <w:ind w:left="4" w:right="0" w:hanging="0"/>
        <w:jc w:val="center"/>
        <w:rPr>
          <w:b/>
          <w:i/>
          <w:color w:val="4F81BC"/>
        </w:rPr>
      </w:pPr>
      <w:r>
        <w:rPr>
          <w:b/>
          <w:i/>
          <w:color w:val="4F81BC"/>
        </w:rPr>
      </w:r>
    </w:p>
    <w:p>
      <w:pPr>
        <w:pStyle w:val="Normal"/>
        <w:bidi w:val="0"/>
        <w:spacing w:before="0" w:after="0"/>
        <w:jc w:val="left"/>
        <w:rPr>
          <w:sz w:val="4"/>
          <w:szCs w:val="4"/>
        </w:rPr>
      </w:pPr>
      <w:r>
        <w:rPr>
          <w:sz w:val="4"/>
          <w:szCs w:val="4"/>
        </w:rPr>
      </w:r>
      <w:bookmarkStart w:id="329" w:name="zd90c52540ae048d7be2f41234299962d"/>
      <w:bookmarkStart w:id="330" w:name="zd90c52540ae048d7be2f41234299962d"/>
      <w:bookmarkEnd w:id="330"/>
    </w:p>
    <w:tbl>
      <w:tblPr>
        <w:tblW w:w="8713" w:type="dxa"/>
        <w:jc w:val="left"/>
        <w:tblInd w:w="-15" w:type="dxa"/>
        <w:tblLayout w:type="fixed"/>
        <w:tblCellMar>
          <w:top w:w="0" w:type="dxa"/>
          <w:left w:w="28" w:type="dxa"/>
          <w:bottom w:w="28" w:type="dxa"/>
          <w:right w:w="28" w:type="dxa"/>
        </w:tblCellMar>
      </w:tblPr>
      <w:tblGrid>
        <w:gridCol w:w="1205"/>
        <w:gridCol w:w="1100"/>
        <w:gridCol w:w="6408"/>
      </w:tblGrid>
      <w:tr>
        <w:trPr/>
        <w:tc>
          <w:tcPr>
            <w:tcW w:w="1205" w:type="dxa"/>
            <w:tcBorders>
              <w:left w:val="single" w:sz="12" w:space="0" w:color="000000"/>
              <w:bottom w:val="single" w:sz="12" w:space="0" w:color="000000"/>
              <w:right w:val="single" w:sz="12" w:space="0" w:color="000000"/>
            </w:tcBorders>
            <w:shd w:fill="C8DAF8" w:val="clear"/>
            <w:vAlign w:val="center"/>
          </w:tcPr>
          <w:p>
            <w:pPr>
              <w:pStyle w:val="TableContents"/>
              <w:bidi w:val="0"/>
              <w:spacing w:before="0" w:after="0"/>
              <w:ind w:left="45" w:right="0" w:hanging="0"/>
              <w:jc w:val="left"/>
              <w:rPr>
                <w:b/>
                <w:color w:val="000000"/>
              </w:rPr>
            </w:pPr>
            <w:r>
              <w:rPr>
                <w:b/>
                <w:color w:val="000000"/>
              </w:rPr>
              <w:t>Field Name</w:t>
            </w:r>
          </w:p>
        </w:tc>
        <w:tc>
          <w:tcPr>
            <w:tcW w:w="1100" w:type="dxa"/>
            <w:tcBorders>
              <w:left w:val="single" w:sz="12" w:space="0" w:color="000000"/>
              <w:bottom w:val="double" w:sz="8" w:space="0" w:color="000000"/>
              <w:right w:val="single" w:sz="12" w:space="0" w:color="000000"/>
            </w:tcBorders>
            <w:shd w:fill="C8DAF8" w:val="clear"/>
            <w:vAlign w:val="center"/>
          </w:tcPr>
          <w:p>
            <w:pPr>
              <w:pStyle w:val="TableContents"/>
              <w:bidi w:val="0"/>
              <w:spacing w:before="0" w:after="0"/>
              <w:ind w:left="45" w:right="0" w:hanging="0"/>
              <w:jc w:val="left"/>
              <w:rPr>
                <w:b/>
                <w:color w:val="000000"/>
              </w:rPr>
            </w:pPr>
            <w:r>
              <w:rPr>
                <w:b/>
                <w:color w:val="000000"/>
              </w:rPr>
              <w:t>Data Type</w:t>
            </w:r>
          </w:p>
        </w:tc>
        <w:tc>
          <w:tcPr>
            <w:tcW w:w="6408" w:type="dxa"/>
            <w:tcBorders>
              <w:left w:val="single" w:sz="12" w:space="0" w:color="000000"/>
              <w:bottom w:val="double" w:sz="8" w:space="0" w:color="000000"/>
              <w:right w:val="single" w:sz="12" w:space="0" w:color="000000"/>
            </w:tcBorders>
            <w:shd w:fill="C8DAF8" w:val="clear"/>
            <w:vAlign w:val="center"/>
          </w:tcPr>
          <w:p>
            <w:pPr>
              <w:pStyle w:val="TableContents"/>
              <w:bidi w:val="0"/>
              <w:spacing w:before="0" w:after="0"/>
              <w:ind w:left="45" w:right="0" w:hanging="0"/>
              <w:jc w:val="left"/>
              <w:rPr>
                <w:b/>
                <w:color w:val="000000"/>
              </w:rPr>
            </w:pPr>
            <w:r>
              <w:rPr>
                <w:b/>
                <w:color w:val="000000"/>
              </w:rPr>
              <w:t>Description</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double" w:sz="8"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F4CCCC"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double" w:sz="8"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FFF1CC"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81"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FFF1CC"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FFF1CC"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double" w:sz="8"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FFF1CC"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81"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FFF1CC"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double" w:sz="8" w:space="0" w:color="000000"/>
              <w:right w:val="single" w:sz="12" w:space="0" w:color="000000"/>
            </w:tcBorders>
            <w:shd w:fill="E8EFFD" w:val="clear"/>
            <w:vAlign w:val="center"/>
          </w:tcPr>
          <w:p>
            <w:pPr>
              <w:pStyle w:val="TableContents"/>
              <w:bidi w:val="0"/>
              <w:spacing w:before="0" w:after="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double" w:sz="8"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shd w:fill="E8EFFD" w:val="clear"/>
            <w:vAlign w:val="center"/>
          </w:tcPr>
          <w:p>
            <w:pPr>
              <w:pStyle w:val="TableContents"/>
              <w:bidi w:val="0"/>
              <w:spacing w:before="0" w:after="0"/>
              <w:jc w:val="left"/>
              <w:rPr>
                <w:color w:val="000000"/>
              </w:rPr>
            </w:pPr>
            <w:r>
              <w:rPr>
                <w:color w:val="000000"/>
              </w:rPr>
              <w:t>[***]</w:t>
            </w:r>
          </w:p>
        </w:tc>
        <w:tc>
          <w:tcPr>
            <w:tcW w:w="6408" w:type="dxa"/>
            <w:tcBorders>
              <w:left w:val="single" w:sz="12" w:space="0" w:color="000000"/>
              <w:bottom w:val="double" w:sz="8"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D9EAD2"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5863" w:hanging="0"/>
              <w:jc w:val="left"/>
              <w:rPr>
                <w:color w:val="000000"/>
              </w:rPr>
            </w:pPr>
            <w:r>
              <w:rPr>
                <w:color w:val="000000"/>
              </w:rPr>
              <w:t>[***]</w:t>
            </w:r>
          </w:p>
        </w:tc>
      </w:tr>
      <w:tr>
        <w:trPr/>
        <w:tc>
          <w:tcPr>
            <w:tcW w:w="1205" w:type="dxa"/>
            <w:tcBorders>
              <w:left w:val="single" w:sz="12" w:space="0" w:color="000000"/>
              <w:bottom w:val="single" w:sz="12" w:space="0" w:color="000000"/>
              <w:right w:val="single" w:sz="12" w:space="0" w:color="000000"/>
            </w:tcBorders>
            <w:shd w:fill="FFF1CC" w:val="clear"/>
            <w:vAlign w:val="center"/>
          </w:tcPr>
          <w:p>
            <w:pPr>
              <w:pStyle w:val="TableContents"/>
              <w:bidi w:val="0"/>
              <w:spacing w:before="0" w:after="0"/>
              <w:ind w:left="45" w:right="0" w:hanging="0"/>
              <w:jc w:val="left"/>
              <w:rPr>
                <w:color w:val="000000"/>
              </w:rPr>
            </w:pPr>
            <w:r>
              <w:rPr>
                <w:color w:val="000000"/>
              </w:rPr>
              <w:t>[***]</w:t>
            </w:r>
          </w:p>
        </w:tc>
        <w:tc>
          <w:tcPr>
            <w:tcW w:w="1100" w:type="dxa"/>
            <w:tcBorders>
              <w:left w:val="single" w:sz="12" w:space="0" w:color="000000"/>
              <w:bottom w:val="single" w:sz="12" w:space="0" w:color="000000"/>
              <w:right w:val="single" w:sz="12" w:space="0" w:color="000000"/>
            </w:tcBorders>
            <w:shd w:fill="E8EFFD" w:val="clear"/>
            <w:vAlign w:val="center"/>
          </w:tcPr>
          <w:p>
            <w:pPr>
              <w:pStyle w:val="TableContents"/>
              <w:bidi w:val="0"/>
              <w:spacing w:before="0" w:after="0"/>
              <w:ind w:left="45" w:right="0" w:hanging="0"/>
              <w:jc w:val="left"/>
              <w:rPr>
                <w:color w:val="000000"/>
              </w:rPr>
            </w:pPr>
            <w:r>
              <w:rPr>
                <w:color w:val="000000"/>
              </w:rPr>
              <w:t>[***]</w:t>
            </w:r>
          </w:p>
        </w:tc>
        <w:tc>
          <w:tcPr>
            <w:tcW w:w="6408" w:type="dxa"/>
            <w:tcBorders>
              <w:left w:val="single" w:sz="12" w:space="0" w:color="000000"/>
              <w:bottom w:val="single" w:sz="12" w:space="0" w:color="000000"/>
              <w:right w:val="single" w:sz="12" w:space="0" w:color="000000"/>
            </w:tcBorders>
            <w:shd w:fill="E8EFFD" w:val="clear"/>
            <w:vAlign w:val="center"/>
          </w:tcPr>
          <w:p>
            <w:pPr>
              <w:pStyle w:val="TableContents"/>
              <w:bidi w:val="0"/>
              <w:spacing w:before="0" w:after="0"/>
              <w:ind w:left="45" w:right="3122" w:hanging="0"/>
              <w:jc w:val="left"/>
              <w:rPr>
                <w:color w:val="000000"/>
              </w:rPr>
            </w:pPr>
            <w:r>
              <w:rPr>
                <w:color w:val="000000"/>
              </w:rPr>
              <w:t>[***]</w:t>
            </w:r>
          </w:p>
        </w:tc>
      </w:tr>
    </w:tbl>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brackets [***], has been omitted pursuant to Item 601(b)(10)(iv) of Regulation S-K.</w:t>
      </w:r>
    </w:p>
    <w:p>
      <w:pPr>
        <w:pStyle w:val="TextBody"/>
        <w:bidi w:val="0"/>
        <w:spacing w:before="0" w:after="0"/>
        <w:jc w:val="left"/>
        <w:rPr/>
      </w:pPr>
      <w:r>
        <w:rPr/>
      </w:r>
    </w:p>
    <w:p>
      <w:pPr>
        <w:pStyle w:val="TextBody"/>
        <w:bidi w:val="0"/>
        <w:spacing w:before="0" w:after="0"/>
        <w:ind w:left="251" w:right="0" w:hanging="0"/>
        <w:jc w:val="left"/>
        <w:rPr>
          <w:color w:val="000000"/>
        </w:rPr>
      </w:pPr>
      <w:r>
        <w:rPr>
          <w:color w:val="000000"/>
        </w:rPr>
        <w:drawing>
          <wp:inline distT="0" distB="0" distL="0" distR="0">
            <wp:extent cx="1695450"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95450" cy="46672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i/>
          <w:color w:val="538DD3"/>
          <w:sz w:val="20"/>
        </w:rPr>
      </w:pPr>
      <w:bookmarkStart w:id="331" w:name="bookmarkid.gjdgxs"/>
      <w:bookmarkEnd w:id="331"/>
      <w:r>
        <w:rPr>
          <w:rFonts w:ascii="Times New Roman" w:hAnsi="Times New Roman"/>
          <w:b/>
          <w:i/>
          <w:color w:val="538DD3"/>
          <w:sz w:val="20"/>
        </w:rPr>
        <w:t>Payment, Data and Security Amendment</w:t>
      </w:r>
    </w:p>
    <w:p>
      <w:pPr>
        <w:pStyle w:val="TextBody"/>
        <w:bidi w:val="0"/>
        <w:spacing w:before="0" w:after="0"/>
        <w:ind w:left="1996" w:right="1994" w:firstLine="1996"/>
        <w:jc w:val="left"/>
        <w:rPr>
          <w:b/>
          <w:i/>
          <w:color w:val="538DD3"/>
          <w:sz w:val="20"/>
        </w:rPr>
      </w:pPr>
      <w:r>
        <w:rPr>
          <w:b/>
          <w:i/>
          <w:color w:val="538DD3"/>
          <w:sz w:val="20"/>
        </w:rPr>
      </w:r>
    </w:p>
    <w:p>
      <w:pPr>
        <w:pStyle w:val="TextBody"/>
        <w:bidi w:val="0"/>
        <w:spacing w:before="0" w:after="0"/>
        <w:ind w:left="140" w:right="133" w:hanging="0"/>
        <w:jc w:val="both"/>
        <w:rPr>
          <w:rFonts w:ascii="Times New Roman" w:hAnsi="Times New Roman"/>
          <w:color w:val="000000"/>
          <w:sz w:val="20"/>
        </w:rPr>
      </w:pPr>
      <w:r>
        <w:rPr>
          <w:rFonts w:ascii="Times New Roman" w:hAnsi="Times New Roman"/>
          <w:color w:val="000000"/>
          <w:sz w:val="20"/>
        </w:rPr>
        <w:t>This Amendment (this “</w:t>
      </w:r>
      <w:r>
        <w:rPr>
          <w:rFonts w:ascii="Times New Roman" w:hAnsi="Times New Roman"/>
          <w:b/>
          <w:color w:val="000000"/>
          <w:sz w:val="20"/>
          <w:u w:val="single"/>
        </w:rPr>
        <w:t>Amendment</w:t>
      </w:r>
      <w:r>
        <w:rPr>
          <w:rFonts w:ascii="Times New Roman" w:hAnsi="Times New Roman"/>
          <w:color w:val="000000"/>
          <w:sz w:val="20"/>
        </w:rPr>
        <w:t>”) modifies the Digital Property and Demand Services Agreement dated November 28, 2022 between Taboola, Inc. (“</w:t>
      </w:r>
      <w:r>
        <w:rPr>
          <w:rFonts w:ascii="Times New Roman" w:hAnsi="Times New Roman"/>
          <w:b/>
          <w:color w:val="000000"/>
          <w:sz w:val="20"/>
          <w:u w:val="single"/>
        </w:rPr>
        <w:t>Taboola</w:t>
      </w:r>
      <w:r>
        <w:rPr>
          <w:rFonts w:ascii="Times New Roman" w:hAnsi="Times New Roman"/>
          <w:color w:val="000000"/>
          <w:sz w:val="20"/>
        </w:rPr>
        <w:t>”) and Yahoo Inc. and its Affiliates (“</w:t>
      </w:r>
      <w:r>
        <w:rPr>
          <w:rFonts w:ascii="Times New Roman" w:hAnsi="Times New Roman"/>
          <w:b/>
          <w:color w:val="000000"/>
          <w:sz w:val="20"/>
          <w:u w:val="single"/>
        </w:rPr>
        <w:t>Yahoo</w:t>
      </w:r>
      <w:r>
        <w:rPr>
          <w:rFonts w:ascii="Times New Roman" w:hAnsi="Times New Roman"/>
          <w:color w:val="000000"/>
          <w:sz w:val="20"/>
        </w:rPr>
        <w:t>” or “</w:t>
      </w:r>
      <w:r>
        <w:rPr>
          <w:rFonts w:ascii="Times New Roman" w:hAnsi="Times New Roman"/>
          <w:b/>
          <w:color w:val="000000"/>
          <w:sz w:val="20"/>
          <w:u w:val="single"/>
        </w:rPr>
        <w:t>Company</w:t>
      </w:r>
      <w:r>
        <w:rPr>
          <w:rFonts w:ascii="Times New Roman" w:hAnsi="Times New Roman"/>
          <w:color w:val="000000"/>
          <w:sz w:val="20"/>
        </w:rPr>
        <w:t>”) (the “</w:t>
      </w:r>
      <w:r>
        <w:rPr>
          <w:rFonts w:ascii="Times New Roman" w:hAnsi="Times New Roman"/>
          <w:b/>
          <w:color w:val="000000"/>
          <w:sz w:val="20"/>
          <w:u w:val="single"/>
        </w:rPr>
        <w:t>Agreement</w:t>
      </w:r>
      <w:r>
        <w:rPr>
          <w:rFonts w:ascii="Times New Roman" w:hAnsi="Times New Roman"/>
          <w:color w:val="000000"/>
          <w:sz w:val="20"/>
        </w:rPr>
        <w:t>”). This Amendment is made and effective as of July 14, 2023 (the “</w:t>
      </w:r>
      <w:r>
        <w:rPr>
          <w:rFonts w:ascii="Times New Roman" w:hAnsi="Times New Roman"/>
          <w:b/>
          <w:color w:val="000000"/>
          <w:sz w:val="20"/>
          <w:u w:val="single"/>
        </w:rPr>
        <w:t>Amendment Effective Date</w:t>
      </w:r>
      <w:r>
        <w:rPr>
          <w:rFonts w:ascii="Times New Roman" w:hAnsi="Times New Roman"/>
          <w:color w:val="000000"/>
          <w:sz w:val="20"/>
        </w:rPr>
        <w:t>”) and continues so long as the Agreement remains in effect. Yahoo and Taboola may each be referred to as a “</w:t>
      </w:r>
      <w:r>
        <w:rPr>
          <w:rFonts w:ascii="Times New Roman" w:hAnsi="Times New Roman"/>
          <w:b/>
          <w:color w:val="000000"/>
          <w:sz w:val="20"/>
          <w:u w:val="single"/>
        </w:rPr>
        <w:t>Party</w:t>
      </w:r>
      <w:r>
        <w:rPr>
          <w:rFonts w:ascii="Times New Roman" w:hAnsi="Times New Roman"/>
          <w:color w:val="000000"/>
          <w:sz w:val="20"/>
        </w:rPr>
        <w:t>” or collectively as the “</w:t>
      </w:r>
      <w:r>
        <w:rPr>
          <w:rFonts w:ascii="Times New Roman" w:hAnsi="Times New Roman"/>
          <w:b/>
          <w:color w:val="000000"/>
          <w:sz w:val="20"/>
          <w:u w:val="single"/>
        </w:rPr>
        <w:t>Parties</w:t>
      </w:r>
      <w:r>
        <w:rPr>
          <w:rFonts w:ascii="Times New Roman" w:hAnsi="Times New Roman"/>
          <w:color w:val="000000"/>
          <w:sz w:val="20"/>
        </w:rPr>
        <w:t>”.</w:t>
      </w:r>
    </w:p>
    <w:p>
      <w:pPr>
        <w:pStyle w:val="TextBody"/>
        <w:bidi w:val="0"/>
        <w:spacing w:before="0" w:after="0"/>
        <w:ind w:left="140" w:right="133" w:hanging="0"/>
        <w:jc w:val="both"/>
        <w:rPr>
          <w:color w:val="000000"/>
        </w:rPr>
      </w:pPr>
      <w:r>
        <w:rPr>
          <w:color w:val="000000"/>
        </w:rPr>
      </w:r>
    </w:p>
    <w:p>
      <w:pPr>
        <w:pStyle w:val="TextBody"/>
        <w:bidi w:val="0"/>
        <w:spacing w:before="0" w:after="0"/>
        <w:ind w:left="140" w:right="132" w:hanging="0"/>
        <w:jc w:val="both"/>
        <w:rPr>
          <w:rFonts w:ascii="Times New Roman" w:hAnsi="Times New Roman"/>
          <w:color w:val="000000"/>
          <w:sz w:val="20"/>
        </w:rPr>
      </w:pPr>
      <w:r>
        <w:rPr>
          <w:rFonts w:ascii="Times New Roman" w:hAnsi="Times New Roman"/>
          <w:color w:val="000000"/>
          <w:sz w:val="20"/>
        </w:rPr>
        <w:t>This Amendment governs: (a) Yahoo’s payment obligations to Taboola for the Omnichannel Advertisers’ purchase of Native Advertisements through the UCAM/Taboola Interface, and (b) Taboola’s use and protection of certain data of certain Omnichannel Advertisers passed to Taboola by Yahoo. This Amendment shall, upon acceptance by Taboola and Yahoo, become an Amendment to the Agreement. Capitalized terms used herein and not otherwise defined shall have the meaning ascribed to them in the Agreement. In the event of any inconsistency between the terms of this Amendment and the Agreement, the terms of this Amendment shall prevail.</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2" w:name="z2f6534cd17c24ea4aff8aa0bdb324740"/>
      <w:bookmarkStart w:id="333" w:name="z2f6534cd17c24ea4aff8aa0bdb324740"/>
      <w:bookmarkEnd w:id="333"/>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bookmarkStart w:id="334" w:name="z_headingh.1fob9te"/>
            <w:bookmarkStart w:id="335" w:name="bookmarkid.30j0zll1"/>
            <w:bookmarkEnd w:id="334"/>
            <w:bookmarkEnd w:id="335"/>
            <w:r>
              <w:rPr/>
              <w:t>1.</w:t>
            </w:r>
          </w:p>
        </w:tc>
        <w:tc>
          <w:tcPr>
            <w:tcW w:w="10025" w:type="dxa"/>
            <w:tcBorders/>
            <w:vAlign w:val="center"/>
          </w:tcPr>
          <w:p>
            <w:pPr>
              <w:pStyle w:val="TableContents"/>
              <w:bidi w:val="0"/>
              <w:spacing w:before="0" w:after="0"/>
              <w:jc w:val="both"/>
              <w:rPr>
                <w:color w:val="000000"/>
              </w:rPr>
            </w:pPr>
            <w:r>
              <w:rPr>
                <w:color w:val="000000"/>
              </w:rPr>
              <w:t>With effect from the Amendment Effective Date, Taboola’s affiliate Taboola.com Ltd. shall be added as a party to the Agreement, as amended hereby. For purposes of the Agreement, “Taboola” shall also refer to Taboola.com Ltd.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6" w:name="z77f321dfd2554686b2b34a27b6b1b7e7"/>
      <w:bookmarkStart w:id="337" w:name="z77f321dfd2554686b2b34a27b6b1b7e7"/>
      <w:bookmarkEnd w:id="337"/>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bookmarkStart w:id="338" w:name="bookmarkid.3znysh71"/>
            <w:bookmarkEnd w:id="338"/>
            <w:r>
              <w:rPr/>
              <w:t>2.</w:t>
            </w:r>
          </w:p>
        </w:tc>
        <w:tc>
          <w:tcPr>
            <w:tcW w:w="10036" w:type="dxa"/>
            <w:tcBorders/>
            <w:vAlign w:val="center"/>
          </w:tcPr>
          <w:p>
            <w:pPr>
              <w:pStyle w:val="TableContents"/>
              <w:bidi w:val="0"/>
              <w:spacing w:before="0" w:after="0"/>
              <w:jc w:val="both"/>
              <w:rPr/>
            </w:pPr>
            <w:r>
              <w:rPr>
                <w:color w:val="000000"/>
                <w:u w:val="single"/>
              </w:rPr>
              <w:t>Data Usage</w:t>
            </w:r>
            <w:r>
              <w:rPr>
                <w:color w:val="000000"/>
              </w:rPr>
              <w:t>. Yahoo receives data from its Company Advertisers under Yahoo’s current Pixel and Custom Audience policy, attached hereto in Exhibit A (the “</w:t>
            </w:r>
            <w:r>
              <w:rPr>
                <w:b/>
                <w:color w:val="000000"/>
                <w:u w:val="single"/>
              </w:rPr>
              <w:t>Pixel Policy</w:t>
            </w:r>
            <w:r>
              <w:rPr>
                <w:color w:val="000000"/>
              </w:rPr>
              <w:t>”), which Yahoo may update from time to time upon written notice to Taboola (email to suffice). [***]. The Pixel Policy defines two types of data received by Yahoo from its Company Advertisers: Code Data and Audience Data.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9" w:name="z757729c05b8b4b1b800cd461feae581b"/>
      <w:bookmarkStart w:id="340" w:name="z757729c05b8b4b1b800cd461feae581b"/>
      <w:bookmarkEnd w:id="340"/>
    </w:p>
    <w:tbl>
      <w:tblPr>
        <w:tblW w:w="10205" w:type="dxa"/>
        <w:jc w:val="left"/>
        <w:tblInd w:w="0" w:type="dxa"/>
        <w:tblLayout w:type="fixed"/>
        <w:tblCellMar>
          <w:top w:w="0" w:type="dxa"/>
          <w:left w:w="0" w:type="dxa"/>
          <w:bottom w:w="0" w:type="dxa"/>
          <w:right w:w="0" w:type="dxa"/>
        </w:tblCellMar>
      </w:tblPr>
      <w:tblGrid>
        <w:gridCol w:w="38"/>
        <w:gridCol w:w="362"/>
        <w:gridCol w:w="9805"/>
      </w:tblGrid>
      <w:tr>
        <w:trPr/>
        <w:tc>
          <w:tcPr>
            <w:tcW w:w="38" w:type="dxa"/>
            <w:tcBorders/>
            <w:vAlign w:val="center"/>
          </w:tcPr>
          <w:p>
            <w:pPr>
              <w:pStyle w:val="TableContents"/>
              <w:bidi w:val="0"/>
              <w:spacing w:before="0" w:after="283"/>
              <w:jc w:val="left"/>
              <w:rPr/>
            </w:pPr>
            <w:r>
              <w:rPr/>
            </w:r>
          </w:p>
        </w:tc>
        <w:tc>
          <w:tcPr>
            <w:tcW w:w="362" w:type="dxa"/>
            <w:tcBorders/>
            <w:vAlign w:val="center"/>
          </w:tcPr>
          <w:p>
            <w:pPr>
              <w:pStyle w:val="TableContents"/>
              <w:bidi w:val="0"/>
              <w:spacing w:before="0" w:after="283"/>
              <w:jc w:val="left"/>
              <w:rPr/>
            </w:pPr>
            <w:bookmarkStart w:id="341" w:name="bookmarkid.2et92p0"/>
            <w:bookmarkEnd w:id="341"/>
            <w:r>
              <w:rPr/>
              <w:t>2.1.</w:t>
            </w:r>
          </w:p>
        </w:tc>
        <w:tc>
          <w:tcPr>
            <w:tcW w:w="9805" w:type="dxa"/>
            <w:tcBorders/>
            <w:vAlign w:val="center"/>
          </w:tcPr>
          <w:p>
            <w:pPr>
              <w:pStyle w:val="TableContents"/>
              <w:bidi w:val="0"/>
              <w:spacing w:before="0" w:after="0"/>
              <w:jc w:val="both"/>
              <w:rPr>
                <w:color w:val="000000"/>
              </w:rPr>
            </w:pPr>
            <w:r>
              <w:rPr>
                <w:color w:val="000000"/>
                <w:u w:val="single"/>
              </w:rPr>
              <w:t>General Use Cases</w:t>
            </w:r>
            <w:r>
              <w:rPr>
                <w:color w:val="000000"/>
              </w:rPr>
              <w:t>. Audience Data (as defined in the Pixel Policy) is the same as Advertiser First Party Data defined in the Agreement.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2" w:name="z1087958a03274880b242076f6f4289c8"/>
      <w:bookmarkStart w:id="343" w:name="z1087958a03274880b242076f6f4289c8"/>
      <w:bookmarkEnd w:id="343"/>
    </w:p>
    <w:tbl>
      <w:tblPr>
        <w:tblW w:w="2823" w:type="dxa"/>
        <w:jc w:val="left"/>
        <w:tblInd w:w="0" w:type="dxa"/>
        <w:tblLayout w:type="fixed"/>
        <w:tblCellMar>
          <w:top w:w="0" w:type="dxa"/>
          <w:left w:w="0" w:type="dxa"/>
          <w:bottom w:w="0" w:type="dxa"/>
          <w:right w:w="0" w:type="dxa"/>
        </w:tblCellMar>
      </w:tblPr>
      <w:tblGrid>
        <w:gridCol w:w="38"/>
        <w:gridCol w:w="380"/>
        <w:gridCol w:w="240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bookmarkStart w:id="344" w:name="bookmarkid.tyjcwt1"/>
            <w:bookmarkEnd w:id="344"/>
            <w:r>
              <w:rPr/>
              <w:t>2.2.</w:t>
            </w:r>
          </w:p>
        </w:tc>
        <w:tc>
          <w:tcPr>
            <w:tcW w:w="2405" w:type="dxa"/>
            <w:tcBorders/>
            <w:vAlign w:val="center"/>
          </w:tcPr>
          <w:p>
            <w:pPr>
              <w:pStyle w:val="TableContents"/>
              <w:bidi w:val="0"/>
              <w:spacing w:before="0" w:after="0"/>
              <w:jc w:val="both"/>
              <w:rPr/>
            </w:pPr>
            <w:r>
              <w:rPr>
                <w:color w:val="000000"/>
                <w:u w:val="single"/>
              </w:rPr>
              <w:t>Special Use Cases</w:t>
            </w:r>
            <w:r>
              <w:rPr>
                <w:color w:val="000000"/>
              </w:rPr>
              <w:t>.</w:t>
            </w:r>
            <w:r>
              <w:rPr/>
              <w:t> </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5" w:name="z848219488b35454cb326058ac1585bf1"/>
      <w:bookmarkStart w:id="346" w:name="z848219488b35454cb326058ac1585bf1"/>
      <w:bookmarkEnd w:id="346"/>
    </w:p>
    <w:tbl>
      <w:tblPr>
        <w:tblW w:w="2568" w:type="dxa"/>
        <w:jc w:val="left"/>
        <w:tblInd w:w="0" w:type="dxa"/>
        <w:tblLayout w:type="fixed"/>
        <w:tblCellMar>
          <w:top w:w="0" w:type="dxa"/>
          <w:left w:w="0" w:type="dxa"/>
          <w:bottom w:w="0" w:type="dxa"/>
          <w:right w:w="0" w:type="dxa"/>
        </w:tblCellMar>
      </w:tblPr>
      <w:tblGrid>
        <w:gridCol w:w="38"/>
        <w:gridCol w:w="380"/>
        <w:gridCol w:w="215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bookmarkStart w:id="347" w:name="bookmarkid.3dy6vkm1"/>
            <w:bookmarkEnd w:id="347"/>
            <w:r>
              <w:rPr/>
              <w:t>2.3.</w:t>
            </w:r>
          </w:p>
        </w:tc>
        <w:tc>
          <w:tcPr>
            <w:tcW w:w="2150" w:type="dxa"/>
            <w:tcBorders/>
            <w:vAlign w:val="center"/>
          </w:tcPr>
          <w:p>
            <w:pPr>
              <w:pStyle w:val="TableContents"/>
              <w:bidi w:val="0"/>
              <w:spacing w:before="0" w:after="0"/>
              <w:jc w:val="both"/>
              <w:rPr>
                <w:color w:val="000000"/>
              </w:rPr>
            </w:pPr>
            <w:r>
              <w:rPr>
                <w:color w:val="000000"/>
                <w:u w:val="single"/>
              </w:rPr>
              <w:t>Campaign Data</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8" w:name="zffb34a256a4a466cbc4084719e01fbd9"/>
      <w:bookmarkStart w:id="349" w:name="zffb34a256a4a466cbc4084719e01fbd9"/>
      <w:bookmarkEnd w:id="349"/>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bookmarkStart w:id="350" w:name="z_headingh.4d34og81"/>
            <w:bookmarkStart w:id="351" w:name="bookmarkid.1t3h5sf1"/>
            <w:bookmarkEnd w:id="350"/>
            <w:bookmarkEnd w:id="351"/>
            <w:r>
              <w:rPr/>
              <w:t>3.</w:t>
            </w:r>
          </w:p>
        </w:tc>
        <w:tc>
          <w:tcPr>
            <w:tcW w:w="10031" w:type="dxa"/>
            <w:tcBorders/>
            <w:vAlign w:val="center"/>
          </w:tcPr>
          <w:p>
            <w:pPr>
              <w:pStyle w:val="TableContents"/>
              <w:bidi w:val="0"/>
              <w:spacing w:before="0" w:after="0"/>
              <w:jc w:val="both"/>
              <w:rPr/>
            </w:pPr>
            <w:r>
              <w:rPr>
                <w:color w:val="000000"/>
                <w:u w:val="single"/>
              </w:rPr>
              <w:t>Data Security</w:t>
            </w:r>
            <w:r>
              <w:rPr>
                <w:color w:val="000000"/>
              </w:rPr>
              <w:t>.  Taboola represents and warrants that it shall treat the Code Data and Audience Data of Omnichannel Advertisers, whether received from or through Yahoo or directly from Omnichannel Advertisers, in a</w:t>
            </w:r>
            <w:r>
              <w:rPr/>
              <w:t xml:space="preserve"> m</w:t>
            </w:r>
            <w:r>
              <w:rPr>
                <w:color w:val="000000"/>
              </w:rPr>
              <w:t>anner consistent with Taboola’s obligations in Appendix I of the Agreement.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2" w:name="z05cd6b0163ba43cf94085862ef713a22"/>
      <w:bookmarkStart w:id="353" w:name="z05cd6b0163ba43cf94085862ef713a22"/>
      <w:bookmarkEnd w:id="353"/>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bookmarkStart w:id="354" w:name="bookmarkid.2s8eyo11"/>
            <w:bookmarkEnd w:id="354"/>
            <w:r>
              <w:rPr/>
              <w:t>4.</w:t>
            </w:r>
          </w:p>
        </w:tc>
        <w:tc>
          <w:tcPr>
            <w:tcW w:w="10024" w:type="dxa"/>
            <w:tcBorders/>
            <w:vAlign w:val="center"/>
          </w:tcPr>
          <w:p>
            <w:pPr>
              <w:pStyle w:val="TableContents"/>
              <w:bidi w:val="0"/>
              <w:spacing w:before="0" w:after="0"/>
              <w:jc w:val="both"/>
              <w:rPr/>
            </w:pPr>
            <w:r>
              <w:rPr>
                <w:color w:val="000000"/>
                <w:u w:val="single"/>
              </w:rPr>
              <w:t>Disclosures to Omnichannel Advertisers</w:t>
            </w:r>
            <w:r>
              <w:rPr>
                <w:color w:val="000000"/>
              </w:rPr>
              <w:t xml:space="preserve">.  Taboola shall allow Yahoo to convey assurances consistent with Taboola’s obligations in Sections </w:t>
            </w:r>
            <w:hyperlink w:anchor="z_headingh.1fob9te">
              <w:r>
                <w:rPr>
                  <w:rStyle w:val="InternetLink"/>
                </w:rPr>
                <w:t>1</w:t>
              </w:r>
            </w:hyperlink>
            <w:r>
              <w:rPr>
                <w:color w:val="000000"/>
              </w:rPr>
              <w:t xml:space="preserve"> and </w:t>
            </w:r>
            <w:hyperlink w:anchor="z_headingh.4d34og8">
              <w:r>
                <w:rPr>
                  <w:rStyle w:val="InternetLink"/>
                </w:rPr>
                <w:t>3 above</w:t>
              </w:r>
            </w:hyperlink>
            <w:r>
              <w:rPr>
                <w:color w:val="000000"/>
              </w:rPr>
              <w:t xml:space="preserve"> to Omnichannel Advertisers or potential Omnichannel Advertisers.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5" w:name="z37fc0793555843e3b4bcc1f1fc518185"/>
      <w:bookmarkStart w:id="356" w:name="z37fc0793555843e3b4bcc1f1fc518185"/>
      <w:bookmarkEnd w:id="356"/>
    </w:p>
    <w:tbl>
      <w:tblPr>
        <w:tblW w:w="1855" w:type="dxa"/>
        <w:jc w:val="left"/>
        <w:tblInd w:w="0" w:type="dxa"/>
        <w:tblLayout w:type="fixed"/>
        <w:tblCellMar>
          <w:top w:w="0" w:type="dxa"/>
          <w:left w:w="0" w:type="dxa"/>
          <w:bottom w:w="0" w:type="dxa"/>
          <w:right w:w="0" w:type="dxa"/>
        </w:tblCellMar>
      </w:tblPr>
      <w:tblGrid>
        <w:gridCol w:w="215"/>
        <w:gridCol w:w="1640"/>
      </w:tblGrid>
      <w:tr>
        <w:trPr/>
        <w:tc>
          <w:tcPr>
            <w:tcW w:w="215" w:type="dxa"/>
            <w:tcBorders/>
            <w:vAlign w:val="center"/>
          </w:tcPr>
          <w:p>
            <w:pPr>
              <w:pStyle w:val="TableContents"/>
              <w:bidi w:val="0"/>
              <w:spacing w:before="0" w:after="283"/>
              <w:jc w:val="left"/>
              <w:rPr/>
            </w:pPr>
            <w:bookmarkStart w:id="357" w:name="bookmarkid.17dp8vu1"/>
            <w:bookmarkEnd w:id="357"/>
            <w:r>
              <w:rPr/>
              <w:t>5.</w:t>
            </w:r>
          </w:p>
        </w:tc>
        <w:tc>
          <w:tcPr>
            <w:tcW w:w="1640" w:type="dxa"/>
            <w:tcBorders/>
            <w:vAlign w:val="center"/>
          </w:tcPr>
          <w:p>
            <w:pPr>
              <w:pStyle w:val="TableContents"/>
              <w:bidi w:val="0"/>
              <w:spacing w:before="0" w:after="0"/>
              <w:jc w:val="both"/>
              <w:rPr>
                <w:color w:val="000000"/>
              </w:rPr>
            </w:pPr>
            <w:r>
              <w:rPr>
                <w:color w:val="000000"/>
                <w:u w:val="single"/>
              </w:rPr>
              <w:t>FLA Data</w:t>
            </w:r>
            <w:r>
              <w:rPr>
                <w:color w:val="000000"/>
              </w:rPr>
              <w:t>. [***]</w:t>
            </w:r>
          </w:p>
        </w:tc>
      </w:tr>
    </w:tbl>
    <w:p>
      <w:pPr>
        <w:pStyle w:val="TextBody"/>
        <w:bidi w:val="0"/>
        <w:spacing w:before="0" w:after="0"/>
        <w:jc w:val="left"/>
        <w:rPr>
          <w:color w:val="000000"/>
        </w:rPr>
      </w:pPr>
      <w:r>
        <w:rPr>
          <w:color w:val="000000"/>
        </w:rPr>
        <w:t> </w:t>
      </w:r>
    </w:p>
    <w:p>
      <w:pPr>
        <w:pStyle w:val="TextBody"/>
        <w:bidi w:val="0"/>
        <w:spacing w:before="0" w:after="0"/>
        <w:ind w:left="0" w:right="855" w:firstLine="500"/>
        <w:jc w:val="both"/>
        <w:rPr>
          <w:color w:val="000000"/>
        </w:rPr>
      </w:pPr>
      <w:r>
        <w:rPr>
          <w:color w:val="000000"/>
        </w:rPr>
        <w: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500" w:right="133" w:hanging="0"/>
        <w:jc w:val="both"/>
        <w:rPr>
          <w:color w:val="000000"/>
        </w:rPr>
      </w:pPr>
      <w:r>
        <w:rPr>
          <w:color w:val="000000"/>
        </w:rPr>
        <w:t xml:space="preserve">  </w:t>
      </w:r>
      <w:r>
        <w:rPr>
          <w:rFonts w:ascii="Times New Roman" w:hAnsi="Times New Roman"/>
          <w:color w:val="000000"/>
          <w:sz w:val="20"/>
        </w:rPr>
        <w:t>[***]</w:t>
      </w:r>
    </w:p>
    <w:p>
      <w:pPr>
        <w:pStyle w:val="TextBody"/>
        <w:bidi w:val="0"/>
        <w:spacing w:before="0" w:after="0"/>
        <w:ind w:left="500" w:right="133" w:hanging="0"/>
        <w:jc w:val="both"/>
        <w:rPr>
          <w:color w:val="000000"/>
        </w:rPr>
      </w:pPr>
      <w:r>
        <w:rPr>
          <w:color w:val="00000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58" w:name="z95d72f6430b74e16ac08c7a1493d93d0"/>
      <w:bookmarkStart w:id="359" w:name="z95d72f6430b74e16ac08c7a1493d93d0"/>
      <w:bookmarkEnd w:id="359"/>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pPr>
            <w:r>
              <w:rPr/>
              <w:t>6.</w:t>
            </w:r>
          </w:p>
        </w:tc>
        <w:tc>
          <w:tcPr>
            <w:tcW w:w="2090" w:type="dxa"/>
            <w:tcBorders/>
            <w:vAlign w:val="center"/>
          </w:tcPr>
          <w:p>
            <w:pPr>
              <w:pStyle w:val="TableContents"/>
              <w:bidi w:val="0"/>
              <w:spacing w:before="0" w:after="0"/>
              <w:jc w:val="both"/>
              <w:rPr>
                <w:color w:val="000000"/>
              </w:rPr>
            </w:pPr>
            <w:r>
              <w:rPr>
                <w:color w:val="000000"/>
                <w:u w:val="single"/>
              </w:rPr>
              <w:t>Payments to Taboola</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0" w:name="z7169bddc270a42b2b4d8ed18903f9285"/>
      <w:bookmarkStart w:id="361" w:name="z7169bddc270a42b2b4d8ed18903f9285"/>
      <w:bookmarkEnd w:id="361"/>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pPr>
            <w:r>
              <w:rPr/>
            </w:r>
          </w:p>
        </w:tc>
        <w:tc>
          <w:tcPr>
            <w:tcW w:w="323" w:type="dxa"/>
            <w:tcBorders/>
            <w:vAlign w:val="center"/>
          </w:tcPr>
          <w:p>
            <w:pPr>
              <w:pStyle w:val="TableContents"/>
              <w:bidi w:val="0"/>
              <w:spacing w:before="0" w:after="283"/>
              <w:jc w:val="left"/>
              <w:rPr/>
            </w:pPr>
            <w:bookmarkStart w:id="362" w:name="bookmarkid.26in1rg"/>
            <w:bookmarkEnd w:id="362"/>
            <w:r>
              <w:rPr/>
              <w:t>6.1.</w:t>
            </w:r>
          </w:p>
        </w:tc>
        <w:tc>
          <w:tcPr>
            <w:tcW w:w="9844" w:type="dxa"/>
            <w:tcBorders/>
            <w:vAlign w:val="center"/>
          </w:tcPr>
          <w:p>
            <w:pPr>
              <w:pStyle w:val="TableContents"/>
              <w:bidi w:val="0"/>
              <w:spacing w:before="0" w:after="0"/>
              <w:jc w:val="both"/>
              <w:rPr/>
            </w:pPr>
            <w:r>
              <w:rPr>
                <w:color w:val="000000"/>
              </w:rPr>
              <w:t>Taboola shall invoice Yahoo for the Closing Price (as defined below) of Native Advertisements delivered through the UCAM/Taboola Interface (“</w:t>
            </w:r>
            <w:r>
              <w:rPr>
                <w:b/>
                <w:color w:val="000000"/>
                <w:u w:val="single"/>
              </w:rPr>
              <w:t>Omnichannel Advertiser Spend</w:t>
            </w:r>
            <w:r>
              <w:rPr>
                <w:color w:val="000000"/>
              </w:rPr>
              <w:t>”) in each calendar month (each such calendar month a “</w:t>
            </w:r>
            <w:r>
              <w:rPr>
                <w:b/>
                <w:color w:val="000000"/>
                <w:u w:val="single"/>
              </w:rPr>
              <w:t>Calendar Month</w:t>
            </w:r>
            <w:r>
              <w:rPr>
                <w:color w:val="000000"/>
              </w:rPr>
              <w:t>”). Such invoice shall be provided within five (5) business days of the end of the Calendar Month. Yahoo shall pay each such invoice in U.S. dollars within forty-five (45) days after the end of the Calendar Month. Each Party may designate an affiliate to send or receive an invoice and/or send or receive payment. As of the Amendment Effective Date, Yahoo designates Yahoo Ad Tech LLC to receive and pay invoices for Omnichannel Advertiser Spend and Taboola designates Taboola.com Ltd. to issue invoices to Yahoo Ad Tech LLC. The invoice shall disclose all Closing Prices of Omnichannel Advertiser Spend for the Calendar Month. For the purposes of this Amendment, “</w:t>
            </w:r>
            <w:r>
              <w:rPr>
                <w:b/>
                <w:color w:val="000000"/>
                <w:u w:val="single"/>
              </w:rPr>
              <w:t>Closing Price</w:t>
            </w:r>
            <w:r>
              <w:rPr>
                <w:color w:val="000000"/>
              </w:rPr>
              <w:t>” means</w:t>
            </w:r>
            <w:r>
              <w:rPr/>
              <w:t> </w:t>
            </w:r>
            <w:r>
              <w:rPr>
                <w:color w:val="000000"/>
              </w:rPr>
              <w:t>[***].</w:t>
            </w:r>
            <w:r>
              <w:rPr/>
              <w:t> </w:t>
            </w:r>
            <w:bookmarkStart w:id="363" w:name="bookmarkid.lnxbz9"/>
            <w:bookmarkEnd w:id="363"/>
            <w:r>
              <w:rPr>
                <w:color w:val="000000"/>
              </w:rPr>
              <w:t>[***]. Yahoo shall send Taboola its reporting for the Omnichannel Advertiser Spend (the “</w:t>
            </w:r>
            <w:r>
              <w:rPr>
                <w:b/>
                <w:color w:val="000000"/>
              </w:rPr>
              <w:t>Omnichannel Spend Report</w:t>
            </w:r>
            <w:r>
              <w:rPr>
                <w:color w:val="000000"/>
              </w:rPr>
              <w:t>”) by the third day of the calendar month immediately following the Calendar Month. Yahoo shall ensure that the Omnichannel Spend Report contains information reasonably relevant to Omnichannel Advertiser Spend, which shall include the following fields:</w:t>
            </w:r>
            <w:r>
              <w:rPr/>
              <w:t> </w:t>
            </w:r>
            <w:r>
              <w:rPr>
                <w:color w:val="000000"/>
              </w:rPr>
              <w:t>[***]. The fields provided in the Omnichannel Spend Report may be adjusted throughout the Term as determined in good faith between the parties.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4" w:name="z928019216bb048fd8d1f5b8dff618a3e"/>
      <w:bookmarkStart w:id="365" w:name="z928019216bb048fd8d1f5b8dff618a3e"/>
      <w:bookmarkEnd w:id="365"/>
    </w:p>
    <w:tbl>
      <w:tblPr>
        <w:tblW w:w="10205" w:type="dxa"/>
        <w:jc w:val="left"/>
        <w:tblInd w:w="0" w:type="dxa"/>
        <w:tblLayout w:type="fixed"/>
        <w:tblCellMar>
          <w:top w:w="0" w:type="dxa"/>
          <w:left w:w="0" w:type="dxa"/>
          <w:bottom w:w="0" w:type="dxa"/>
          <w:right w:w="0" w:type="dxa"/>
        </w:tblCellMar>
      </w:tblPr>
      <w:tblGrid>
        <w:gridCol w:w="38"/>
        <w:gridCol w:w="351"/>
        <w:gridCol w:w="9816"/>
      </w:tblGrid>
      <w:tr>
        <w:trPr/>
        <w:tc>
          <w:tcPr>
            <w:tcW w:w="38" w:type="dxa"/>
            <w:tcBorders/>
            <w:vAlign w:val="center"/>
          </w:tcPr>
          <w:p>
            <w:pPr>
              <w:pStyle w:val="TableContents"/>
              <w:bidi w:val="0"/>
              <w:spacing w:before="0" w:after="283"/>
              <w:jc w:val="left"/>
              <w:rPr/>
            </w:pPr>
            <w:r>
              <w:rPr/>
            </w:r>
          </w:p>
        </w:tc>
        <w:tc>
          <w:tcPr>
            <w:tcW w:w="351" w:type="dxa"/>
            <w:tcBorders/>
            <w:vAlign w:val="center"/>
          </w:tcPr>
          <w:p>
            <w:pPr>
              <w:pStyle w:val="TableContents"/>
              <w:bidi w:val="0"/>
              <w:spacing w:before="0" w:after="283"/>
              <w:jc w:val="left"/>
              <w:rPr/>
            </w:pPr>
            <w:bookmarkStart w:id="366" w:name="bookmarkid.35nkun2"/>
            <w:bookmarkEnd w:id="366"/>
            <w:r>
              <w:rPr/>
              <w:t>6.2.</w:t>
            </w:r>
          </w:p>
        </w:tc>
        <w:tc>
          <w:tcPr>
            <w:tcW w:w="9816" w:type="dxa"/>
            <w:tcBorders/>
            <w:vAlign w:val="center"/>
          </w:tcPr>
          <w:p>
            <w:pPr>
              <w:pStyle w:val="TableContents"/>
              <w:bidi w:val="0"/>
              <w:spacing w:before="0" w:after="0"/>
              <w:jc w:val="both"/>
              <w:rPr/>
            </w:pPr>
            <w:r>
              <w:rPr>
                <w:color w:val="000000"/>
              </w:rPr>
              <w:t>Payments made under this Amendment, including those by Yahoo Ad Tech LLC to Taboola.com Ltd., for Omnichannel Advertiser Spend will be included in [***]</w:t>
            </w:r>
            <w:r>
              <w:rPr/>
              <w:t> </w:t>
            </w:r>
            <w:r>
              <w:rPr>
                <w:color w:val="000000"/>
              </w:rPr>
              <w:t>of the Agreement.</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i/>
          <w:color w:val="4F81BC"/>
          <w:sz w:val="20"/>
        </w:rPr>
      </w:pPr>
      <w:r>
        <w:rPr>
          <w:rFonts w:ascii="Times New Roman" w:hAnsi="Times New Roman"/>
          <w:b/>
          <w:i/>
          <w:color w:val="4F81BC"/>
          <w:sz w:val="20"/>
        </w:rPr>
        <w:t>The rest of this page left intentionally blank</w:t>
      </w:r>
    </w:p>
    <w:p>
      <w:pPr>
        <w:pStyle w:val="TextBody"/>
        <w:bidi w:val="0"/>
        <w:spacing w:before="0" w:after="0"/>
        <w:ind w:left="3380" w:right="0" w:firstLine="220"/>
        <w:jc w:val="left"/>
        <w:rPr>
          <w:b/>
          <w:i/>
          <w:color w:val="4F81BC"/>
        </w:rPr>
      </w:pPr>
      <w:r>
        <w:rPr>
          <w:b/>
          <w:i/>
          <w:color w:val="4F81BC"/>
        </w:rPr>
      </w:r>
    </w:p>
    <w:p>
      <w:pPr>
        <w:pStyle w:val="HorizontalLine"/>
        <w:pBdr>
          <w:bottom w:val="single" w:sz="12" w:space="0" w:color="808080"/>
        </w:pBdr>
        <w:bidi w:val="0"/>
        <w:spacing w:before="200" w:after="200"/>
        <w:jc w:val="left"/>
        <w:rPr/>
      </w:pPr>
      <w:r>
        <w:rPr/>
      </w:r>
    </w:p>
    <w:p>
      <w:pPr>
        <w:pStyle w:val="TextBody"/>
        <w:bidi w:val="0"/>
        <w:spacing w:before="0" w:after="0"/>
        <w:ind w:left="140" w:right="0" w:hanging="0"/>
        <w:jc w:val="left"/>
        <w:rPr>
          <w:rFonts w:ascii="Times New Roman" w:hAnsi="Times New Roman"/>
          <w:color w:val="000000"/>
          <w:sz w:val="20"/>
        </w:rPr>
      </w:pPr>
      <w:r>
        <w:rPr>
          <w:rFonts w:ascii="Times New Roman" w:hAnsi="Times New Roman"/>
          <w:color w:val="000000"/>
          <w:sz w:val="20"/>
        </w:rPr>
        <w:t>IN WITNESS WHEREOF, the Parties hereto, have executed this Amendment as of the Amendment Effective Date:</w:t>
      </w:r>
    </w:p>
    <w:p>
      <w:pPr>
        <w:pStyle w:val="TextBody"/>
        <w:bidi w:val="0"/>
        <w:spacing w:before="0" w:after="0"/>
        <w:ind w:left="140" w:right="0" w:hanging="0"/>
        <w:jc w:val="left"/>
        <w:rPr>
          <w:color w:val="000000"/>
        </w:rPr>
      </w:pPr>
      <w:r>
        <w:rPr>
          <w:color w:val="000000"/>
        </w:rPr>
      </w:r>
    </w:p>
    <w:p>
      <w:pPr>
        <w:pStyle w:val="Normal"/>
        <w:bidi w:val="0"/>
        <w:spacing w:before="0" w:after="0"/>
        <w:jc w:val="left"/>
        <w:rPr>
          <w:sz w:val="4"/>
          <w:szCs w:val="4"/>
        </w:rPr>
      </w:pPr>
      <w:r>
        <w:rPr>
          <w:sz w:val="4"/>
          <w:szCs w:val="4"/>
        </w:rPr>
      </w:r>
      <w:bookmarkStart w:id="367" w:name="z2876cf2ea3084f36bea933b86a434901"/>
      <w:bookmarkStart w:id="368" w:name="z2876cf2ea3084f36bea933b86a434901"/>
      <w:bookmarkEnd w:id="368"/>
    </w:p>
    <w:tbl>
      <w:tblPr>
        <w:tblW w:w="4630" w:type="dxa"/>
        <w:jc w:val="left"/>
        <w:tblInd w:w="0" w:type="dxa"/>
        <w:tblLayout w:type="fixed"/>
        <w:tblCellMar>
          <w:top w:w="0" w:type="dxa"/>
          <w:left w:w="0" w:type="dxa"/>
          <w:bottom w:w="0" w:type="dxa"/>
          <w:right w:w="0" w:type="dxa"/>
        </w:tblCellMar>
      </w:tblPr>
      <w:tblGrid>
        <w:gridCol w:w="2360"/>
        <w:gridCol w:w="2270"/>
      </w:tblGrid>
      <w:tr>
        <w:trPr/>
        <w:tc>
          <w:tcPr>
            <w:tcW w:w="2360" w:type="dxa"/>
            <w:tcBorders/>
            <w:vAlign w:val="center"/>
          </w:tcPr>
          <w:p>
            <w:pPr>
              <w:pStyle w:val="TableContents"/>
              <w:bidi w:val="0"/>
              <w:spacing w:before="0" w:after="0"/>
              <w:jc w:val="left"/>
              <w:rPr>
                <w:b/>
                <w:u w:val="single"/>
              </w:rPr>
            </w:pPr>
            <w:r>
              <w:rPr>
                <w:b/>
                <w:u w:val="single"/>
              </w:rPr>
              <w:t>Yahoo Inc.</w:t>
            </w:r>
          </w:p>
        </w:tc>
        <w:tc>
          <w:tcPr>
            <w:tcW w:w="2270" w:type="dxa"/>
            <w:tcBorders/>
            <w:vAlign w:val="center"/>
          </w:tcPr>
          <w:p>
            <w:pPr>
              <w:pStyle w:val="TableContents"/>
              <w:bidi w:val="0"/>
              <w:spacing w:before="0" w:after="0"/>
              <w:jc w:val="left"/>
              <w:rPr>
                <w:b/>
                <w:u w:val="single"/>
              </w:rPr>
            </w:pPr>
            <w:r>
              <w:rPr>
                <w:b/>
                <w:u w:val="single"/>
              </w:rPr>
              <w:t>Taboola, Inc.</w:t>
            </w:r>
          </w:p>
        </w:tc>
      </w:tr>
      <w:tr>
        <w:trPr/>
        <w:tc>
          <w:tcPr>
            <w:tcW w:w="23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color w:val="000000"/>
              </w:rPr>
              <w:t>By:</w:t>
            </w:r>
            <w:r>
              <w:rPr/>
              <w:t> </w:t>
            </w:r>
            <w:r>
              <w:rPr>
                <w:color w:val="000000"/>
                <w:u w:val="single"/>
              </w:rPr>
              <w:t>/s/ Monica Mijaleski</w:t>
            </w:r>
          </w:p>
        </w:tc>
        <w:tc>
          <w:tcPr>
            <w:tcW w:w="2270" w:type="dxa"/>
            <w:tcBorders/>
            <w:vAlign w:val="center"/>
          </w:tcPr>
          <w:p>
            <w:pPr>
              <w:pStyle w:val="TableContents"/>
              <w:bidi w:val="0"/>
              <w:spacing w:before="0" w:after="0"/>
              <w:jc w:val="left"/>
              <w:rPr/>
            </w:pPr>
            <w:r>
              <w:rPr>
                <w:color w:val="000000"/>
              </w:rPr>
              <w:t xml:space="preserve">By: </w:t>
            </w:r>
            <w:r>
              <w:rPr>
                <w:color w:val="000000"/>
                <w:u w:val="single"/>
              </w:rPr>
              <w:t>/s/ Blythe H</w:t>
            </w:r>
            <w:r>
              <w:rPr>
                <w:u w:val="single"/>
              </w:rPr>
              <w:t>olden</w:t>
            </w:r>
          </w:p>
        </w:tc>
      </w:tr>
      <w:tr>
        <w:trPr/>
        <w:tc>
          <w:tcPr>
            <w:tcW w:w="2360" w:type="dxa"/>
            <w:tcBorders/>
            <w:vAlign w:val="center"/>
          </w:tcPr>
          <w:p>
            <w:pPr>
              <w:pStyle w:val="TableContents"/>
              <w:bidi w:val="0"/>
              <w:spacing w:before="0" w:after="0"/>
              <w:jc w:val="left"/>
              <w:rPr/>
            </w:pPr>
            <w:r>
              <w:rPr/>
              <w:t>Name: Monica Mijaleski</w:t>
            </w:r>
          </w:p>
        </w:tc>
        <w:tc>
          <w:tcPr>
            <w:tcW w:w="2270" w:type="dxa"/>
            <w:tcBorders/>
            <w:vAlign w:val="center"/>
          </w:tcPr>
          <w:p>
            <w:pPr>
              <w:pStyle w:val="TableContents"/>
              <w:bidi w:val="0"/>
              <w:spacing w:before="0" w:after="0"/>
              <w:jc w:val="left"/>
              <w:rPr/>
            </w:pPr>
            <w:r>
              <w:rPr/>
              <w:t>Name: Blythe Holden</w:t>
            </w:r>
          </w:p>
        </w:tc>
      </w:tr>
      <w:tr>
        <w:trPr/>
        <w:tc>
          <w:tcPr>
            <w:tcW w:w="2360" w:type="dxa"/>
            <w:tcBorders/>
            <w:vAlign w:val="center"/>
          </w:tcPr>
          <w:p>
            <w:pPr>
              <w:pStyle w:val="TableContents"/>
              <w:bidi w:val="0"/>
              <w:spacing w:before="0" w:after="0"/>
              <w:jc w:val="left"/>
              <w:rPr/>
            </w:pPr>
            <w:r>
              <w:rPr/>
              <w:t>Title: CFO</w:t>
            </w:r>
          </w:p>
        </w:tc>
        <w:tc>
          <w:tcPr>
            <w:tcW w:w="2270" w:type="dxa"/>
            <w:tcBorders/>
            <w:vAlign w:val="center"/>
          </w:tcPr>
          <w:p>
            <w:pPr>
              <w:pStyle w:val="TableContents"/>
              <w:bidi w:val="0"/>
              <w:spacing w:before="0" w:after="0"/>
              <w:jc w:val="left"/>
              <w:rPr/>
            </w:pPr>
            <w:r>
              <w:rPr/>
              <w:t>Title: General Counsel</w:t>
            </w:r>
          </w:p>
        </w:tc>
      </w:tr>
      <w:tr>
        <w:trPr/>
        <w:tc>
          <w:tcPr>
            <w:tcW w:w="2360" w:type="dxa"/>
            <w:tcBorders/>
            <w:vAlign w:val="center"/>
          </w:tcPr>
          <w:p>
            <w:pPr>
              <w:pStyle w:val="TableContents"/>
              <w:bidi w:val="0"/>
              <w:spacing w:before="0" w:after="0"/>
              <w:jc w:val="left"/>
              <w:rPr/>
            </w:pPr>
            <w:r>
              <w:rPr/>
              <w:t>Date: 12/30/2023</w:t>
            </w:r>
          </w:p>
        </w:tc>
        <w:tc>
          <w:tcPr>
            <w:tcW w:w="2270" w:type="dxa"/>
            <w:tcBorders/>
            <w:vAlign w:val="center"/>
          </w:tcPr>
          <w:p>
            <w:pPr>
              <w:pStyle w:val="TableContents"/>
              <w:bidi w:val="0"/>
              <w:spacing w:before="0" w:after="0"/>
              <w:jc w:val="left"/>
              <w:rPr/>
            </w:pPr>
            <w:r>
              <w:rPr/>
              <w:t>Date: 12/30/2023</w:t>
            </w:r>
          </w:p>
        </w:tc>
      </w:tr>
      <w:tr>
        <w:trPr/>
        <w:tc>
          <w:tcPr>
            <w:tcW w:w="23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u w:val="single"/>
              </w:rPr>
            </w:pPr>
            <w:r>
              <w:rPr>
                <w:b/>
                <w:u w:val="single"/>
              </w:rPr>
              <w:t>Taboola.com Ltd.</w:t>
            </w:r>
          </w:p>
        </w:tc>
      </w:tr>
      <w:tr>
        <w:trPr/>
        <w:tc>
          <w:tcPr>
            <w:tcW w:w="23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r>
          </w:p>
        </w:tc>
      </w:tr>
      <w:tr>
        <w:trPr/>
        <w:tc>
          <w:tcPr>
            <w:tcW w:w="23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pPr>
            <w:r>
              <w:rPr/>
              <w:t xml:space="preserve">By: </w:t>
            </w:r>
            <w:r>
              <w:rPr>
                <w:u w:val="single"/>
              </w:rPr>
              <w:t>/s/ Eldad Maniv</w:t>
            </w:r>
          </w:p>
        </w:tc>
      </w:tr>
      <w:tr>
        <w:trPr/>
        <w:tc>
          <w:tcPr>
            <w:tcW w:w="23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pPr>
            <w:r>
              <w:rPr/>
              <w:t>Name: Eldad Maniv</w:t>
            </w:r>
          </w:p>
        </w:tc>
      </w:tr>
      <w:tr>
        <w:trPr/>
        <w:tc>
          <w:tcPr>
            <w:tcW w:w="23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pPr>
            <w:r>
              <w:rPr/>
              <w:t>Title: President &amp; COO</w:t>
            </w:r>
          </w:p>
        </w:tc>
      </w:tr>
      <w:tr>
        <w:trPr/>
        <w:tc>
          <w:tcPr>
            <w:tcW w:w="23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pPr>
            <w:r>
              <w:rPr/>
              <w:t>Date: 12/30/2023</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Yahoo Pixel and Custom Audience Policy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color w:val="000000"/>
        </w:rPr>
      </w:pPr>
      <w:r>
        <w:rPr>
          <w:color w:val="000000"/>
        </w:rPr>
      </w:r>
    </w:p>
    <w:p>
      <w:pPr>
        <w:pStyle w:val="HorizontalLine"/>
        <w:pBdr>
          <w:bottom w:val="single" w:sz="12" w:space="0" w:color="808080"/>
        </w:pBdr>
        <w:bidi w:val="0"/>
        <w:spacing w:before="200" w:after="200"/>
        <w:jc w:val="left"/>
        <w:rPr/>
      </w:pPr>
      <w:r>
        <w:rPr/>
      </w:r>
    </w:p>
    <w:p>
      <w:pPr>
        <w:pStyle w:val="TextBody"/>
        <w:bidi w:val="0"/>
        <w:spacing w:before="0" w:after="0"/>
        <w:ind w:left="1996" w:right="1994" w:hanging="0"/>
        <w:jc w:val="center"/>
        <w:rPr>
          <w:rFonts w:ascii="Times New Roman" w:hAnsi="Times New Roman"/>
          <w:b/>
          <w:i/>
          <w:color w:val="4F81BC"/>
          <w:sz w:val="20"/>
        </w:rPr>
      </w:pPr>
      <w:r>
        <w:rPr>
          <w:rFonts w:ascii="Times New Roman" w:hAnsi="Times New Roman"/>
          <w:b/>
          <w:i/>
          <w:color w:val="4F81BC"/>
          <w:sz w:val="20"/>
        </w:rPr>
        <w:t>Exhibit B</w:t>
      </w:r>
    </w:p>
    <w:p>
      <w:pPr>
        <w:pStyle w:val="TextBody"/>
        <w:bidi w:val="0"/>
        <w:spacing w:before="0" w:after="0"/>
        <w:ind w:left="1996" w:right="1994" w:hanging="0"/>
        <w:jc w:val="center"/>
        <w:rPr>
          <w:b/>
          <w:i/>
          <w:color w:val="4F81BC"/>
        </w:rPr>
      </w:pPr>
      <w:r>
        <w:rPr>
          <w:b/>
          <w:i/>
          <w:color w:val="4F81BC"/>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9" w:name="zc60cb52db8b846dc9e22fb5dc3dbe593"/>
      <w:bookmarkStart w:id="370" w:name="zc60cb52db8b846dc9e22fb5dc3dbe593"/>
      <w:bookmarkEnd w:id="370"/>
    </w:p>
    <w:tbl>
      <w:tblPr>
        <w:tblW w:w="875" w:type="dxa"/>
        <w:jc w:val="left"/>
        <w:tblInd w:w="-15" w:type="dxa"/>
        <w:tblLayout w:type="fixed"/>
        <w:tblCellMar>
          <w:top w:w="0" w:type="dxa"/>
          <w:left w:w="28" w:type="dxa"/>
          <w:bottom w:w="28" w:type="dxa"/>
          <w:right w:w="28" w:type="dxa"/>
        </w:tblCellMar>
      </w:tblPr>
      <w:tblGrid>
        <w:gridCol w:w="875"/>
      </w:tblGrid>
      <w:tr>
        <w:trPr/>
        <w:tc>
          <w:tcPr>
            <w:tcW w:w="875" w:type="dxa"/>
            <w:tcBorders>
              <w:left w:val="single" w:sz="12" w:space="0" w:color="000000"/>
              <w:bottom w:val="double" w:sz="8" w:space="0" w:color="000000"/>
              <w:right w:val="single" w:sz="12" w:space="0" w:color="000000"/>
            </w:tcBorders>
            <w:shd w:fill="0B343C" w:val="clear"/>
            <w:vAlign w:val="center"/>
          </w:tcPr>
          <w:p>
            <w:pPr>
              <w:pStyle w:val="TableContents"/>
              <w:bidi w:val="0"/>
              <w:spacing w:before="0" w:after="0"/>
              <w:ind w:left="45" w:right="0" w:hanging="0"/>
              <w:jc w:val="left"/>
              <w:rPr>
                <w:b/>
                <w:color w:val="FFFFFF"/>
              </w:rPr>
            </w:pPr>
            <w:r>
              <w:rPr>
                <w:b/>
                <w:color w:val="FFFFFF"/>
              </w:rPr>
              <w:t>Account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r>
        <w:trPr/>
        <w:tc>
          <w:tcPr>
            <w:tcW w:w="875" w:type="dxa"/>
            <w:tcBorders>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color w:val="000000"/>
              </w:rPr>
            </w:pPr>
            <w:r>
              <w:rPr>
                <w:color w:val="000000"/>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brackets [***], has been omitted pursuant to Item 601(b)(10)(iv) of Regulation S-K.</w:t>
      </w:r>
    </w:p>
    <w:p>
      <w:pPr>
        <w:pStyle w:val="TextBody"/>
        <w:bidi w:val="0"/>
        <w:spacing w:before="0" w:after="0"/>
        <w:jc w:val="left"/>
        <w:rPr>
          <w:color w:val="000000"/>
        </w:rPr>
      </w:pPr>
      <w:r>
        <w:rPr>
          <w:color w:val="000000"/>
        </w:rPr>
        <w:t> </w:t>
      </w:r>
    </w:p>
    <w:p>
      <w:pPr>
        <w:pStyle w:val="TextBody"/>
        <w:bidi w:val="0"/>
        <w:spacing w:before="0" w:after="0"/>
        <w:ind w:left="0" w:right="176" w:hanging="0"/>
        <w:jc w:val="center"/>
        <w:rPr>
          <w:rFonts w:ascii="Times New Roman" w:hAnsi="Times New Roman"/>
          <w:b/>
          <w:color w:val="000000"/>
          <w:sz w:val="20"/>
          <w:u w:val="single"/>
        </w:rPr>
      </w:pPr>
      <w:r>
        <w:rPr>
          <w:rFonts w:ascii="Times New Roman" w:hAnsi="Times New Roman"/>
          <w:b/>
          <w:color w:val="000000"/>
          <w:sz w:val="20"/>
          <w:u w:val="single"/>
        </w:rPr>
        <w:t>THE PREBID ADDENDUM</w:t>
      </w:r>
    </w:p>
    <w:p>
      <w:pPr>
        <w:pStyle w:val="TextBody"/>
        <w:bidi w:val="0"/>
        <w:spacing w:before="0" w:after="0"/>
        <w:jc w:val="left"/>
        <w:rPr>
          <w:color w:val="000000"/>
        </w:rPr>
      </w:pPr>
      <w:r>
        <w:rPr>
          <w:color w:val="000000"/>
        </w:rPr>
        <w:t> </w:t>
      </w:r>
    </w:p>
    <w:p>
      <w:pPr>
        <w:pStyle w:val="TextBody"/>
        <w:bidi w:val="0"/>
        <w:spacing w:before="0" w:after="0"/>
        <w:ind w:left="113" w:right="375" w:firstLine="720"/>
        <w:jc w:val="left"/>
        <w:rPr>
          <w:rFonts w:ascii="Times New Roman" w:hAnsi="Times New Roman"/>
          <w:color w:val="000000"/>
          <w:sz w:val="20"/>
        </w:rPr>
      </w:pPr>
      <w:r>
        <w:rPr>
          <w:rFonts w:ascii="Times New Roman" w:hAnsi="Times New Roman"/>
          <w:color w:val="000000"/>
          <w:sz w:val="20"/>
        </w:rPr>
        <w:t>This Prebid Addendum (this “</w:t>
      </w:r>
      <w:r>
        <w:rPr>
          <w:rFonts w:ascii="Times New Roman" w:hAnsi="Times New Roman"/>
          <w:b/>
          <w:color w:val="000000"/>
          <w:sz w:val="20"/>
        </w:rPr>
        <w:t>Addendum</w:t>
      </w:r>
      <w:r>
        <w:rPr>
          <w:rFonts w:ascii="Times New Roman" w:hAnsi="Times New Roman"/>
          <w:color w:val="000000"/>
          <w:sz w:val="20"/>
        </w:rPr>
        <w:t>”) adds the functionality described below to the Digital Property and Demand Services Agreement (the “</w:t>
      </w:r>
      <w:r>
        <w:rPr>
          <w:rFonts w:ascii="Times New Roman" w:hAnsi="Times New Roman"/>
          <w:b/>
          <w:color w:val="000000"/>
          <w:sz w:val="20"/>
        </w:rPr>
        <w:t>Underlying Agreement</w:t>
      </w:r>
      <w:r>
        <w:rPr>
          <w:rFonts w:ascii="Times New Roman" w:hAnsi="Times New Roman"/>
          <w:color w:val="000000"/>
          <w:sz w:val="20"/>
        </w:rPr>
        <w:t>”) between Taboola, Inc. (“</w:t>
      </w:r>
      <w:r>
        <w:rPr>
          <w:rFonts w:ascii="Times New Roman" w:hAnsi="Times New Roman"/>
          <w:b/>
          <w:color w:val="000000"/>
          <w:sz w:val="20"/>
        </w:rPr>
        <w:t>Company</w:t>
      </w:r>
      <w:r>
        <w:rPr>
          <w:rFonts w:ascii="Times New Roman" w:hAnsi="Times New Roman"/>
          <w:color w:val="000000"/>
          <w:sz w:val="20"/>
        </w:rPr>
        <w:t>”) and Yahoo Inc. (“</w:t>
      </w:r>
      <w:r>
        <w:rPr>
          <w:rFonts w:ascii="Times New Roman" w:hAnsi="Times New Roman"/>
          <w:b/>
          <w:color w:val="000000"/>
          <w:sz w:val="20"/>
        </w:rPr>
        <w:t>Yahoo</w:t>
      </w:r>
      <w:r>
        <w:rPr>
          <w:rFonts w:ascii="Times New Roman" w:hAnsi="Times New Roman"/>
          <w:color w:val="000000"/>
          <w:sz w:val="20"/>
        </w:rPr>
        <w:t>”). Reference is made to the “Ad Platforms Agreement – Exchange” between Yahoo EMEA Limited (formerly, Verizon Media EMEA Limited) and Taboola.com Ltd. dated December 1, 2020, which was adopted pursuant to the Underlying Agreement by and between Yahoo and Company (each, a “</w:t>
      </w:r>
      <w:r>
        <w:rPr>
          <w:rFonts w:ascii="Times New Roman" w:hAnsi="Times New Roman"/>
          <w:b/>
          <w:color w:val="000000"/>
          <w:sz w:val="20"/>
        </w:rPr>
        <w:t>Party</w:t>
      </w:r>
      <w:r>
        <w:rPr>
          <w:rFonts w:ascii="Times New Roman" w:hAnsi="Times New Roman"/>
          <w:color w:val="000000"/>
          <w:sz w:val="20"/>
        </w:rPr>
        <w:t>”, and collectively, the “</w:t>
      </w:r>
      <w:r>
        <w:rPr>
          <w:rFonts w:ascii="Times New Roman" w:hAnsi="Times New Roman"/>
          <w:b/>
          <w:color w:val="000000"/>
          <w:sz w:val="20"/>
        </w:rPr>
        <w:t>Parties</w:t>
      </w:r>
      <w:r>
        <w:rPr>
          <w:rFonts w:ascii="Times New Roman" w:hAnsi="Times New Roman"/>
          <w:color w:val="000000"/>
          <w:sz w:val="20"/>
        </w:rPr>
        <w:t>”), and amended by the Parties through the “Addendum for RTB Buying”, as of May 1, 2023 (collectively, the “</w:t>
      </w:r>
      <w:r>
        <w:rPr>
          <w:rFonts w:ascii="Times New Roman" w:hAnsi="Times New Roman"/>
          <w:b/>
          <w:color w:val="000000"/>
          <w:sz w:val="20"/>
        </w:rPr>
        <w:t>Exchange Agreement</w:t>
      </w:r>
      <w:r>
        <w:rPr>
          <w:rFonts w:ascii="Times New Roman" w:hAnsi="Times New Roman"/>
          <w:color w:val="000000"/>
          <w:sz w:val="20"/>
        </w:rPr>
        <w:t>”). This Addendum, effective as of the date of the last signature below (the “</w:t>
      </w:r>
      <w:r>
        <w:rPr>
          <w:rFonts w:ascii="Times New Roman" w:hAnsi="Times New Roman"/>
          <w:b/>
          <w:color w:val="000000"/>
          <w:sz w:val="20"/>
        </w:rPr>
        <w:t>Addendum Effective Date</w:t>
      </w:r>
      <w:r>
        <w:rPr>
          <w:rFonts w:ascii="Times New Roman" w:hAnsi="Times New Roman"/>
          <w:color w:val="000000"/>
          <w:sz w:val="20"/>
        </w:rPr>
        <w:t>”), shall become a further Addendum to the Underlying Agreement by supplementing the terms of the Exchange Agreement as set forth below. All capitalized terms used herein but not defined shall have the meanings ascribed to such terms in the Exchange Agreement.</w:t>
      </w:r>
    </w:p>
    <w:p>
      <w:pPr>
        <w:pStyle w:val="TextBody"/>
        <w:bidi w:val="0"/>
        <w:spacing w:before="0" w:after="0"/>
        <w:jc w:val="left"/>
        <w:rPr>
          <w:color w:val="000000"/>
        </w:rPr>
      </w:pPr>
      <w:r>
        <w:rPr>
          <w:color w:val="000000"/>
        </w:rPr>
        <w:t> </w:t>
      </w:r>
    </w:p>
    <w:p>
      <w:pPr>
        <w:pStyle w:val="TextBody"/>
        <w:bidi w:val="0"/>
        <w:spacing w:before="0" w:after="0"/>
        <w:ind w:left="113" w:right="375" w:firstLine="720"/>
        <w:jc w:val="left"/>
        <w:rPr>
          <w:rFonts w:ascii="Times New Roman" w:hAnsi="Times New Roman"/>
          <w:color w:val="000000"/>
          <w:sz w:val="20"/>
        </w:rPr>
      </w:pPr>
      <w:r>
        <w:rPr>
          <w:rFonts w:ascii="Times New Roman" w:hAnsi="Times New Roman"/>
          <w:color w:val="000000"/>
          <w:sz w:val="20"/>
        </w:rPr>
        <w:t>WHEREAS, Yahoo and Company entered into the Exchange Agreement for Services so that Company’s Media Buyers could buy and bid on online media Inventory using Yahoo’s Exchange; and</w:t>
      </w:r>
    </w:p>
    <w:p>
      <w:pPr>
        <w:pStyle w:val="TextBody"/>
        <w:bidi w:val="0"/>
        <w:spacing w:before="0" w:after="0"/>
        <w:jc w:val="left"/>
        <w:rPr>
          <w:color w:val="000000"/>
        </w:rPr>
      </w:pPr>
      <w:r>
        <w:rPr>
          <w:color w:val="000000"/>
        </w:rPr>
        <w:t> </w:t>
      </w:r>
    </w:p>
    <w:p>
      <w:pPr>
        <w:pStyle w:val="TextBody"/>
        <w:bidi w:val="0"/>
        <w:spacing w:before="0" w:after="0"/>
        <w:ind w:left="113" w:right="375" w:firstLine="720"/>
        <w:jc w:val="left"/>
        <w:rPr>
          <w:rFonts w:ascii="Times New Roman" w:hAnsi="Times New Roman"/>
          <w:color w:val="000000"/>
          <w:sz w:val="20"/>
        </w:rPr>
      </w:pPr>
      <w:r>
        <w:rPr>
          <w:rFonts w:ascii="Times New Roman" w:hAnsi="Times New Roman"/>
          <w:color w:val="000000"/>
          <w:sz w:val="20"/>
        </w:rPr>
        <w:t>WHEREAS, pursuant to the Underlying Agreement, Yahoo desires to utilize a Prebid Product (defined below) to enable Company’s Ad spend on or monetization of Yahoo Ad Inventory; for purposes of this Addendum, “</w:t>
      </w:r>
      <w:r>
        <w:rPr>
          <w:rFonts w:ascii="Times New Roman" w:hAnsi="Times New Roman"/>
          <w:b/>
          <w:color w:val="000000"/>
          <w:sz w:val="20"/>
        </w:rPr>
        <w:t>Yahoo Ad Inventory</w:t>
      </w:r>
      <w:r>
        <w:rPr>
          <w:rFonts w:ascii="Times New Roman" w:hAnsi="Times New Roman"/>
          <w:color w:val="000000"/>
          <w:sz w:val="20"/>
        </w:rPr>
        <w:t>” means Yahoo’s owned, operated and/or managed Ad inventory where Yahoo is a Media Seller (excluding any Native Advertisement inventory) and “</w:t>
      </w:r>
      <w:r>
        <w:rPr>
          <w:rFonts w:ascii="Times New Roman" w:hAnsi="Times New Roman"/>
          <w:b/>
          <w:color w:val="000000"/>
          <w:sz w:val="20"/>
        </w:rPr>
        <w:t>Prebid Product</w:t>
      </w:r>
      <w:r>
        <w:rPr>
          <w:rFonts w:ascii="Times New Roman" w:hAnsi="Times New Roman"/>
          <w:color w:val="000000"/>
          <w:sz w:val="20"/>
        </w:rPr>
        <w:t>” means any header bidding solution used by Yahoo on Yahoo Ad Inventory (whether first-party or third-party solutions). For the avoidance of doubt the Ad inventory referenced in Yahoo Ad Inventory shall mean display ads and display video advertisements.</w:t>
      </w:r>
    </w:p>
    <w:p>
      <w:pPr>
        <w:pStyle w:val="TextBody"/>
        <w:bidi w:val="0"/>
        <w:spacing w:before="0" w:after="0"/>
        <w:jc w:val="left"/>
        <w:rPr>
          <w:color w:val="000000"/>
        </w:rPr>
      </w:pPr>
      <w:r>
        <w:rPr>
          <w:color w:val="000000"/>
        </w:rPr>
        <w:t> </w:t>
      </w:r>
    </w:p>
    <w:p>
      <w:pPr>
        <w:pStyle w:val="TextBody"/>
        <w:bidi w:val="0"/>
        <w:spacing w:before="0" w:after="0"/>
        <w:ind w:left="113" w:right="375" w:firstLine="720"/>
        <w:jc w:val="left"/>
        <w:rPr>
          <w:rFonts w:ascii="Times New Roman" w:hAnsi="Times New Roman"/>
          <w:color w:val="000000"/>
          <w:sz w:val="20"/>
        </w:rPr>
      </w:pPr>
      <w:r>
        <w:rPr>
          <w:rFonts w:ascii="Times New Roman" w:hAnsi="Times New Roman"/>
          <w:color w:val="000000"/>
          <w:sz w:val="20"/>
        </w:rPr>
        <w:t>NOW, THEREFORE, for good and valuable consideration, the receipt and sufficiency of which is hereby acknowledged, the Parties hereby agree to supplement the terms of the Exchange Agreement, solely for purposes of whenever the Company is monetizing the Yahoo Ad Inventory through the Prebid Product, as follows with respect to the terms: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1" w:name="zf2e57901cc464d04a8d503b758dc1258"/>
      <w:bookmarkStart w:id="372" w:name="zf2e57901cc464d04a8d503b758dc1258"/>
      <w:bookmarkEnd w:id="372"/>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color w:val="000000"/>
              </w:rPr>
            </w:pPr>
            <w:r>
              <w:rPr>
                <w:color w:val="000000"/>
              </w:rPr>
              <w:t>1.</w:t>
            </w:r>
          </w:p>
        </w:tc>
        <w:tc>
          <w:tcPr>
            <w:tcW w:w="9983" w:type="dxa"/>
            <w:tcBorders/>
            <w:vAlign w:val="center"/>
          </w:tcPr>
          <w:p>
            <w:pPr>
              <w:pStyle w:val="TableContents"/>
              <w:bidi w:val="0"/>
              <w:spacing w:before="0" w:after="0"/>
              <w:jc w:val="left"/>
              <w:rPr>
                <w:color w:val="000000"/>
              </w:rPr>
            </w:pPr>
            <w:r>
              <w:rPr>
                <w:color w:val="000000"/>
                <w:u w:val="single"/>
              </w:rPr>
              <w:t>Yahoo Entity; Invoicing</w:t>
            </w:r>
            <w:r>
              <w:rPr>
                <w:color w:val="000000"/>
              </w:rPr>
              <w:t>. The Parties agree and acknowledge that Paragraph 4.c. (Header Bidding Fee) of the Underlying Agreement shall apply to HB Placements (as defined therein) monetized via the Header Bidding Adapter (as defined therein) in connection with the Prebid Product. With respect to any payment terms in the Exchange Agreement, Yahoo may at times invoice Company through an Affiliate; in such case, so long as Company pays the Yahoo Affiliate that has issued the invoice to Company, Company’s payment obligations to Yahoo under the Exchange Agreement for such invoice amount shall be considered satisfied, subject to all other applicable terms set forth in the Underlying Agreement.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3" w:name="zb4fc387de59040cc87b59f6d6f41d2ec"/>
      <w:bookmarkStart w:id="374" w:name="zb4fc387de59040cc87b59f6d6f41d2ec"/>
      <w:bookmarkEnd w:id="374"/>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color w:val="000000"/>
              </w:rPr>
            </w:pPr>
            <w:r>
              <w:rPr>
                <w:color w:val="000000"/>
              </w:rPr>
              <w:t>2.</w:t>
            </w:r>
          </w:p>
        </w:tc>
        <w:tc>
          <w:tcPr>
            <w:tcW w:w="9982" w:type="dxa"/>
            <w:tcBorders/>
            <w:vAlign w:val="center"/>
          </w:tcPr>
          <w:p>
            <w:pPr>
              <w:pStyle w:val="TableContents"/>
              <w:bidi w:val="0"/>
              <w:spacing w:before="0" w:after="0"/>
              <w:jc w:val="left"/>
              <w:rPr>
                <w:color w:val="000000"/>
              </w:rPr>
            </w:pPr>
            <w:r>
              <w:rPr>
                <w:color w:val="000000"/>
                <w:u w:val="single"/>
              </w:rPr>
              <w:t>Prebid Product</w:t>
            </w:r>
            <w:r>
              <w:rPr>
                <w:color w:val="000000"/>
              </w:rPr>
              <w:t>. When Company is monetizing Yahoo Ad Inventory through the Prebid Product, any references made to Yahoo’s “Exchange” (or “Yahoo’s Ad Exchange”) or to “Ad Platforms” (or through use of “Ad Platforms”, where in context such phrase means through use of Yahoo’s Exchange by Company or its Media Buyers for purposes of bidding to purchase Media Sellers’ Ad inventory), or substantially similar in principle, shall instead be replaced by the term “Prebid Product”. Any reference to the term “Services” (if any such term is used thereunder) includes, without limitation, when Company’s Media Buyers bid directly through the Prebid Product.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5" w:name="z53d839988c03459bbb273319ffb85297"/>
      <w:bookmarkStart w:id="376" w:name="z53d839988c03459bbb273319ffb85297"/>
      <w:bookmarkEnd w:id="376"/>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color w:val="000000"/>
              </w:rPr>
            </w:pPr>
            <w:r>
              <w:rPr>
                <w:color w:val="000000"/>
              </w:rPr>
              <w:t>3.</w:t>
            </w:r>
          </w:p>
        </w:tc>
        <w:tc>
          <w:tcPr>
            <w:tcW w:w="9984" w:type="dxa"/>
            <w:tcBorders/>
            <w:vAlign w:val="center"/>
          </w:tcPr>
          <w:p>
            <w:pPr>
              <w:pStyle w:val="TableContents"/>
              <w:bidi w:val="0"/>
              <w:spacing w:before="0" w:after="0"/>
              <w:jc w:val="left"/>
              <w:rPr>
                <w:color w:val="000000"/>
              </w:rPr>
            </w:pPr>
            <w:r>
              <w:rPr>
                <w:color w:val="000000"/>
                <w:u w:val="single"/>
              </w:rPr>
              <w:t>Authorized Use</w:t>
            </w:r>
            <w:r>
              <w:rPr>
                <w:color w:val="000000"/>
              </w:rPr>
              <w:t>. [***]. [***]. Through Company’s use of the Prebid Product, Company will receive the Bid Request Stream (defined below) containing certain bid requests as well as information from Yahoo intended to help Company and its Media Buyers identify certain characteristics related to Placements and submit Bids on such Placements (collectively, “</w:t>
            </w:r>
            <w:r>
              <w:rPr>
                <w:b/>
                <w:color w:val="000000"/>
              </w:rPr>
              <w:t>Bid Request Data</w:t>
            </w:r>
            <w:r>
              <w:rPr>
                <w:color w:val="000000"/>
              </w:rPr>
              <w:t>”). “</w:t>
            </w:r>
            <w:r>
              <w:rPr>
                <w:b/>
                <w:color w:val="000000"/>
              </w:rPr>
              <w:t>Bid Request Stream</w:t>
            </w:r>
            <w:r>
              <w:rPr>
                <w:color w:val="000000"/>
              </w:rPr>
              <w:t>” means the series of bid requests transmitted from Yahoo to Company for the purpose of soliciting Bids on Placements. In addition, subject to compliance with data privacy, security and operational restrictions as determined by Yahoo, Yahoo will work with Company in good faith on: (a) enabling local storage for the Prebid Product, and (b) using a version of Prebid.js open source software that is compatible with the Header Bidding Adapter.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7" w:name="zbfaf8c0d74104a35aa217c91c40aa925"/>
      <w:bookmarkStart w:id="378" w:name="zbfaf8c0d74104a35aa217c91c40aa925"/>
      <w:bookmarkEnd w:id="378"/>
    </w:p>
    <w:tbl>
      <w:tblPr>
        <w:tblW w:w="2073" w:type="dxa"/>
        <w:jc w:val="left"/>
        <w:tblInd w:w="0" w:type="dxa"/>
        <w:tblLayout w:type="fixed"/>
        <w:tblCellMar>
          <w:top w:w="0" w:type="dxa"/>
          <w:left w:w="0" w:type="dxa"/>
          <w:bottom w:w="0" w:type="dxa"/>
          <w:right w:w="0" w:type="dxa"/>
        </w:tblCellMar>
      </w:tblPr>
      <w:tblGrid>
        <w:gridCol w:w="38"/>
        <w:gridCol w:w="200"/>
        <w:gridCol w:w="183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4.</w:t>
            </w:r>
          </w:p>
        </w:tc>
        <w:tc>
          <w:tcPr>
            <w:tcW w:w="1835" w:type="dxa"/>
            <w:tcBorders/>
            <w:vAlign w:val="center"/>
          </w:tcPr>
          <w:p>
            <w:pPr>
              <w:pStyle w:val="TableContents"/>
              <w:bidi w:val="0"/>
              <w:spacing w:before="0" w:after="0"/>
              <w:jc w:val="left"/>
              <w:rPr>
                <w:color w:val="000000"/>
              </w:rPr>
            </w:pPr>
            <w:r>
              <w:rPr>
                <w:color w:val="000000"/>
                <w:u w:val="single"/>
              </w:rPr>
              <w:t>Restrictions</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9" w:name="z25ae9b4a1f4749a6b4c204aac64e8195"/>
      <w:bookmarkStart w:id="380" w:name="z25ae9b4a1f4749a6b4c204aac64e8195"/>
      <w:bookmarkEnd w:id="380"/>
    </w:p>
    <w:tbl>
      <w:tblPr>
        <w:tblW w:w="2823" w:type="dxa"/>
        <w:jc w:val="left"/>
        <w:tblInd w:w="0" w:type="dxa"/>
        <w:tblLayout w:type="fixed"/>
        <w:tblCellMar>
          <w:top w:w="0" w:type="dxa"/>
          <w:left w:w="0" w:type="dxa"/>
          <w:bottom w:w="0" w:type="dxa"/>
          <w:right w:w="0" w:type="dxa"/>
        </w:tblCellMar>
      </w:tblPr>
      <w:tblGrid>
        <w:gridCol w:w="38"/>
        <w:gridCol w:w="200"/>
        <w:gridCol w:w="258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5.</w:t>
            </w:r>
          </w:p>
        </w:tc>
        <w:tc>
          <w:tcPr>
            <w:tcW w:w="2585" w:type="dxa"/>
            <w:tcBorders/>
            <w:vAlign w:val="center"/>
          </w:tcPr>
          <w:p>
            <w:pPr>
              <w:pStyle w:val="TableContents"/>
              <w:bidi w:val="0"/>
              <w:spacing w:before="0" w:after="0"/>
              <w:jc w:val="left"/>
              <w:rPr>
                <w:color w:val="000000"/>
              </w:rPr>
            </w:pPr>
            <w:r>
              <w:rPr>
                <w:color w:val="000000"/>
                <w:u w:val="single"/>
              </w:rPr>
              <w:t>Sharing Data Feeds</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1" w:name="ze530c944eb934fd990e6677c698c8ba6"/>
      <w:bookmarkStart w:id="382" w:name="ze530c944eb934fd990e6677c698c8ba6"/>
      <w:bookmarkEnd w:id="382"/>
    </w:p>
    <w:tbl>
      <w:tblPr>
        <w:tblW w:w="2493" w:type="dxa"/>
        <w:jc w:val="left"/>
        <w:tblInd w:w="0" w:type="dxa"/>
        <w:tblLayout w:type="fixed"/>
        <w:tblCellMar>
          <w:top w:w="0" w:type="dxa"/>
          <w:left w:w="0" w:type="dxa"/>
          <w:bottom w:w="0" w:type="dxa"/>
          <w:right w:w="0" w:type="dxa"/>
        </w:tblCellMar>
      </w:tblPr>
      <w:tblGrid>
        <w:gridCol w:w="38"/>
        <w:gridCol w:w="200"/>
        <w:gridCol w:w="225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6.</w:t>
            </w:r>
          </w:p>
        </w:tc>
        <w:tc>
          <w:tcPr>
            <w:tcW w:w="2255" w:type="dxa"/>
            <w:tcBorders/>
            <w:vAlign w:val="center"/>
          </w:tcPr>
          <w:p>
            <w:pPr>
              <w:pStyle w:val="TableContents"/>
              <w:bidi w:val="0"/>
              <w:spacing w:before="0" w:after="0"/>
              <w:jc w:val="left"/>
              <w:rPr>
                <w:color w:val="000000"/>
              </w:rPr>
            </w:pPr>
            <w:r>
              <w:rPr>
                <w:color w:val="000000"/>
                <w:u w:val="single"/>
              </w:rPr>
              <w:t>Industry Signals</w:t>
            </w:r>
            <w:r>
              <w:rPr>
                <w:color w:val="000000"/>
              </w:rPr>
              <w:t>. [***].</w:t>
            </w:r>
          </w:p>
        </w:tc>
      </w:tr>
    </w:tbl>
    <w:p>
      <w:pPr>
        <w:pStyle w:val="TextBody"/>
        <w:bidi w:val="0"/>
        <w:spacing w:before="0" w:after="0"/>
        <w:jc w:val="left"/>
        <w:rPr>
          <w:color w:val="000000"/>
        </w:rPr>
      </w:pPr>
      <w:r>
        <w:rPr>
          <w:color w:val="000000"/>
        </w:rPr>
        <w:t> </w:t>
      </w:r>
    </w:p>
    <w:p>
      <w:pPr>
        <w:pStyle w:val="TextBody"/>
        <w:bidi w:val="0"/>
        <w:spacing w:before="0" w:after="0"/>
        <w:ind w:left="113" w:right="537" w:firstLine="720"/>
        <w:jc w:val="both"/>
        <w:rPr>
          <w:rFonts w:ascii="Times New Roman" w:hAnsi="Times New Roman"/>
          <w:color w:val="000000"/>
          <w:sz w:val="20"/>
        </w:rPr>
      </w:pPr>
      <w:r>
        <w:rPr>
          <w:rFonts w:ascii="Times New Roman" w:hAnsi="Times New Roman"/>
          <w:color w:val="000000"/>
          <w:sz w:val="20"/>
        </w:rPr>
        <w:t>Except as expressly modified by the supplemental provisions hereunder solely for purposes of this Addendum, all of the terms and conditions set forth in the Exchange Agreement and the Underlying Agreement, shall remain in full force and effect. This Addendum may be executed in one or more counterparts, each deemed an original, but all of which together constitute one and the same.</w:t>
      </w:r>
    </w:p>
    <w:p>
      <w:pPr>
        <w:pStyle w:val="TextBody"/>
        <w:bidi w:val="0"/>
        <w:spacing w:before="0" w:after="0"/>
        <w:jc w:val="left"/>
        <w:rPr>
          <w:color w:val="000000"/>
        </w:rPr>
      </w:pPr>
      <w:r>
        <w:rPr>
          <w:color w:val="000000"/>
        </w:rPr>
        <w:t> </w:t>
      </w:r>
    </w:p>
    <w:p>
      <w:pPr>
        <w:pStyle w:val="TextBody"/>
        <w:bidi w:val="0"/>
        <w:spacing w:before="0" w:after="0"/>
        <w:ind w:left="113" w:right="375" w:firstLine="720"/>
        <w:jc w:val="left"/>
        <w:rPr>
          <w:rFonts w:ascii="Times New Roman" w:hAnsi="Times New Roman"/>
          <w:color w:val="000000"/>
          <w:sz w:val="20"/>
        </w:rPr>
      </w:pPr>
      <w:r>
        <w:rPr>
          <w:rFonts w:ascii="Times New Roman" w:hAnsi="Times New Roman"/>
          <w:color w:val="000000"/>
          <w:sz w:val="20"/>
        </w:rPr>
        <w:t>IN WITNESS WHEREOF, the parties hereto have caused this Addendum to be executed by their duly authorized representatives as of the Addendum Effective Date.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83" w:name="zfe79fe0db1cc4f9589a54ad8bcbf140e"/>
      <w:bookmarkStart w:id="384" w:name="zfe79fe0db1cc4f9589a54ad8bcbf140e"/>
      <w:bookmarkEnd w:id="384"/>
    </w:p>
    <w:tbl>
      <w:tblPr>
        <w:tblW w:w="10205" w:type="dxa"/>
        <w:jc w:val="left"/>
        <w:tblInd w:w="0" w:type="dxa"/>
        <w:tblLayout w:type="fixed"/>
        <w:tblCellMar>
          <w:top w:w="0" w:type="dxa"/>
          <w:left w:w="0" w:type="dxa"/>
          <w:bottom w:w="0" w:type="dxa"/>
          <w:right w:w="0" w:type="dxa"/>
        </w:tblCellMar>
      </w:tblPr>
      <w:tblGrid>
        <w:gridCol w:w="4917"/>
        <w:gridCol w:w="5288"/>
      </w:tblGrid>
      <w:tr>
        <w:trPr/>
        <w:tc>
          <w:tcPr>
            <w:tcW w:w="4917" w:type="dxa"/>
            <w:tcBorders/>
            <w:vAlign w:val="center"/>
          </w:tcPr>
          <w:p>
            <w:pPr>
              <w:pStyle w:val="TableContents"/>
              <w:bidi w:val="0"/>
              <w:spacing w:before="0" w:after="0"/>
              <w:ind w:left="0" w:right="2766" w:hanging="0"/>
              <w:jc w:val="both"/>
              <w:rPr>
                <w:b/>
              </w:rPr>
            </w:pPr>
            <w:r>
              <w:rPr>
                <w:b/>
              </w:rPr>
              <w:t>YAHOO INC.</w:t>
            </w:r>
          </w:p>
        </w:tc>
        <w:tc>
          <w:tcPr>
            <w:tcW w:w="5288" w:type="dxa"/>
            <w:tcBorders/>
            <w:vAlign w:val="center"/>
          </w:tcPr>
          <w:p>
            <w:pPr>
              <w:pStyle w:val="TableContents"/>
              <w:bidi w:val="0"/>
              <w:spacing w:before="0" w:after="0"/>
              <w:ind w:left="0" w:right="2766" w:hanging="0"/>
              <w:jc w:val="both"/>
              <w:rPr>
                <w:b/>
              </w:rPr>
            </w:pPr>
            <w:r>
              <w:rPr>
                <w:b/>
              </w:rPr>
              <w:t>TABOOLA, INC.</w:t>
            </w:r>
          </w:p>
        </w:tc>
      </w:tr>
      <w:tr>
        <w:trPr/>
        <w:tc>
          <w:tcPr>
            <w:tcW w:w="4917" w:type="dxa"/>
            <w:tcBorders/>
            <w:vAlign w:val="center"/>
          </w:tcPr>
          <w:p>
            <w:pPr>
              <w:pStyle w:val="TableContents"/>
              <w:bidi w:val="0"/>
              <w:spacing w:before="0" w:after="283"/>
              <w:jc w:val="left"/>
              <w:rPr/>
            </w:pPr>
            <w:r>
              <w:rPr/>
              <w:t> </w:t>
            </w:r>
          </w:p>
        </w:tc>
        <w:tc>
          <w:tcPr>
            <w:tcW w:w="5288" w:type="dxa"/>
            <w:tcBorders/>
            <w:vAlign w:val="center"/>
          </w:tcPr>
          <w:p>
            <w:pPr>
              <w:pStyle w:val="TableContents"/>
              <w:bidi w:val="0"/>
              <w:spacing w:before="0" w:after="283"/>
              <w:jc w:val="left"/>
              <w:rPr/>
            </w:pPr>
            <w:r>
              <w:rPr/>
              <w:t> </w:t>
            </w:r>
          </w:p>
        </w:tc>
      </w:tr>
      <w:tr>
        <w:trPr/>
        <w:tc>
          <w:tcPr>
            <w:tcW w:w="4917" w:type="dxa"/>
            <w:tcBorders/>
            <w:vAlign w:val="center"/>
          </w:tcPr>
          <w:p>
            <w:pPr>
              <w:pStyle w:val="TableContents"/>
              <w:bidi w:val="0"/>
              <w:spacing w:before="0" w:after="0"/>
              <w:ind w:left="0" w:right="2766" w:hanging="0"/>
              <w:jc w:val="both"/>
              <w:rPr/>
            </w:pPr>
            <w:r>
              <w:rPr/>
              <w:t xml:space="preserve">By: </w:t>
            </w:r>
            <w:r>
              <w:rPr>
                <w:u w:val="single"/>
              </w:rPr>
              <w:t>/s/ Monica Mijaleski</w:t>
            </w:r>
          </w:p>
        </w:tc>
        <w:tc>
          <w:tcPr>
            <w:tcW w:w="5288" w:type="dxa"/>
            <w:tcBorders/>
            <w:vAlign w:val="center"/>
          </w:tcPr>
          <w:p>
            <w:pPr>
              <w:pStyle w:val="TableContents"/>
              <w:bidi w:val="0"/>
              <w:spacing w:before="0" w:after="0"/>
              <w:ind w:left="0" w:right="2766" w:hanging="0"/>
              <w:jc w:val="both"/>
              <w:rPr/>
            </w:pPr>
            <w:r>
              <w:rPr/>
              <w:t xml:space="preserve">By: </w:t>
            </w:r>
            <w:r>
              <w:rPr>
                <w:u w:val="single"/>
              </w:rPr>
              <w:t>/s/ Blythe Holden</w:t>
            </w:r>
          </w:p>
        </w:tc>
      </w:tr>
      <w:tr>
        <w:trPr/>
        <w:tc>
          <w:tcPr>
            <w:tcW w:w="4917" w:type="dxa"/>
            <w:tcBorders/>
            <w:vAlign w:val="center"/>
          </w:tcPr>
          <w:p>
            <w:pPr>
              <w:pStyle w:val="TableContents"/>
              <w:bidi w:val="0"/>
              <w:spacing w:before="0" w:after="0"/>
              <w:ind w:left="0" w:right="2766" w:hanging="0"/>
              <w:jc w:val="both"/>
              <w:rPr/>
            </w:pPr>
            <w:r>
              <w:rPr/>
              <w:t>Name: Monica Mijaleski</w:t>
            </w:r>
          </w:p>
        </w:tc>
        <w:tc>
          <w:tcPr>
            <w:tcW w:w="5288" w:type="dxa"/>
            <w:tcBorders/>
            <w:vAlign w:val="center"/>
          </w:tcPr>
          <w:p>
            <w:pPr>
              <w:pStyle w:val="TableContents"/>
              <w:bidi w:val="0"/>
              <w:spacing w:before="0" w:after="0"/>
              <w:ind w:left="0" w:right="2766" w:hanging="0"/>
              <w:jc w:val="both"/>
              <w:rPr/>
            </w:pPr>
            <w:r>
              <w:rPr/>
              <w:t>Name: Blythe Holden</w:t>
            </w:r>
          </w:p>
        </w:tc>
      </w:tr>
      <w:tr>
        <w:trPr/>
        <w:tc>
          <w:tcPr>
            <w:tcW w:w="4917" w:type="dxa"/>
            <w:tcBorders/>
            <w:vAlign w:val="center"/>
          </w:tcPr>
          <w:p>
            <w:pPr>
              <w:pStyle w:val="TableContents"/>
              <w:bidi w:val="0"/>
              <w:spacing w:before="0" w:after="0"/>
              <w:ind w:left="0" w:right="2145" w:hanging="0"/>
              <w:jc w:val="both"/>
              <w:rPr/>
            </w:pPr>
            <w:r>
              <w:rPr/>
              <w:t>Title: Chief Financial Officer</w:t>
            </w:r>
          </w:p>
        </w:tc>
        <w:tc>
          <w:tcPr>
            <w:tcW w:w="5288" w:type="dxa"/>
            <w:tcBorders/>
            <w:vAlign w:val="center"/>
          </w:tcPr>
          <w:p>
            <w:pPr>
              <w:pStyle w:val="TableContents"/>
              <w:bidi w:val="0"/>
              <w:spacing w:before="0" w:after="0"/>
              <w:ind w:left="0" w:right="2145" w:hanging="0"/>
              <w:jc w:val="both"/>
              <w:rPr/>
            </w:pPr>
            <w:r>
              <w:rPr/>
              <w:t>Title: Secretary &amp; General Counsel</w:t>
            </w:r>
          </w:p>
        </w:tc>
      </w:tr>
      <w:tr>
        <w:trPr/>
        <w:tc>
          <w:tcPr>
            <w:tcW w:w="4917" w:type="dxa"/>
            <w:tcBorders/>
            <w:vAlign w:val="center"/>
          </w:tcPr>
          <w:p>
            <w:pPr>
              <w:pStyle w:val="TableContents"/>
              <w:bidi w:val="0"/>
              <w:spacing w:before="0" w:after="0"/>
              <w:ind w:left="0" w:right="2145" w:hanging="0"/>
              <w:jc w:val="both"/>
              <w:rPr/>
            </w:pPr>
            <w:r>
              <w:rPr/>
              <w:t>Date: February 14, 2024</w:t>
            </w:r>
          </w:p>
        </w:tc>
        <w:tc>
          <w:tcPr>
            <w:tcW w:w="5288" w:type="dxa"/>
            <w:tcBorders/>
            <w:vAlign w:val="center"/>
          </w:tcPr>
          <w:p>
            <w:pPr>
              <w:pStyle w:val="TableContents"/>
              <w:bidi w:val="0"/>
              <w:spacing w:before="0" w:after="0"/>
              <w:ind w:left="0" w:right="2145" w:hanging="0"/>
              <w:jc w:val="both"/>
              <w:rPr/>
            </w:pPr>
            <w:r>
              <w:rPr/>
              <w:t>Date: February 14, 2024</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brackets [***], has been omitted pursuant to Item 601(b)(10)(iv) of Regulation S-K.</w:t>
      </w:r>
    </w:p>
    <w:p>
      <w:pPr>
        <w:pStyle w:val="TextBody"/>
        <w:bidi w:val="0"/>
        <w:spacing w:before="0" w:after="0"/>
        <w:jc w:val="left"/>
        <w:rPr>
          <w:color w:val="000000"/>
        </w:rPr>
      </w:pPr>
      <w:r>
        <w:rPr>
          <w:color w:val="000000"/>
        </w:rPr>
        <w:t> </w:t>
      </w:r>
    </w:p>
    <w:p>
      <w:pPr>
        <w:pStyle w:val="TextBody"/>
        <w:bidi w:val="0"/>
        <w:spacing w:before="0" w:after="0"/>
        <w:ind w:left="251" w:right="0" w:hanging="0"/>
        <w:jc w:val="left"/>
        <w:rPr>
          <w:color w:val="000000"/>
        </w:rPr>
      </w:pPr>
      <w:r>
        <w:rPr>
          <w:color w:val="000000"/>
        </w:rPr>
        <w:drawing>
          <wp:inline distT="0" distB="0" distL="0" distR="0">
            <wp:extent cx="169545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95450" cy="46672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ind w:left="3435" w:right="1913" w:firstLine="165"/>
        <w:jc w:val="center"/>
        <w:rPr>
          <w:rFonts w:ascii="Times New Roman" w:hAnsi="Times New Roman"/>
          <w:b/>
          <w:i/>
          <w:color w:val="538DD3"/>
          <w:sz w:val="20"/>
        </w:rPr>
      </w:pPr>
      <w:bookmarkStart w:id="385" w:name="bookmarkid.gjdgxs1"/>
      <w:bookmarkEnd w:id="385"/>
      <w:r>
        <w:rPr>
          <w:rFonts w:ascii="Times New Roman" w:hAnsi="Times New Roman"/>
          <w:b/>
          <w:i/>
          <w:color w:val="538DD3"/>
          <w:sz w:val="20"/>
        </w:rPr>
        <w:t>Amendment No. [3]</w:t>
      </w:r>
    </w:p>
    <w:p>
      <w:pPr>
        <w:pStyle w:val="TextBody"/>
        <w:bidi w:val="0"/>
        <w:spacing w:before="0" w:after="0"/>
        <w:jc w:val="left"/>
        <w:rPr>
          <w:color w:val="000000"/>
        </w:rPr>
      </w:pPr>
      <w:r>
        <w:rPr>
          <w:color w:val="000000"/>
        </w:rPr>
        <w:t> </w:t>
      </w:r>
    </w:p>
    <w:p>
      <w:pPr>
        <w:pStyle w:val="TextBody"/>
        <w:bidi w:val="0"/>
        <w:spacing w:before="0" w:after="0"/>
        <w:ind w:left="140" w:right="132" w:hanging="0"/>
        <w:jc w:val="both"/>
        <w:rPr>
          <w:rFonts w:ascii="Times New Roman" w:hAnsi="Times New Roman"/>
          <w:color w:val="000000"/>
          <w:sz w:val="20"/>
        </w:rPr>
      </w:pPr>
      <w:r>
        <w:rPr>
          <w:rFonts w:ascii="Times New Roman" w:hAnsi="Times New Roman"/>
          <w:color w:val="000000"/>
          <w:sz w:val="20"/>
        </w:rPr>
        <w:t>This Amendment No. [3] (the “</w:t>
      </w:r>
      <w:r>
        <w:rPr>
          <w:rFonts w:ascii="Times New Roman" w:hAnsi="Times New Roman"/>
          <w:b/>
          <w:color w:val="000000"/>
          <w:sz w:val="20"/>
          <w:u w:val="single"/>
        </w:rPr>
        <w:t>Amendment</w:t>
      </w:r>
      <w:r>
        <w:rPr>
          <w:rFonts w:ascii="Times New Roman" w:hAnsi="Times New Roman"/>
          <w:color w:val="000000"/>
          <w:sz w:val="20"/>
        </w:rPr>
        <w:t>”) modifies the Digital Property and Demand Services Agreement dated November 28, 2022 between Taboola, Inc. (“</w:t>
      </w:r>
      <w:r>
        <w:rPr>
          <w:rFonts w:ascii="Times New Roman" w:hAnsi="Times New Roman"/>
          <w:b/>
          <w:color w:val="000000"/>
          <w:sz w:val="20"/>
          <w:u w:val="single"/>
        </w:rPr>
        <w:t>Taboola</w:t>
      </w:r>
      <w:r>
        <w:rPr>
          <w:rFonts w:ascii="Times New Roman" w:hAnsi="Times New Roman"/>
          <w:color w:val="000000"/>
          <w:sz w:val="20"/>
        </w:rPr>
        <w:t>”) and Yahoo Inc. and its Affiliates (“</w:t>
      </w:r>
      <w:r>
        <w:rPr>
          <w:rFonts w:ascii="Times New Roman" w:hAnsi="Times New Roman"/>
          <w:b/>
          <w:color w:val="000000"/>
          <w:sz w:val="20"/>
          <w:u w:val="single"/>
        </w:rPr>
        <w:t>Yahoo</w:t>
      </w:r>
      <w:r>
        <w:rPr>
          <w:rFonts w:ascii="Times New Roman" w:hAnsi="Times New Roman"/>
          <w:color w:val="000000"/>
          <w:sz w:val="20"/>
        </w:rPr>
        <w:t>” or “</w:t>
      </w:r>
      <w:r>
        <w:rPr>
          <w:rFonts w:ascii="Times New Roman" w:hAnsi="Times New Roman"/>
          <w:b/>
          <w:color w:val="000000"/>
          <w:sz w:val="20"/>
          <w:u w:val="single"/>
        </w:rPr>
        <w:t>Company</w:t>
      </w:r>
      <w:r>
        <w:rPr>
          <w:rFonts w:ascii="Times New Roman" w:hAnsi="Times New Roman"/>
          <w:color w:val="000000"/>
          <w:sz w:val="20"/>
        </w:rPr>
        <w:t>”) (the “</w:t>
      </w:r>
      <w:r>
        <w:rPr>
          <w:rFonts w:ascii="Times New Roman" w:hAnsi="Times New Roman"/>
          <w:b/>
          <w:color w:val="000000"/>
          <w:sz w:val="20"/>
          <w:u w:val="single"/>
        </w:rPr>
        <w:t>Agreement</w:t>
      </w:r>
      <w:r>
        <w:rPr>
          <w:rFonts w:ascii="Times New Roman" w:hAnsi="Times New Roman"/>
          <w:color w:val="000000"/>
          <w:sz w:val="20"/>
        </w:rPr>
        <w:t>”), as amended. This Amendment is made and effective as of June 30, 2024 (the “</w:t>
      </w:r>
      <w:r>
        <w:rPr>
          <w:rFonts w:ascii="Times New Roman" w:hAnsi="Times New Roman"/>
          <w:b/>
          <w:color w:val="000000"/>
          <w:sz w:val="20"/>
          <w:u w:val="single"/>
        </w:rPr>
        <w:t>Amendment Effective</w:t>
      </w:r>
      <w:r>
        <w:rPr>
          <w:rFonts w:ascii="Times New Roman" w:hAnsi="Times New Roman"/>
          <w:b/>
          <w:color w:val="000000"/>
          <w:sz w:val="20"/>
        </w:rPr>
        <w:t> </w:t>
      </w:r>
      <w:r>
        <w:rPr>
          <w:rFonts w:ascii="Times New Roman" w:hAnsi="Times New Roman"/>
          <w:b/>
          <w:color w:val="000000"/>
          <w:sz w:val="20"/>
          <w:u w:val="single"/>
        </w:rPr>
        <w:t>Date</w:t>
      </w:r>
      <w:r>
        <w:rPr>
          <w:rFonts w:ascii="Times New Roman" w:hAnsi="Times New Roman"/>
          <w:color w:val="000000"/>
          <w:sz w:val="20"/>
        </w:rPr>
        <w:t>”). Yahoo and Taboola may each be referred to as a “</w:t>
      </w:r>
      <w:r>
        <w:rPr>
          <w:rFonts w:ascii="Times New Roman" w:hAnsi="Times New Roman"/>
          <w:b/>
          <w:color w:val="000000"/>
          <w:sz w:val="20"/>
          <w:u w:val="single"/>
        </w:rPr>
        <w:t>Party</w:t>
      </w:r>
      <w:r>
        <w:rPr>
          <w:rFonts w:ascii="Times New Roman" w:hAnsi="Times New Roman"/>
          <w:color w:val="000000"/>
          <w:sz w:val="20"/>
        </w:rPr>
        <w:t>” or collectively as the “</w:t>
      </w:r>
      <w:r>
        <w:rPr>
          <w:rFonts w:ascii="Times New Roman" w:hAnsi="Times New Roman"/>
          <w:b/>
          <w:color w:val="000000"/>
          <w:sz w:val="20"/>
          <w:u w:val="single"/>
        </w:rPr>
        <w:t>Parties</w:t>
      </w:r>
      <w:r>
        <w:rPr>
          <w:rFonts w:ascii="Times New Roman" w:hAnsi="Times New Roman"/>
          <w:color w:val="000000"/>
          <w:sz w:val="20"/>
        </w:rPr>
        <w:t>”. Capitalized terms used herein and not otherwise defined shall have the meaning ascribed to them in the Agreement. In the event of any inconsistency between the terms of this Amendment and the Agreement, the terms of this Amendment shall prevail.</w:t>
      </w:r>
    </w:p>
    <w:p>
      <w:pPr>
        <w:pStyle w:val="TextBody"/>
        <w:bidi w:val="0"/>
        <w:spacing w:before="0" w:after="0"/>
        <w:jc w:val="left"/>
        <w:rPr>
          <w:color w:val="000000"/>
        </w:rPr>
      </w:pPr>
      <w:r>
        <w:rPr>
          <w:color w:val="000000"/>
        </w:rPr>
        <w:t> </w:t>
      </w:r>
    </w:p>
    <w:p>
      <w:pPr>
        <w:pStyle w:val="TextBody"/>
        <w:bidi w:val="0"/>
        <w:spacing w:before="0" w:after="0"/>
        <w:ind w:left="860" w:right="3737" w:hanging="0"/>
        <w:jc w:val="both"/>
        <w:rPr>
          <w:rFonts w:ascii="Times New Roman" w:hAnsi="Times New Roman"/>
          <w:color w:val="000000"/>
          <w:sz w:val="20"/>
        </w:rPr>
      </w:pPr>
      <w:r>
        <w:rPr>
          <w:rFonts w:ascii="Times New Roman" w:hAnsi="Times New Roman"/>
          <w:color w:val="000000"/>
          <w:sz w:val="20"/>
        </w:rPr>
        <w:t>WHEREAS, Yahoo and Taboola are Parties to the Agreement; and WHEREAS, the Parties wish to amend the Agreement in certain respects;</w:t>
      </w:r>
    </w:p>
    <w:p>
      <w:pPr>
        <w:pStyle w:val="TextBody"/>
        <w:bidi w:val="0"/>
        <w:spacing w:before="0" w:after="0"/>
        <w:ind w:left="140" w:right="140" w:firstLine="720"/>
        <w:jc w:val="both"/>
        <w:rPr>
          <w:rFonts w:ascii="Times New Roman" w:hAnsi="Times New Roman"/>
          <w:color w:val="000000"/>
          <w:sz w:val="20"/>
        </w:rPr>
      </w:pPr>
      <w:r>
        <w:rPr>
          <w:rFonts w:ascii="Times New Roman" w:hAnsi="Times New Roman"/>
          <w:color w:val="000000"/>
          <w:sz w:val="20"/>
        </w:rPr>
        <w:t>NOW, THEREFORE, in consideration of the premises and for other good and valuable consideration, the receipt and adequacy of which are hereby acknowledged, the Parties hereto hereby agree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6" w:name="z860ecc8406b049a5a9e02dc8da98f5b3"/>
      <w:bookmarkStart w:id="387" w:name="z860ecc8406b049a5a9e02dc8da98f5b3"/>
      <w:bookmarkEnd w:id="387"/>
    </w:p>
    <w:tbl>
      <w:tblPr>
        <w:tblW w:w="3100" w:type="dxa"/>
        <w:jc w:val="left"/>
        <w:tblInd w:w="0" w:type="dxa"/>
        <w:tblLayout w:type="fixed"/>
        <w:tblCellMar>
          <w:top w:w="0" w:type="dxa"/>
          <w:left w:w="0" w:type="dxa"/>
          <w:bottom w:w="0" w:type="dxa"/>
          <w:right w:w="0" w:type="dxa"/>
        </w:tblCellMar>
      </w:tblPr>
      <w:tblGrid>
        <w:gridCol w:w="215"/>
        <w:gridCol w:w="2885"/>
      </w:tblGrid>
      <w:tr>
        <w:trPr/>
        <w:tc>
          <w:tcPr>
            <w:tcW w:w="215" w:type="dxa"/>
            <w:tcBorders/>
            <w:vAlign w:val="center"/>
          </w:tcPr>
          <w:p>
            <w:pPr>
              <w:pStyle w:val="TableContents"/>
              <w:bidi w:val="0"/>
              <w:spacing w:before="0" w:after="283"/>
              <w:jc w:val="left"/>
              <w:rPr/>
            </w:pPr>
            <w:r>
              <w:rPr/>
              <w:t>1.</w:t>
            </w:r>
          </w:p>
        </w:tc>
        <w:tc>
          <w:tcPr>
            <w:tcW w:w="2885" w:type="dxa"/>
            <w:tcBorders/>
            <w:vAlign w:val="center"/>
          </w:tcPr>
          <w:p>
            <w:pPr>
              <w:pStyle w:val="TableContents"/>
              <w:bidi w:val="0"/>
              <w:spacing w:before="0" w:after="0"/>
              <w:jc w:val="left"/>
              <w:rPr/>
            </w:pPr>
            <w:r>
              <w:rPr>
                <w:b/>
                <w:u w:val="single"/>
              </w:rPr>
              <w:t>Supply Mediation Program</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8" w:name="z735d5610ad3b4185ba0f5ab4fc6c1b33"/>
      <w:bookmarkStart w:id="389" w:name="z735d5610ad3b4185ba0f5ab4fc6c1b33"/>
      <w:bookmarkEnd w:id="389"/>
    </w:p>
    <w:tbl>
      <w:tblPr>
        <w:tblW w:w="5305" w:type="dxa"/>
        <w:jc w:val="left"/>
        <w:tblInd w:w="0" w:type="dxa"/>
        <w:tblLayout w:type="fixed"/>
        <w:tblCellMar>
          <w:top w:w="0" w:type="dxa"/>
          <w:left w:w="0" w:type="dxa"/>
          <w:bottom w:w="0" w:type="dxa"/>
          <w:right w:w="0" w:type="dxa"/>
        </w:tblCellMar>
      </w:tblPr>
      <w:tblGrid>
        <w:gridCol w:w="75"/>
        <w:gridCol w:w="380"/>
        <w:gridCol w:w="48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1.1.</w:t>
            </w:r>
          </w:p>
        </w:tc>
        <w:tc>
          <w:tcPr>
            <w:tcW w:w="4850" w:type="dxa"/>
            <w:tcBorders/>
            <w:vAlign w:val="center"/>
          </w:tcPr>
          <w:p>
            <w:pPr>
              <w:pStyle w:val="TableContents"/>
              <w:bidi w:val="0"/>
              <w:spacing w:before="0" w:after="0"/>
              <w:jc w:val="both"/>
              <w:rPr/>
            </w:pPr>
            <w:r>
              <w:rPr>
                <w:b/>
                <w:color w:val="000000"/>
                <w:u w:val="single"/>
              </w:rPr>
              <w:t>Program</w:t>
            </w:r>
            <w:r>
              <w:rPr>
                <w:color w:val="000000"/>
              </w:rPr>
              <w:t>. [***]</w:t>
            </w:r>
            <w:r>
              <w:rPr/>
              <w:t> </w:t>
            </w:r>
            <w:r>
              <w:rPr>
                <w:color w:val="000000"/>
              </w:rPr>
              <w:t>(the “</w:t>
            </w:r>
            <w:r>
              <w:rPr>
                <w:b/>
                <w:color w:val="000000"/>
              </w:rPr>
              <w:t>Supply Mediation Term</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0" w:name="z38fb2ef6804544e197cc40cacdc0643a"/>
      <w:bookmarkStart w:id="391" w:name="z38fb2ef6804544e197cc40cacdc0643a"/>
      <w:bookmarkEnd w:id="391"/>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pPr>
            <w:r>
              <w:rPr/>
            </w:r>
          </w:p>
        </w:tc>
        <w:tc>
          <w:tcPr>
            <w:tcW w:w="342" w:type="dxa"/>
            <w:tcBorders/>
            <w:vAlign w:val="center"/>
          </w:tcPr>
          <w:p>
            <w:pPr>
              <w:pStyle w:val="TableContents"/>
              <w:bidi w:val="0"/>
              <w:spacing w:before="0" w:after="283"/>
              <w:jc w:val="left"/>
              <w:rPr/>
            </w:pPr>
            <w:r>
              <w:rPr/>
              <w:t>1.2.</w:t>
            </w:r>
          </w:p>
        </w:tc>
        <w:tc>
          <w:tcPr>
            <w:tcW w:w="9825" w:type="dxa"/>
            <w:tcBorders/>
            <w:vAlign w:val="center"/>
          </w:tcPr>
          <w:p>
            <w:pPr>
              <w:pStyle w:val="TableContents"/>
              <w:bidi w:val="0"/>
              <w:spacing w:before="0" w:after="0"/>
              <w:jc w:val="both"/>
              <w:rPr/>
            </w:pPr>
            <w:r>
              <w:rPr>
                <w:b/>
                <w:color w:val="000000"/>
                <w:u w:val="single"/>
              </w:rPr>
              <w:t>Set-Up/Collaboration</w:t>
            </w:r>
            <w:r>
              <w:rPr>
                <w:color w:val="000000"/>
              </w:rPr>
              <w:t>. Senior representatives from each Party (i.e., Vice President or above) shall meet regularly and in good faith to discuss and implement the technical requirements necessary to fulfill the Supply Mediation Program by June 30, 2024.</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2" w:name="z0e76b0e94a214ac1b0c174199c261aa0"/>
      <w:bookmarkStart w:id="393" w:name="z0e76b0e94a214ac1b0c174199c261aa0"/>
      <w:bookmarkEnd w:id="393"/>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pPr>
            <w:r>
              <w:rPr/>
            </w:r>
          </w:p>
        </w:tc>
        <w:tc>
          <w:tcPr>
            <w:tcW w:w="340" w:type="dxa"/>
            <w:tcBorders/>
            <w:vAlign w:val="center"/>
          </w:tcPr>
          <w:p>
            <w:pPr>
              <w:pStyle w:val="TableContents"/>
              <w:bidi w:val="0"/>
              <w:spacing w:before="0" w:after="283"/>
              <w:jc w:val="left"/>
              <w:rPr/>
            </w:pPr>
            <w:r>
              <w:rPr/>
              <w:t>1.3.</w:t>
            </w:r>
          </w:p>
        </w:tc>
        <w:tc>
          <w:tcPr>
            <w:tcW w:w="9827" w:type="dxa"/>
            <w:tcBorders/>
            <w:vAlign w:val="center"/>
          </w:tcPr>
          <w:p>
            <w:pPr>
              <w:pStyle w:val="TableContents"/>
              <w:bidi w:val="0"/>
              <w:spacing w:before="0" w:after="0"/>
              <w:jc w:val="both"/>
              <w:rPr/>
            </w:pPr>
            <w:r>
              <w:rPr>
                <w:b/>
                <w:color w:val="000000"/>
                <w:u w:val="single"/>
              </w:rPr>
              <w:t>Pacing</w:t>
            </w:r>
            <w:r>
              <w:rPr>
                <w:color w:val="000000"/>
              </w:rPr>
              <w:t>. The Parties shall ensure that the pacing of Mediated Impressions allocated to Yahoo will increase proportionately on a weekly basis [***]. Once ramped, monthly volumes should be evenly distributed over the entire Supply Mediation Term, to the extent practicable.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4" w:name="z77a79bb0a2964f989bf3d1c3036e577a"/>
      <w:bookmarkStart w:id="395" w:name="z77a79bb0a2964f989bf3d1c3036e577a"/>
      <w:bookmarkEnd w:id="395"/>
    </w:p>
    <w:tbl>
      <w:tblPr>
        <w:tblW w:w="3123" w:type="dxa"/>
        <w:jc w:val="left"/>
        <w:tblInd w:w="0" w:type="dxa"/>
        <w:tblLayout w:type="fixed"/>
        <w:tblCellMar>
          <w:top w:w="0" w:type="dxa"/>
          <w:left w:w="0" w:type="dxa"/>
          <w:bottom w:w="0" w:type="dxa"/>
          <w:right w:w="0" w:type="dxa"/>
        </w:tblCellMar>
      </w:tblPr>
      <w:tblGrid>
        <w:gridCol w:w="38"/>
        <w:gridCol w:w="380"/>
        <w:gridCol w:w="270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1.4.</w:t>
            </w:r>
          </w:p>
        </w:tc>
        <w:tc>
          <w:tcPr>
            <w:tcW w:w="2705" w:type="dxa"/>
            <w:tcBorders/>
            <w:vAlign w:val="center"/>
          </w:tcPr>
          <w:p>
            <w:pPr>
              <w:pStyle w:val="TableContents"/>
              <w:bidi w:val="0"/>
              <w:spacing w:before="0" w:after="0"/>
              <w:jc w:val="both"/>
              <w:rPr/>
            </w:pPr>
            <w:r>
              <w:rPr>
                <w:b/>
                <w:color w:val="000000"/>
                <w:u w:val="single"/>
              </w:rPr>
              <w:t>Random Allocation</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6" w:name="z0f6a1e3434734c498def9adc3c3bac47"/>
      <w:bookmarkStart w:id="397" w:name="z0f6a1e3434734c498def9adc3c3bac47"/>
      <w:bookmarkEnd w:id="397"/>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pPr>
            <w:r>
              <w:rPr/>
            </w:r>
          </w:p>
        </w:tc>
        <w:tc>
          <w:tcPr>
            <w:tcW w:w="336" w:type="dxa"/>
            <w:tcBorders/>
            <w:vAlign w:val="center"/>
          </w:tcPr>
          <w:p>
            <w:pPr>
              <w:pStyle w:val="TableContents"/>
              <w:bidi w:val="0"/>
              <w:spacing w:before="0" w:after="283"/>
              <w:jc w:val="left"/>
              <w:rPr/>
            </w:pPr>
            <w:r>
              <w:rPr/>
              <w:t>1.5.</w:t>
            </w:r>
          </w:p>
        </w:tc>
        <w:tc>
          <w:tcPr>
            <w:tcW w:w="9831" w:type="dxa"/>
            <w:tcBorders/>
            <w:vAlign w:val="center"/>
          </w:tcPr>
          <w:p>
            <w:pPr>
              <w:pStyle w:val="TableContents"/>
              <w:bidi w:val="0"/>
              <w:spacing w:before="0" w:after="0"/>
              <w:jc w:val="both"/>
              <w:rPr/>
            </w:pPr>
            <w:r>
              <w:rPr>
                <w:b/>
                <w:color w:val="000000"/>
                <w:u w:val="single"/>
              </w:rPr>
              <w:t>Header Bidding Integration</w:t>
            </w:r>
            <w:r>
              <w:rPr>
                <w:color w:val="000000"/>
              </w:rPr>
              <w:t>. During the Supply Mediation Term, Yahoo shall make Mediated Impressions available to Taboola for bidding through the Header Bidding Integration. [***].</w:t>
            </w:r>
            <w:r>
              <w:rPr/>
              <w:t xml:space="preserve">  </w:t>
            </w:r>
            <w:r>
              <w:rPr>
                <w:color w:val="000000"/>
              </w:rPr>
              <w:t>Yahoo will include Taboola’s Header Bidding Adapter into the Header Bidding Integration when Taboola delivers such Header Bidder Adapter to Yahoo.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8" w:name="z024e11fbeafa493aaaec783a40924fa8"/>
      <w:bookmarkStart w:id="399" w:name="z024e11fbeafa493aaaec783a40924fa8"/>
      <w:bookmarkEnd w:id="399"/>
    </w:p>
    <w:tbl>
      <w:tblPr>
        <w:tblW w:w="3003" w:type="dxa"/>
        <w:jc w:val="left"/>
        <w:tblInd w:w="0" w:type="dxa"/>
        <w:tblLayout w:type="fixed"/>
        <w:tblCellMar>
          <w:top w:w="0" w:type="dxa"/>
          <w:left w:w="0" w:type="dxa"/>
          <w:bottom w:w="0" w:type="dxa"/>
          <w:right w:w="0" w:type="dxa"/>
        </w:tblCellMar>
      </w:tblPr>
      <w:tblGrid>
        <w:gridCol w:w="38"/>
        <w:gridCol w:w="380"/>
        <w:gridCol w:w="258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1.6.</w:t>
            </w:r>
          </w:p>
        </w:tc>
        <w:tc>
          <w:tcPr>
            <w:tcW w:w="2585" w:type="dxa"/>
            <w:tcBorders/>
            <w:vAlign w:val="center"/>
          </w:tcPr>
          <w:p>
            <w:pPr>
              <w:pStyle w:val="TableContents"/>
              <w:bidi w:val="0"/>
              <w:spacing w:before="0" w:after="0"/>
              <w:jc w:val="left"/>
              <w:rPr/>
            </w:pPr>
            <w:r>
              <w:rPr>
                <w:b/>
                <w:u w:val="single"/>
              </w:rPr>
              <w:t>Fees and Payment</w:t>
            </w:r>
            <w:r>
              <w:rPr/>
              <w:t xml:space="preserve">. </w:t>
            </w:r>
            <w:r>
              <w:rPr>
                <w:color w:val="000000"/>
                <w:u w:val="single"/>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0" w:name="zac8146ac671e4aa2bfb6a75ed4fd17a2"/>
      <w:bookmarkStart w:id="401" w:name="zac8146ac671e4aa2bfb6a75ed4fd17a2"/>
      <w:bookmarkEnd w:id="401"/>
    </w:p>
    <w:tbl>
      <w:tblPr>
        <w:tblW w:w="4255" w:type="dxa"/>
        <w:jc w:val="left"/>
        <w:tblInd w:w="0" w:type="dxa"/>
        <w:tblLayout w:type="fixed"/>
        <w:tblCellMar>
          <w:top w:w="0" w:type="dxa"/>
          <w:left w:w="0" w:type="dxa"/>
          <w:bottom w:w="0" w:type="dxa"/>
          <w:right w:w="0" w:type="dxa"/>
        </w:tblCellMar>
      </w:tblPr>
      <w:tblGrid>
        <w:gridCol w:w="75"/>
        <w:gridCol w:w="185"/>
        <w:gridCol w:w="399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3995" w:type="dxa"/>
            <w:tcBorders/>
            <w:vAlign w:val="center"/>
          </w:tcPr>
          <w:p>
            <w:pPr>
              <w:pStyle w:val="TableContents"/>
              <w:bidi w:val="0"/>
              <w:spacing w:before="0" w:after="0"/>
              <w:jc w:val="both"/>
              <w:rPr/>
            </w:pPr>
            <w:r>
              <w:rPr>
                <w:b/>
                <w:color w:val="000000"/>
                <w:u w:val="single"/>
              </w:rPr>
              <w:t>Program Fee</w:t>
            </w:r>
            <w:r>
              <w:rPr>
                <w:color w:val="000000"/>
              </w:rPr>
              <w:t>.  [***].</w:t>
            </w:r>
            <w:r>
              <w:rPr/>
              <w:t> </w:t>
            </w:r>
            <w:r>
              <w:rPr>
                <w:b/>
                <w:color w:val="000000"/>
                <w:u w:val="single"/>
              </w:rPr>
              <w:t>Fixed CPM</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2" w:name="zd1eb6b06ab77496cb26bde6d84b359ba"/>
      <w:bookmarkStart w:id="403" w:name="zd1eb6b06ab77496cb26bde6d84b359ba"/>
      <w:bookmarkEnd w:id="403"/>
    </w:p>
    <w:tbl>
      <w:tblPr>
        <w:tblW w:w="3543" w:type="dxa"/>
        <w:jc w:val="left"/>
        <w:tblInd w:w="0" w:type="dxa"/>
        <w:tblLayout w:type="fixed"/>
        <w:tblCellMar>
          <w:top w:w="0" w:type="dxa"/>
          <w:left w:w="0" w:type="dxa"/>
          <w:bottom w:w="0" w:type="dxa"/>
          <w:right w:w="0" w:type="dxa"/>
        </w:tblCellMar>
      </w:tblPr>
      <w:tblGrid>
        <w:gridCol w:w="38"/>
        <w:gridCol w:w="200"/>
        <w:gridCol w:w="330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3305" w:type="dxa"/>
            <w:tcBorders/>
            <w:vAlign w:val="center"/>
          </w:tcPr>
          <w:p>
            <w:pPr>
              <w:pStyle w:val="TableContents"/>
              <w:bidi w:val="0"/>
              <w:spacing w:before="0" w:after="0"/>
              <w:jc w:val="both"/>
              <w:rPr/>
            </w:pPr>
            <w:r>
              <w:rPr>
                <w:b/>
                <w:color w:val="000000"/>
                <w:u w:val="single"/>
              </w:rPr>
              <w:t>Minimum CPM Payment</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4" w:name="ze206c0e3244a49038d82468ec32a31c7"/>
      <w:bookmarkStart w:id="405" w:name="ze206c0e3244a49038d82468ec32a31c7"/>
      <w:bookmarkEnd w:id="405"/>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both"/>
              <w:rPr/>
            </w:pPr>
            <w:r>
              <w:rPr>
                <w:b/>
                <w:color w:val="000000"/>
                <w:u w:val="single"/>
              </w:rPr>
              <w:t>Payment Timing/Reporting from the Parties</w:t>
            </w:r>
            <w:r>
              <w:rPr>
                <w:color w:val="000000"/>
              </w:rPr>
              <w:t>. [***]. Yahoo shall provide Taboola with weekly reporting for Mediated Impressions of Placements monetized by Yahoo (i.e., number of impressions, win rate, viewability, CPM, platform, Placement) based on Yahoo internal reporting. [***].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6" w:name="z6dca38ac9c2f4b46a109e4fe57838589"/>
      <w:bookmarkStart w:id="407" w:name="z6dca38ac9c2f4b46a109e4fe57838589"/>
      <w:bookmarkEnd w:id="407"/>
    </w:p>
    <w:tbl>
      <w:tblPr>
        <w:tblW w:w="843" w:type="dxa"/>
        <w:jc w:val="left"/>
        <w:tblInd w:w="0" w:type="dxa"/>
        <w:tblLayout w:type="fixed"/>
        <w:tblCellMar>
          <w:top w:w="0" w:type="dxa"/>
          <w:left w:w="0" w:type="dxa"/>
          <w:bottom w:w="0" w:type="dxa"/>
          <w:right w:w="0" w:type="dxa"/>
        </w:tblCellMar>
      </w:tblPr>
      <w:tblGrid>
        <w:gridCol w:w="38"/>
        <w:gridCol w:w="200"/>
        <w:gridCol w:w="60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d.</w:t>
            </w:r>
          </w:p>
        </w:tc>
        <w:tc>
          <w:tcPr>
            <w:tcW w:w="605" w:type="dxa"/>
            <w:tcBorders/>
            <w:vAlign w:val="center"/>
          </w:tcPr>
          <w:p>
            <w:pPr>
              <w:pStyle w:val="TableContents"/>
              <w:bidi w:val="0"/>
              <w:spacing w:before="0" w:after="0"/>
              <w:jc w:val="both"/>
              <w:rPr>
                <w:color w:val="000000"/>
              </w:rPr>
            </w:pPr>
            <w:r>
              <w:rPr>
                <w:color w:val="000000"/>
              </w:rPr>
              <w:t>[***].</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08" w:name="z0ef424ae81fa462c98493d0d7d604ff4"/>
      <w:bookmarkStart w:id="409" w:name="z0ef424ae81fa462c98493d0d7d604ff4"/>
      <w:bookmarkEnd w:id="409"/>
    </w:p>
    <w:tbl>
      <w:tblPr>
        <w:tblW w:w="3243" w:type="dxa"/>
        <w:jc w:val="left"/>
        <w:tblInd w:w="0" w:type="dxa"/>
        <w:tblLayout w:type="fixed"/>
        <w:tblCellMar>
          <w:top w:w="0" w:type="dxa"/>
          <w:left w:w="0" w:type="dxa"/>
          <w:bottom w:w="0" w:type="dxa"/>
          <w:right w:w="0" w:type="dxa"/>
        </w:tblCellMar>
      </w:tblPr>
      <w:tblGrid>
        <w:gridCol w:w="38"/>
        <w:gridCol w:w="380"/>
        <w:gridCol w:w="282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1.7.</w:t>
            </w:r>
          </w:p>
        </w:tc>
        <w:tc>
          <w:tcPr>
            <w:tcW w:w="2825" w:type="dxa"/>
            <w:tcBorders/>
            <w:vAlign w:val="center"/>
          </w:tcPr>
          <w:p>
            <w:pPr>
              <w:pStyle w:val="TableContents"/>
              <w:bidi w:val="0"/>
              <w:spacing w:before="0" w:after="0"/>
              <w:jc w:val="both"/>
              <w:rPr/>
            </w:pPr>
            <w:r>
              <w:rPr>
                <w:b/>
                <w:color w:val="000000"/>
                <w:u w:val="single"/>
              </w:rPr>
              <w:t>Operational Meeting</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0" w:name="zee6170527d7442b3bde1df6f140bf514"/>
      <w:bookmarkStart w:id="411" w:name="zee6170527d7442b3bde1df6f140bf514"/>
      <w:bookmarkEnd w:id="411"/>
    </w:p>
    <w:tbl>
      <w:tblPr>
        <w:tblW w:w="10205" w:type="dxa"/>
        <w:jc w:val="left"/>
        <w:tblInd w:w="0" w:type="dxa"/>
        <w:tblLayout w:type="fixed"/>
        <w:tblCellMar>
          <w:top w:w="0" w:type="dxa"/>
          <w:left w:w="0" w:type="dxa"/>
          <w:bottom w:w="0" w:type="dxa"/>
          <w:right w:w="0" w:type="dxa"/>
        </w:tblCellMar>
      </w:tblPr>
      <w:tblGrid>
        <w:gridCol w:w="38"/>
        <w:gridCol w:w="366"/>
        <w:gridCol w:w="9801"/>
      </w:tblGrid>
      <w:tr>
        <w:trPr/>
        <w:tc>
          <w:tcPr>
            <w:tcW w:w="38" w:type="dxa"/>
            <w:tcBorders/>
            <w:vAlign w:val="center"/>
          </w:tcPr>
          <w:p>
            <w:pPr>
              <w:pStyle w:val="TableContents"/>
              <w:bidi w:val="0"/>
              <w:spacing w:before="0" w:after="283"/>
              <w:jc w:val="left"/>
              <w:rPr/>
            </w:pPr>
            <w:r>
              <w:rPr/>
            </w:r>
          </w:p>
        </w:tc>
        <w:tc>
          <w:tcPr>
            <w:tcW w:w="366" w:type="dxa"/>
            <w:tcBorders/>
            <w:vAlign w:val="center"/>
          </w:tcPr>
          <w:p>
            <w:pPr>
              <w:pStyle w:val="TableContents"/>
              <w:bidi w:val="0"/>
              <w:spacing w:before="0" w:after="283"/>
              <w:jc w:val="left"/>
              <w:rPr/>
            </w:pPr>
            <w:r>
              <w:rPr/>
              <w:t>1.8.</w:t>
            </w:r>
          </w:p>
        </w:tc>
        <w:tc>
          <w:tcPr>
            <w:tcW w:w="9801" w:type="dxa"/>
            <w:tcBorders/>
            <w:vAlign w:val="center"/>
          </w:tcPr>
          <w:p>
            <w:pPr>
              <w:pStyle w:val="TableContents"/>
              <w:bidi w:val="0"/>
              <w:spacing w:before="0" w:after="0"/>
              <w:jc w:val="both"/>
              <w:rPr/>
            </w:pPr>
            <w:r>
              <w:rPr>
                <w:b/>
                <w:color w:val="000000"/>
                <w:u w:val="single"/>
              </w:rPr>
              <w:t>Termination by Yahoo</w:t>
            </w:r>
            <w:r>
              <w:rPr>
                <w:color w:val="000000"/>
              </w:rPr>
              <w:t>. Notwithstanding anything to the contrary, Yahoo may terminate the Supply Mediation Program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2" w:name="zc265a3de2518456d8261baa49a25309a"/>
      <w:bookmarkStart w:id="413" w:name="zc265a3de2518456d8261baa49a25309a"/>
      <w:bookmarkEnd w:id="413"/>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1.9.</w:t>
            </w:r>
          </w:p>
        </w:tc>
        <w:tc>
          <w:tcPr>
            <w:tcW w:w="9802" w:type="dxa"/>
            <w:tcBorders/>
            <w:vAlign w:val="center"/>
          </w:tcPr>
          <w:p>
            <w:pPr>
              <w:pStyle w:val="TableContents"/>
              <w:bidi w:val="0"/>
              <w:spacing w:before="0" w:after="0"/>
              <w:jc w:val="both"/>
              <w:rPr/>
            </w:pPr>
            <w:r>
              <w:rPr>
                <w:b/>
                <w:color w:val="000000"/>
                <w:u w:val="single"/>
              </w:rPr>
              <w:t>Termination by Taboola</w:t>
            </w:r>
            <w:r>
              <w:rPr>
                <w:color w:val="000000"/>
              </w:rPr>
              <w:t>. Notwithstanding anything to the contrary, Taboola may terminate the Supply Mediation Program [***]</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4" w:name="z39f12713f18045e49e385789e6173bd1"/>
      <w:bookmarkStart w:id="415" w:name="z39f12713f18045e49e385789e6173bd1"/>
      <w:bookmarkEnd w:id="415"/>
    </w:p>
    <w:tbl>
      <w:tblPr>
        <w:tblW w:w="10205" w:type="dxa"/>
        <w:jc w:val="left"/>
        <w:tblInd w:w="0" w:type="dxa"/>
        <w:tblLayout w:type="fixed"/>
        <w:tblCellMar>
          <w:top w:w="0" w:type="dxa"/>
          <w:left w:w="0" w:type="dxa"/>
          <w:bottom w:w="0" w:type="dxa"/>
          <w:right w:w="0" w:type="dxa"/>
        </w:tblCellMar>
      </w:tblPr>
      <w:tblGrid>
        <w:gridCol w:w="38"/>
        <w:gridCol w:w="459"/>
        <w:gridCol w:w="9708"/>
      </w:tblGrid>
      <w:tr>
        <w:trPr/>
        <w:tc>
          <w:tcPr>
            <w:tcW w:w="38" w:type="dxa"/>
            <w:tcBorders/>
            <w:vAlign w:val="center"/>
          </w:tcPr>
          <w:p>
            <w:pPr>
              <w:pStyle w:val="TableContents"/>
              <w:bidi w:val="0"/>
              <w:spacing w:before="0" w:after="283"/>
              <w:jc w:val="left"/>
              <w:rPr/>
            </w:pPr>
            <w:r>
              <w:rPr/>
            </w:r>
          </w:p>
        </w:tc>
        <w:tc>
          <w:tcPr>
            <w:tcW w:w="459" w:type="dxa"/>
            <w:tcBorders/>
            <w:vAlign w:val="center"/>
          </w:tcPr>
          <w:p>
            <w:pPr>
              <w:pStyle w:val="TableContents"/>
              <w:bidi w:val="0"/>
              <w:spacing w:before="0" w:after="283"/>
              <w:jc w:val="left"/>
              <w:rPr/>
            </w:pPr>
            <w:r>
              <w:rPr/>
              <w:t>1.10.</w:t>
            </w:r>
          </w:p>
        </w:tc>
        <w:tc>
          <w:tcPr>
            <w:tcW w:w="9708" w:type="dxa"/>
            <w:tcBorders/>
            <w:vAlign w:val="center"/>
          </w:tcPr>
          <w:p>
            <w:pPr>
              <w:pStyle w:val="TableContents"/>
              <w:bidi w:val="0"/>
              <w:spacing w:before="0" w:after="0"/>
              <w:jc w:val="both"/>
              <w:rPr/>
            </w:pPr>
            <w:r>
              <w:rPr>
                <w:b/>
                <w:color w:val="000000"/>
                <w:u w:val="single"/>
              </w:rPr>
              <w:t>Wind Down Period</w:t>
            </w:r>
            <w:r>
              <w:rPr>
                <w:color w:val="000000"/>
              </w:rPr>
              <w:t>. Upon expiration or termination of the Supply Mediation Program, the Parties will work in good faith to affect an orderly wind down of such program over thirty (30) days with the objective of reasonably mitigating material impact to the Properties and/or the Taboola Network.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6" w:name="z6b11f27cefc24064a67e63601256eb65"/>
      <w:bookmarkStart w:id="417" w:name="z6b11f27cefc24064a67e63601256eb65"/>
      <w:bookmarkEnd w:id="417"/>
    </w:p>
    <w:tbl>
      <w:tblPr>
        <w:tblW w:w="2755" w:type="dxa"/>
        <w:jc w:val="left"/>
        <w:tblInd w:w="0" w:type="dxa"/>
        <w:tblLayout w:type="fixed"/>
        <w:tblCellMar>
          <w:top w:w="0" w:type="dxa"/>
          <w:left w:w="0" w:type="dxa"/>
          <w:bottom w:w="0" w:type="dxa"/>
          <w:right w:w="0" w:type="dxa"/>
        </w:tblCellMar>
      </w:tblPr>
      <w:tblGrid>
        <w:gridCol w:w="215"/>
        <w:gridCol w:w="2540"/>
      </w:tblGrid>
      <w:tr>
        <w:trPr/>
        <w:tc>
          <w:tcPr>
            <w:tcW w:w="215" w:type="dxa"/>
            <w:tcBorders/>
            <w:vAlign w:val="center"/>
          </w:tcPr>
          <w:p>
            <w:pPr>
              <w:pStyle w:val="TableContents"/>
              <w:bidi w:val="0"/>
              <w:spacing w:before="0" w:after="283"/>
              <w:jc w:val="left"/>
              <w:rPr/>
            </w:pPr>
            <w:r>
              <w:rPr/>
              <w:t>2.</w:t>
            </w:r>
          </w:p>
        </w:tc>
        <w:tc>
          <w:tcPr>
            <w:tcW w:w="2540" w:type="dxa"/>
            <w:tcBorders/>
            <w:vAlign w:val="center"/>
          </w:tcPr>
          <w:p>
            <w:pPr>
              <w:pStyle w:val="TableContents"/>
              <w:bidi w:val="0"/>
              <w:spacing w:before="0" w:after="0"/>
              <w:jc w:val="both"/>
              <w:rPr/>
            </w:pPr>
            <w:r>
              <w:rPr>
                <w:b/>
                <w:color w:val="000000"/>
                <w:u w:val="single"/>
              </w:rPr>
              <w:t>Native Sales Force</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8" w:name="z032a1eb064ef42e5913f1baa586e66c5"/>
      <w:bookmarkStart w:id="419" w:name="z032a1eb064ef42e5913f1baa586e66c5"/>
      <w:bookmarkEnd w:id="419"/>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color w:val="000000"/>
              </w:rPr>
            </w:pPr>
            <w:r>
              <w:rPr>
                <w:color w:val="000000"/>
              </w:rPr>
              <w:t>3.</w:t>
            </w:r>
          </w:p>
        </w:tc>
        <w:tc>
          <w:tcPr>
            <w:tcW w:w="545" w:type="dxa"/>
            <w:tcBorders/>
            <w:vAlign w:val="center"/>
          </w:tcPr>
          <w:p>
            <w:pPr>
              <w:pStyle w:val="TableContents"/>
              <w:bidi w:val="0"/>
              <w:spacing w:before="0" w:after="0"/>
              <w:jc w:val="both"/>
              <w:rPr>
                <w:color w:val="000000"/>
              </w:rPr>
            </w:pP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0" w:name="z98de4634e0d04d34bf6f3ab1250fc4b9"/>
      <w:bookmarkStart w:id="421" w:name="z98de4634e0d04d34bf6f3ab1250fc4b9"/>
      <w:bookmarkEnd w:id="421"/>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4.</w:t>
            </w:r>
          </w:p>
        </w:tc>
        <w:tc>
          <w:tcPr>
            <w:tcW w:w="10037" w:type="dxa"/>
            <w:tcBorders/>
            <w:vAlign w:val="center"/>
          </w:tcPr>
          <w:p>
            <w:pPr>
              <w:pStyle w:val="TableContents"/>
              <w:bidi w:val="0"/>
              <w:spacing w:before="0" w:after="0"/>
              <w:jc w:val="both"/>
              <w:rPr/>
            </w:pPr>
            <w:r>
              <w:rPr>
                <w:b/>
                <w:color w:val="000000"/>
                <w:u w:val="single"/>
              </w:rPr>
              <w:t>RTB Buying by Company DSP on Taboola</w:t>
            </w:r>
            <w:r>
              <w:rPr>
                <w:color w:val="000000"/>
              </w:rPr>
              <w:t>. Taboola shall develop and support a technical integration that enables Omnichannel Advertisers to bid on and purchase programmatically (i.e., real time bidding) through Company DSP the same Native Advertisement Inventory made available through the UCAM/Taboola Interface. This technical integration shall be ready for testing no later than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2" w:name="zd3617f592d2749c5ba39ec32139543c3"/>
      <w:bookmarkStart w:id="423" w:name="zd3617f592d2749c5ba39ec32139543c3"/>
      <w:bookmarkEnd w:id="423"/>
    </w:p>
    <w:tbl>
      <w:tblPr>
        <w:tblW w:w="1450" w:type="dxa"/>
        <w:jc w:val="left"/>
        <w:tblInd w:w="0" w:type="dxa"/>
        <w:tblLayout w:type="fixed"/>
        <w:tblCellMar>
          <w:top w:w="0" w:type="dxa"/>
          <w:left w:w="0" w:type="dxa"/>
          <w:bottom w:w="0" w:type="dxa"/>
          <w:right w:w="0" w:type="dxa"/>
        </w:tblCellMar>
      </w:tblPr>
      <w:tblGrid>
        <w:gridCol w:w="215"/>
        <w:gridCol w:w="1235"/>
      </w:tblGrid>
      <w:tr>
        <w:trPr/>
        <w:tc>
          <w:tcPr>
            <w:tcW w:w="215" w:type="dxa"/>
            <w:tcBorders/>
            <w:vAlign w:val="center"/>
          </w:tcPr>
          <w:p>
            <w:pPr>
              <w:pStyle w:val="TableContents"/>
              <w:bidi w:val="0"/>
              <w:spacing w:before="0" w:after="283"/>
              <w:jc w:val="left"/>
              <w:rPr/>
            </w:pPr>
            <w:r>
              <w:rPr/>
              <w:t>5.</w:t>
            </w:r>
          </w:p>
        </w:tc>
        <w:tc>
          <w:tcPr>
            <w:tcW w:w="1235" w:type="dxa"/>
            <w:tcBorders/>
            <w:vAlign w:val="center"/>
          </w:tcPr>
          <w:p>
            <w:pPr>
              <w:pStyle w:val="TableContents"/>
              <w:bidi w:val="0"/>
              <w:spacing w:before="0" w:after="0"/>
              <w:jc w:val="both"/>
              <w:rPr/>
            </w:pPr>
            <w:r>
              <w:rPr>
                <w:b/>
                <w:color w:val="000000"/>
              </w:rPr>
              <w:t>[***].</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4" w:name="z42a66a95ba7d4d3eb16c7a00b0d4b082"/>
      <w:bookmarkStart w:id="425" w:name="z42a66a95ba7d4d3eb16c7a00b0d4b082"/>
      <w:bookmarkEnd w:id="425"/>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pPr>
            <w:r>
              <w:rPr/>
              <w:t>6.</w:t>
            </w:r>
          </w:p>
        </w:tc>
        <w:tc>
          <w:tcPr>
            <w:tcW w:w="10016" w:type="dxa"/>
            <w:tcBorders/>
            <w:vAlign w:val="center"/>
          </w:tcPr>
          <w:p>
            <w:pPr>
              <w:pStyle w:val="TableContents"/>
              <w:bidi w:val="0"/>
              <w:spacing w:before="0" w:after="0"/>
              <w:jc w:val="both"/>
              <w:rPr/>
            </w:pPr>
            <w:r>
              <w:rPr>
                <w:b/>
                <w:color w:val="000000"/>
                <w:u w:val="single"/>
              </w:rPr>
              <w:t>Baseline</w:t>
            </w:r>
            <w:r>
              <w:rPr>
                <w:color w:val="000000"/>
              </w:rPr>
              <w:t>. [***]</w:t>
            </w:r>
            <w:r>
              <w:rPr>
                <w:color w:val="212121"/>
              </w:rPr>
              <w:t xml:space="preserve">. </w:t>
            </w:r>
            <w:r>
              <w:rPr>
                <w:color w:val="000000"/>
              </w:rPr>
              <w:t>To that end, in the period following signing of this Amendment, senior executives or their designees will meet regularly to agree upon a baseline mechanism.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6" w:name="z1e24016cf4094e64bc24538bcc1772a4"/>
      <w:bookmarkStart w:id="427" w:name="z1e24016cf4094e64bc24538bcc1772a4"/>
      <w:bookmarkEnd w:id="427"/>
    </w:p>
    <w:tbl>
      <w:tblPr>
        <w:tblW w:w="3160" w:type="dxa"/>
        <w:jc w:val="left"/>
        <w:tblInd w:w="0" w:type="dxa"/>
        <w:tblLayout w:type="fixed"/>
        <w:tblCellMar>
          <w:top w:w="0" w:type="dxa"/>
          <w:left w:w="0" w:type="dxa"/>
          <w:bottom w:w="0" w:type="dxa"/>
          <w:right w:w="0" w:type="dxa"/>
        </w:tblCellMar>
      </w:tblPr>
      <w:tblGrid>
        <w:gridCol w:w="215"/>
        <w:gridCol w:w="2945"/>
      </w:tblGrid>
      <w:tr>
        <w:trPr/>
        <w:tc>
          <w:tcPr>
            <w:tcW w:w="215" w:type="dxa"/>
            <w:tcBorders/>
            <w:vAlign w:val="center"/>
          </w:tcPr>
          <w:p>
            <w:pPr>
              <w:pStyle w:val="TableContents"/>
              <w:bidi w:val="0"/>
              <w:spacing w:before="0" w:after="283"/>
              <w:jc w:val="left"/>
              <w:rPr/>
            </w:pPr>
            <w:r>
              <w:rPr/>
              <w:t>7.</w:t>
            </w:r>
          </w:p>
        </w:tc>
        <w:tc>
          <w:tcPr>
            <w:tcW w:w="2945" w:type="dxa"/>
            <w:tcBorders/>
            <w:vAlign w:val="center"/>
          </w:tcPr>
          <w:p>
            <w:pPr>
              <w:pStyle w:val="TableContents"/>
              <w:bidi w:val="0"/>
              <w:spacing w:before="0" w:after="0"/>
              <w:jc w:val="both"/>
              <w:rPr/>
            </w:pPr>
            <w:r>
              <w:rPr>
                <w:b/>
                <w:color w:val="000000"/>
                <w:u w:val="single"/>
              </w:rPr>
              <w:t>Viewable Impressions</w:t>
            </w:r>
            <w:r>
              <w:rPr>
                <w:color w:val="000000"/>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8" w:name="ze6417ca4dc2f4cb7b5a6728a933996e5"/>
      <w:bookmarkStart w:id="429" w:name="ze6417ca4dc2f4cb7b5a6728a933996e5"/>
      <w:bookmarkEnd w:id="429"/>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color w:val="000000"/>
              </w:rPr>
            </w:pPr>
            <w:r>
              <w:rPr>
                <w:color w:val="000000"/>
              </w:rPr>
              <w:t>8.</w:t>
            </w:r>
          </w:p>
        </w:tc>
        <w:tc>
          <w:tcPr>
            <w:tcW w:w="10023" w:type="dxa"/>
            <w:tcBorders/>
            <w:vAlign w:val="center"/>
          </w:tcPr>
          <w:p>
            <w:pPr>
              <w:pStyle w:val="TableContents"/>
              <w:bidi w:val="0"/>
              <w:spacing w:before="0" w:after="0"/>
              <w:jc w:val="both"/>
              <w:rPr>
                <w:color w:val="000000"/>
              </w:rPr>
            </w:pPr>
            <w:r>
              <w:rPr>
                <w:b/>
                <w:color w:val="000000"/>
                <w:u w:val="single"/>
              </w:rPr>
              <w:t>Miscellaneous</w:t>
            </w:r>
            <w:r>
              <w:rPr>
                <w:color w:val="000000"/>
              </w:rPr>
              <w:t xml:space="preserve">. Except as expressly set forth herein, the terms and conditions of the Agreement are unmodified and remain in full force and effect. Upon the effectiveness of this Amendment, each reference in the Agreement to “this Agreement,” “hereof,” “hereunder,” “herein,” or words of like import referring to the Agreement shall be deemed to refer to the Agreement, as amended, supplemented or otherwise modified by this Amendment; provided that references in the Agreement to “as of the date hereof” or “as of the date of this Agreement” or words of like import shall continue to refer to November 28, 2022. This Amendment may be executed in one or more counterparts, each of which when executed shall be deemed to be an original but all of which taken together shall constitute one and the same instrument. An electronically transmitted signature via pdf or facsimile shall be deemed the equivalent to an original ink signature. In the event of a conflict between any of the terms and conditions of the Agreement and any of the terms and conditions of this Amendment, the terms and conditions of this Amendment shall control. The provisions set forth Sections 10 through 21 of the Terms and Conditions to the Agreement are hereby incorporated into, and shall apply to, this Amendment, </w:t>
            </w:r>
            <w:r>
              <w:rPr>
                <w:i/>
                <w:color w:val="000000"/>
              </w:rPr>
              <w:t>mutadis mutandis</w:t>
            </w:r>
            <w:r>
              <w:rPr>
                <w:color w:val="000000"/>
              </w:rPr>
              <w:t>.</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140" w:right="133" w:hanging="0"/>
        <w:jc w:val="both"/>
        <w:rPr>
          <w:rFonts w:ascii="Times New Roman" w:hAnsi="Times New Roman"/>
          <w:color w:val="000000"/>
          <w:sz w:val="20"/>
        </w:rPr>
      </w:pPr>
      <w:r>
        <w:rPr>
          <w:rFonts w:ascii="Times New Roman" w:hAnsi="Times New Roman"/>
          <w:color w:val="000000"/>
          <w:sz w:val="20"/>
        </w:rPr>
        <w:t>IN WITNESS WHEREOF, the Parties hereto, have executed this Amendment as of the Amendment Effective 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0" w:name="z5105c6aaf4204749874c24ea31131b5d"/>
      <w:bookmarkStart w:id="431" w:name="z5105c6aaf4204749874c24ea31131b5d"/>
      <w:bookmarkEnd w:id="431"/>
    </w:p>
    <w:tbl>
      <w:tblPr>
        <w:tblW w:w="6100" w:type="dxa"/>
        <w:jc w:val="left"/>
        <w:tblInd w:w="0" w:type="dxa"/>
        <w:tblLayout w:type="fixed"/>
        <w:tblCellMar>
          <w:top w:w="0" w:type="dxa"/>
          <w:left w:w="0" w:type="dxa"/>
          <w:bottom w:w="0" w:type="dxa"/>
          <w:right w:w="0" w:type="dxa"/>
        </w:tblCellMar>
      </w:tblPr>
      <w:tblGrid>
        <w:gridCol w:w="2585"/>
        <w:gridCol w:w="3515"/>
      </w:tblGrid>
      <w:tr>
        <w:trPr/>
        <w:tc>
          <w:tcPr>
            <w:tcW w:w="2585" w:type="dxa"/>
            <w:tcBorders/>
            <w:vAlign w:val="center"/>
          </w:tcPr>
          <w:p>
            <w:pPr>
              <w:pStyle w:val="TableContents"/>
              <w:bidi w:val="0"/>
              <w:spacing w:before="0" w:after="0"/>
              <w:ind w:left="360" w:right="0" w:hanging="0"/>
              <w:jc w:val="left"/>
              <w:rPr>
                <w:b/>
                <w:u w:val="single"/>
              </w:rPr>
            </w:pPr>
            <w:r>
              <w:rPr>
                <w:b/>
                <w:u w:val="single"/>
              </w:rPr>
              <w:t>Yahoo Inc.</w:t>
            </w:r>
          </w:p>
        </w:tc>
        <w:tc>
          <w:tcPr>
            <w:tcW w:w="3515" w:type="dxa"/>
            <w:tcBorders/>
            <w:vAlign w:val="center"/>
          </w:tcPr>
          <w:p>
            <w:pPr>
              <w:pStyle w:val="TableContents"/>
              <w:bidi w:val="0"/>
              <w:spacing w:before="0" w:after="0"/>
              <w:jc w:val="left"/>
              <w:rPr>
                <w:b/>
                <w:u w:val="single"/>
              </w:rPr>
            </w:pPr>
            <w:r>
              <w:rPr>
                <w:b/>
                <w:u w:val="single"/>
              </w:rPr>
              <w:t>Taboola, Inc.</w:t>
            </w:r>
          </w:p>
        </w:tc>
      </w:tr>
      <w:tr>
        <w:trPr/>
        <w:tc>
          <w:tcPr>
            <w:tcW w:w="25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pPr>
            <w:r>
              <w:rPr/>
              <w:t xml:space="preserve">By: </w:t>
            </w:r>
            <w:r>
              <w:rPr>
                <w:u w:val="single"/>
              </w:rPr>
              <w:t>/s/ Jim Lanzone</w:t>
            </w:r>
          </w:p>
        </w:tc>
        <w:tc>
          <w:tcPr>
            <w:tcW w:w="3515" w:type="dxa"/>
            <w:tcBorders/>
            <w:vAlign w:val="center"/>
          </w:tcPr>
          <w:p>
            <w:pPr>
              <w:pStyle w:val="TableContents"/>
              <w:bidi w:val="0"/>
              <w:spacing w:before="0" w:after="0"/>
              <w:jc w:val="left"/>
              <w:rPr/>
            </w:pPr>
            <w:r>
              <w:rPr/>
              <w:t xml:space="preserve">By: </w:t>
            </w:r>
            <w:r>
              <w:rPr>
                <w:u w:val="single"/>
              </w:rPr>
              <w:t>/s/ Blythe Holden</w:t>
            </w:r>
          </w:p>
        </w:tc>
      </w:tr>
      <w:tr>
        <w:trPr/>
        <w:tc>
          <w:tcPr>
            <w:tcW w:w="2585" w:type="dxa"/>
            <w:tcBorders/>
            <w:vAlign w:val="center"/>
          </w:tcPr>
          <w:p>
            <w:pPr>
              <w:pStyle w:val="TableContents"/>
              <w:bidi w:val="0"/>
              <w:spacing w:before="0" w:after="0"/>
              <w:jc w:val="left"/>
              <w:rPr/>
            </w:pPr>
            <w:r>
              <w:rPr/>
              <w:t>Name (Print): Jim Lanzone</w:t>
            </w:r>
          </w:p>
        </w:tc>
        <w:tc>
          <w:tcPr>
            <w:tcW w:w="3515" w:type="dxa"/>
            <w:tcBorders/>
            <w:vAlign w:val="center"/>
          </w:tcPr>
          <w:p>
            <w:pPr>
              <w:pStyle w:val="TableContents"/>
              <w:bidi w:val="0"/>
              <w:spacing w:before="0" w:after="0"/>
              <w:jc w:val="left"/>
              <w:rPr/>
            </w:pPr>
            <w:r>
              <w:rPr/>
              <w:t>Name (Print): Blythe Holden</w:t>
            </w:r>
          </w:p>
        </w:tc>
      </w:tr>
      <w:tr>
        <w:trPr/>
        <w:tc>
          <w:tcPr>
            <w:tcW w:w="2585" w:type="dxa"/>
            <w:tcBorders/>
            <w:vAlign w:val="center"/>
          </w:tcPr>
          <w:p>
            <w:pPr>
              <w:pStyle w:val="TableContents"/>
              <w:bidi w:val="0"/>
              <w:spacing w:before="0" w:after="0"/>
              <w:jc w:val="left"/>
              <w:rPr/>
            </w:pPr>
            <w:r>
              <w:rPr/>
              <w:t>Title: CEO</w:t>
            </w:r>
          </w:p>
        </w:tc>
        <w:tc>
          <w:tcPr>
            <w:tcW w:w="3515" w:type="dxa"/>
            <w:tcBorders/>
            <w:vAlign w:val="center"/>
          </w:tcPr>
          <w:p>
            <w:pPr>
              <w:pStyle w:val="TableContents"/>
              <w:bidi w:val="0"/>
              <w:spacing w:before="0" w:after="0"/>
              <w:jc w:val="left"/>
              <w:rPr/>
            </w:pPr>
            <w:r>
              <w:rPr/>
              <w:t>Title: Secretary and General Counsel</w:t>
            </w:r>
          </w:p>
        </w:tc>
      </w:tr>
      <w:tr>
        <w:trPr/>
        <w:tc>
          <w:tcPr>
            <w:tcW w:w="2585" w:type="dxa"/>
            <w:tcBorders/>
            <w:vAlign w:val="center"/>
          </w:tcPr>
          <w:p>
            <w:pPr>
              <w:pStyle w:val="TableContents"/>
              <w:bidi w:val="0"/>
              <w:spacing w:before="0" w:after="0"/>
              <w:jc w:val="left"/>
              <w:rPr/>
            </w:pPr>
            <w:r>
              <w:rPr/>
              <w:t>Date: June 30, 2024</w:t>
            </w:r>
          </w:p>
        </w:tc>
        <w:tc>
          <w:tcPr>
            <w:tcW w:w="3515" w:type="dxa"/>
            <w:tcBorders/>
            <w:vAlign w:val="center"/>
          </w:tcPr>
          <w:p>
            <w:pPr>
              <w:pStyle w:val="TableContents"/>
              <w:bidi w:val="0"/>
              <w:spacing w:before="0" w:after="0"/>
              <w:jc w:val="left"/>
              <w:rPr/>
            </w:pPr>
            <w:r>
              <w:rPr/>
              <w:t>Date: June 30, 2024</w:t>
            </w:r>
          </w:p>
        </w:tc>
      </w:tr>
      <w:tr>
        <w:trPr/>
        <w:tc>
          <w:tcPr>
            <w:tcW w:w="25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pPr>
            <w:r>
              <w:rPr/>
              <w:t> </w:t>
            </w:r>
            <w:r>
              <w:rPr>
                <w:b/>
              </w:rPr>
              <w:t>Taboola.com Ltd.</w:t>
            </w:r>
          </w:p>
        </w:tc>
      </w:tr>
      <w:tr>
        <w:trPr/>
        <w:tc>
          <w:tcPr>
            <w:tcW w:w="25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pPr>
            <w:r>
              <w:rPr/>
              <w:t>By:</w:t>
            </w:r>
            <w:r>
              <w:rPr>
                <w:u w:val="single"/>
              </w:rPr>
              <w:t xml:space="preserve"> /s/ Adam Singolda</w:t>
            </w:r>
          </w:p>
        </w:tc>
      </w:tr>
      <w:tr>
        <w:trPr/>
        <w:tc>
          <w:tcPr>
            <w:tcW w:w="25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pPr>
            <w:r>
              <w:rPr/>
              <w:t>Name (Print): Adam Singolda</w:t>
            </w:r>
          </w:p>
        </w:tc>
      </w:tr>
      <w:tr>
        <w:trPr/>
        <w:tc>
          <w:tcPr>
            <w:tcW w:w="25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pPr>
            <w:r>
              <w:rPr/>
              <w:t>Title: CEO and Founder</w:t>
            </w:r>
          </w:p>
        </w:tc>
      </w:tr>
      <w:tr>
        <w:trPr/>
        <w:tc>
          <w:tcPr>
            <w:tcW w:w="258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pPr>
            <w:r>
              <w:rPr/>
              <w:t> </w:t>
            </w:r>
            <w:r>
              <w:rPr/>
              <w:t>Date: June 30, 2024</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32" w:name="ef20034533_ex31-1.htm"/>
      <w:bookmarkStart w:id="433" w:name="ksef20034533_ex311"/>
      <w:bookmarkStart w:id="434" w:name="ef20034533_ex31-1.htm"/>
      <w:bookmarkStart w:id="435" w:name="ksef20034533_ex311"/>
      <w:bookmarkEnd w:id="434"/>
      <w:bookmarkEnd w:id="43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Adam Singolda, certify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I have reviewed this Quarterly Report on Form 10-Q of Taboola.com Ltd.;</w:t>
      </w:r>
    </w:p>
    <w:p>
      <w:pPr>
        <w:pStyle w:val="TextBody"/>
        <w:bidi w:val="0"/>
        <w:spacing w:before="0" w:after="0"/>
        <w:jc w:val="left"/>
        <w:rPr>
          <w:color w:val="000000"/>
        </w:rPr>
      </w:pPr>
      <w:r>
        <w:rPr>
          <w:color w:val="00000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ind w:left="720" w:right="0" w:hanging="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6" w:name="z07fbb1ca18e54679a72d769ff750e298"/>
      <w:bookmarkStart w:id="437" w:name="z07fbb1ca18e54679a72d769ff750e298"/>
      <w:bookmarkEnd w:id="437"/>
    </w:p>
    <w:tbl>
      <w:tblPr>
        <w:tblW w:w="5906" w:type="dxa"/>
        <w:jc w:val="left"/>
        <w:tblInd w:w="0" w:type="dxa"/>
        <w:tblLayout w:type="fixed"/>
        <w:tblCellMar>
          <w:top w:w="0" w:type="dxa"/>
          <w:left w:w="0" w:type="dxa"/>
          <w:bottom w:w="0" w:type="dxa"/>
          <w:right w:w="0" w:type="dxa"/>
        </w:tblCellMar>
      </w:tblPr>
      <w:tblGrid>
        <w:gridCol w:w="2375"/>
        <w:gridCol w:w="365"/>
        <w:gridCol w:w="3166"/>
      </w:tblGrid>
      <w:tr>
        <w:trPr/>
        <w:tc>
          <w:tcPr>
            <w:tcW w:w="2375" w:type="dxa"/>
            <w:tcBorders/>
            <w:vAlign w:val="center"/>
          </w:tcPr>
          <w:p>
            <w:pPr>
              <w:pStyle w:val="TableContents"/>
              <w:bidi w:val="0"/>
              <w:spacing w:before="0" w:after="0"/>
              <w:jc w:val="left"/>
              <w:rPr/>
            </w:pPr>
            <w:r>
              <w:rPr>
                <w:color w:val="000000"/>
              </w:rPr>
              <w:t xml:space="preserve">Date: </w:t>
            </w:r>
            <w:r>
              <w:rPr/>
              <w:t>November 7, 2024</w:t>
            </w:r>
          </w:p>
        </w:tc>
        <w:tc>
          <w:tcPr>
            <w:tcW w:w="365" w:type="dxa"/>
            <w:tcBorders/>
            <w:vAlign w:val="center"/>
          </w:tcPr>
          <w:p>
            <w:pPr>
              <w:pStyle w:val="TableContents"/>
              <w:bidi w:val="0"/>
              <w:spacing w:before="0" w:after="0"/>
              <w:jc w:val="left"/>
              <w:rPr>
                <w:color w:val="000000"/>
              </w:rPr>
            </w:pPr>
            <w:r>
              <w:rPr>
                <w:color w:val="000000"/>
              </w:rPr>
              <w:t>By:</w:t>
            </w:r>
          </w:p>
        </w:tc>
        <w:tc>
          <w:tcPr>
            <w:tcW w:w="3166" w:type="dxa"/>
            <w:tcBorders/>
            <w:vAlign w:val="center"/>
          </w:tcPr>
          <w:p>
            <w:pPr>
              <w:pStyle w:val="TableContents"/>
              <w:bidi w:val="0"/>
              <w:spacing w:before="0" w:after="0"/>
              <w:jc w:val="left"/>
              <w:rPr>
                <w:color w:val="000000"/>
                <w:u w:val="single"/>
              </w:rPr>
            </w:pPr>
            <w:r>
              <w:rPr>
                <w:color w:val="000000"/>
                <w:u w:val="single"/>
              </w:rPr>
              <w:t>/s/ Adam Singolda</w:t>
            </w:r>
          </w:p>
        </w:tc>
      </w:tr>
      <w:tr>
        <w:trPr/>
        <w:tc>
          <w:tcPr>
            <w:tcW w:w="23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0"/>
              <w:jc w:val="left"/>
              <w:rPr>
                <w:color w:val="000000"/>
              </w:rPr>
            </w:pPr>
            <w:r>
              <w:rPr>
                <w:color w:val="000000"/>
              </w:rPr>
              <w:t>Adam Singolda</w:t>
            </w:r>
          </w:p>
        </w:tc>
      </w:tr>
      <w:tr>
        <w:trPr/>
        <w:tc>
          <w:tcPr>
            <w:tcW w:w="23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0"/>
              <w:ind w:left="0" w:right="416" w:hanging="0"/>
              <w:jc w:val="left"/>
              <w:rPr/>
            </w:pPr>
            <w:r>
              <w:rPr/>
              <w:t xml:space="preserve">Chief Executive Officer </w:t>
            </w:r>
          </w:p>
          <w:p>
            <w:pPr>
              <w:pStyle w:val="TableContents"/>
              <w:bidi w:val="0"/>
              <w:spacing w:before="0" w:after="0"/>
              <w:ind w:left="0" w:right="416" w:hanging="0"/>
              <w:jc w:val="left"/>
              <w:rPr/>
            </w:pPr>
            <w:r>
              <w:rPr/>
              <w:t>(</w:t>
            </w:r>
            <w:r>
              <w:rPr>
                <w:i/>
              </w:rPr>
              <w:t>Principal Executive Officer</w:t>
            </w:r>
            <w:r>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38" w:name="ef20034533_ex31-2.htm"/>
      <w:bookmarkStart w:id="439" w:name="ksef20034533_ex312"/>
      <w:bookmarkStart w:id="440" w:name="ef20034533_ex31-2.htm"/>
      <w:bookmarkStart w:id="441" w:name="ksef20034533_ex312"/>
      <w:bookmarkEnd w:id="440"/>
      <w:bookmarkEnd w:id="44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Stephen Walker, certify that: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I have reviewed this Quarterly Report on Form 10-Q of Taboola.com Ltd.;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2" w:name="z9ea28de6e5db401097392178692db423"/>
      <w:bookmarkStart w:id="443" w:name="z9ea28de6e5db401097392178692db423"/>
      <w:bookmarkEnd w:id="443"/>
    </w:p>
    <w:tbl>
      <w:tblPr>
        <w:tblW w:w="5962" w:type="dxa"/>
        <w:jc w:val="left"/>
        <w:tblInd w:w="0" w:type="dxa"/>
        <w:tblLayout w:type="fixed"/>
        <w:tblCellMar>
          <w:top w:w="0" w:type="dxa"/>
          <w:left w:w="0" w:type="dxa"/>
          <w:bottom w:w="0" w:type="dxa"/>
          <w:right w:w="0" w:type="dxa"/>
        </w:tblCellMar>
      </w:tblPr>
      <w:tblGrid>
        <w:gridCol w:w="2375"/>
        <w:gridCol w:w="365"/>
        <w:gridCol w:w="3222"/>
      </w:tblGrid>
      <w:tr>
        <w:trPr/>
        <w:tc>
          <w:tcPr>
            <w:tcW w:w="2375" w:type="dxa"/>
            <w:tcBorders/>
            <w:vAlign w:val="center"/>
          </w:tcPr>
          <w:p>
            <w:pPr>
              <w:pStyle w:val="TableContents"/>
              <w:bidi w:val="0"/>
              <w:spacing w:before="0" w:after="0"/>
              <w:jc w:val="left"/>
              <w:rPr/>
            </w:pPr>
            <w:r>
              <w:rPr>
                <w:color w:val="000000"/>
              </w:rPr>
              <w:t xml:space="preserve">Date: </w:t>
            </w:r>
            <w:r>
              <w:rPr/>
              <w:t>November 7, 2024</w:t>
            </w:r>
          </w:p>
        </w:tc>
        <w:tc>
          <w:tcPr>
            <w:tcW w:w="365" w:type="dxa"/>
            <w:tcBorders/>
            <w:vAlign w:val="center"/>
          </w:tcPr>
          <w:p>
            <w:pPr>
              <w:pStyle w:val="TableContents"/>
              <w:bidi w:val="0"/>
              <w:spacing w:before="0" w:after="0"/>
              <w:jc w:val="left"/>
              <w:rPr>
                <w:color w:val="000000"/>
              </w:rPr>
            </w:pPr>
            <w:r>
              <w:rPr>
                <w:color w:val="000000"/>
              </w:rPr>
              <w:t>By:</w:t>
            </w:r>
          </w:p>
        </w:tc>
        <w:tc>
          <w:tcPr>
            <w:tcW w:w="3222" w:type="dxa"/>
            <w:tcBorders/>
            <w:vAlign w:val="center"/>
          </w:tcPr>
          <w:p>
            <w:pPr>
              <w:pStyle w:val="TableContents"/>
              <w:bidi w:val="0"/>
              <w:spacing w:before="0" w:after="0"/>
              <w:jc w:val="left"/>
              <w:rPr>
                <w:u w:val="single"/>
              </w:rPr>
            </w:pPr>
            <w:r>
              <w:rPr>
                <w:u w:val="single"/>
              </w:rPr>
              <w:t>/s/ Stephen Walker</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22" w:type="dxa"/>
            <w:tcBorders/>
            <w:vAlign w:val="center"/>
          </w:tcPr>
          <w:p>
            <w:pPr>
              <w:pStyle w:val="TableContents"/>
              <w:bidi w:val="0"/>
              <w:spacing w:before="0" w:after="0"/>
              <w:jc w:val="left"/>
              <w:rPr>
                <w:color w:val="000000"/>
              </w:rPr>
            </w:pPr>
            <w:r>
              <w:rPr>
                <w:color w:val="000000"/>
              </w:rPr>
              <w:t>Stephen Walker</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22" w:type="dxa"/>
            <w:tcBorders/>
            <w:vAlign w:val="center"/>
          </w:tcPr>
          <w:p>
            <w:pPr>
              <w:pStyle w:val="TableContents"/>
              <w:bidi w:val="0"/>
              <w:spacing w:before="0" w:after="0"/>
              <w:ind w:left="0" w:right="472" w:hanging="0"/>
              <w:jc w:val="left"/>
              <w:rPr/>
            </w:pPr>
            <w:r>
              <w:rPr/>
              <w:t xml:space="preserve">Chief Financial Officer </w:t>
            </w:r>
          </w:p>
          <w:p>
            <w:pPr>
              <w:pStyle w:val="TableContents"/>
              <w:bidi w:val="0"/>
              <w:spacing w:before="0" w:after="0"/>
              <w:ind w:left="0" w:right="472" w:hanging="0"/>
              <w:jc w:val="left"/>
              <w:rPr/>
            </w:pPr>
            <w:r>
              <w:rPr/>
              <w:t>(</w:t>
            </w:r>
            <w:r>
              <w:rPr>
                <w:i/>
              </w:rPr>
              <w:t>Principal Financial Officer</w:t>
            </w:r>
            <w:r>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44" w:name="ef20034533_ex32.htm"/>
      <w:bookmarkStart w:id="445" w:name="ksef20034533_ex32"/>
      <w:bookmarkStart w:id="446" w:name="ef20034533_ex32.htm"/>
      <w:bookmarkStart w:id="447" w:name="ksef20034533_ex32"/>
      <w:bookmarkEnd w:id="446"/>
      <w:bookmarkEnd w:id="44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 18 U.S.C. §1350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Solely for the purposes of complying with 18 U.S.C. § 1350, as adopted pursuant to § 906 of the Sarbanes- Oxley Act of 2002, we, the undersigned Chief Executive Officer and Chief Financial Officer of Taboola.com Ltd. (the “Company”), hereby certify, based on our knowledge, that the Quarterly Report on Form 10-Q of the Company for the quarter ended September 30, 2024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8" w:name="zeff07815990242798092bf6bdb59e3b0"/>
      <w:bookmarkStart w:id="449" w:name="zeff07815990242798092bf6bdb59e3b0"/>
      <w:bookmarkEnd w:id="449"/>
    </w:p>
    <w:tbl>
      <w:tblPr>
        <w:tblW w:w="7665" w:type="dxa"/>
        <w:jc w:val="left"/>
        <w:tblInd w:w="0" w:type="dxa"/>
        <w:tblLayout w:type="fixed"/>
        <w:tblCellMar>
          <w:top w:w="0" w:type="dxa"/>
          <w:left w:w="0" w:type="dxa"/>
          <w:bottom w:w="0" w:type="dxa"/>
          <w:right w:w="0" w:type="dxa"/>
        </w:tblCellMar>
      </w:tblPr>
      <w:tblGrid>
        <w:gridCol w:w="2375"/>
        <w:gridCol w:w="590"/>
        <w:gridCol w:w="4700"/>
      </w:tblGrid>
      <w:tr>
        <w:trPr/>
        <w:tc>
          <w:tcPr>
            <w:tcW w:w="2375" w:type="dxa"/>
            <w:tcBorders/>
            <w:vAlign w:val="center"/>
          </w:tcPr>
          <w:p>
            <w:pPr>
              <w:pStyle w:val="TableContents"/>
              <w:bidi w:val="0"/>
              <w:spacing w:before="0" w:after="0"/>
              <w:jc w:val="left"/>
              <w:rPr/>
            </w:pPr>
            <w:r>
              <w:rPr>
                <w:color w:val="000000"/>
              </w:rPr>
              <w:t xml:space="preserve">Date: </w:t>
            </w:r>
            <w:r>
              <w:rPr/>
              <w:t>November 7, 2024</w:t>
            </w:r>
          </w:p>
        </w:tc>
        <w:tc>
          <w:tcPr>
            <w:tcW w:w="59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color w:val="000000"/>
              </w:rPr>
            </w:pPr>
            <w:r>
              <w:rPr>
                <w:color w:val="000000"/>
              </w:rPr>
              <w:t>By:</w:t>
            </w:r>
          </w:p>
        </w:tc>
        <w:tc>
          <w:tcPr>
            <w:tcW w:w="4700" w:type="dxa"/>
            <w:tcBorders/>
            <w:vAlign w:val="center"/>
          </w:tcPr>
          <w:p>
            <w:pPr>
              <w:pStyle w:val="TableContents"/>
              <w:bidi w:val="0"/>
              <w:spacing w:before="0" w:after="0"/>
              <w:jc w:val="left"/>
              <w:rPr>
                <w:color w:val="000000"/>
                <w:u w:val="single"/>
              </w:rPr>
            </w:pPr>
            <w:r>
              <w:rPr>
                <w:color w:val="000000"/>
                <w:u w:val="single"/>
              </w:rPr>
              <w:t>/s/ Adam Singolda</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color w:val="000000"/>
              </w:rPr>
            </w:pPr>
            <w:r>
              <w:rPr>
                <w:color w:val="000000"/>
              </w:rPr>
              <w:t>Adam Singolda</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ind w:left="0" w:right="1950" w:hanging="0"/>
              <w:jc w:val="left"/>
              <w:rPr/>
            </w:pPr>
            <w:r>
              <w:rPr/>
              <w:t>Chief Executive Officer</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ind w:left="0" w:right="1950" w:hanging="0"/>
              <w:jc w:val="left"/>
              <w:rPr/>
            </w:pPr>
            <w:r>
              <w:rPr/>
              <w:t>(</w:t>
            </w:r>
            <w:r>
              <w:rPr>
                <w:i/>
              </w:rPr>
              <w:t>Principal Executive Officer</w:t>
            </w:r>
            <w:r>
              <w:rPr/>
              <w:t>)</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r>
          </w:p>
        </w:tc>
        <w:tc>
          <w:tcPr>
            <w:tcW w:w="4700" w:type="dxa"/>
            <w:tcBorders/>
            <w:vAlign w:val="center"/>
          </w:tcPr>
          <w:p>
            <w:pPr>
              <w:pStyle w:val="TableContents"/>
              <w:bidi w:val="0"/>
              <w:spacing w:before="0" w:after="283"/>
              <w:jc w:val="left"/>
              <w:rPr/>
            </w:pPr>
            <w:r>
              <w:rPr/>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225" w:hanging="0"/>
              <w:jc w:val="left"/>
              <w:rPr/>
            </w:pPr>
            <w:r>
              <w:rPr/>
              <w:t>By:</w:t>
            </w:r>
          </w:p>
        </w:tc>
        <w:tc>
          <w:tcPr>
            <w:tcW w:w="4700" w:type="dxa"/>
            <w:tcBorders/>
            <w:vAlign w:val="center"/>
          </w:tcPr>
          <w:p>
            <w:pPr>
              <w:pStyle w:val="TableContents"/>
              <w:bidi w:val="0"/>
              <w:spacing w:before="0" w:after="0"/>
              <w:ind w:left="0" w:right="225" w:hanging="0"/>
              <w:jc w:val="left"/>
              <w:rPr>
                <w:u w:val="single"/>
              </w:rPr>
            </w:pPr>
            <w:r>
              <w:rPr>
                <w:u w:val="single"/>
              </w:rPr>
              <w:t>/s/ Stephen Walker</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color w:val="000000"/>
              </w:rPr>
            </w:pPr>
            <w:r>
              <w:rPr>
                <w:color w:val="000000"/>
              </w:rPr>
              <w:t>Stephen Walker</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ind w:left="0" w:right="1950" w:hanging="0"/>
              <w:jc w:val="left"/>
              <w:rPr/>
            </w:pPr>
            <w:r>
              <w:rPr/>
              <w:t>Chief Financial Officer</w:t>
            </w:r>
          </w:p>
        </w:tc>
      </w:tr>
      <w:tr>
        <w:trPr/>
        <w:tc>
          <w:tcPr>
            <w:tcW w:w="23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ind w:left="0" w:right="1950" w:hanging="0"/>
              <w:jc w:val="left"/>
              <w:rPr/>
            </w:pPr>
            <w:r>
              <w:rPr/>
              <w:t>(</w:t>
            </w:r>
            <w:r>
              <w:rPr>
                <w:i/>
              </w:rPr>
              <w:t>Principal Financial Officer)</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37782</Words>
  <Characters>210202</Characters>
  <CharactersWithSpaces>249869</CharactersWithSpaces>
  <Paragraphs>8440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