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2718.xml.htm"/>
      <w:bookmarkStart w:id="1" w:name="kswkform4_17863927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Shany Gilad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 MEDINAT HAYEHUDIM</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02"/>
        <w:gridCol w:w="771"/>
        <w:gridCol w:w="599"/>
        <w:gridCol w:w="350"/>
        <w:gridCol w:w="975"/>
        <w:gridCol w:w="459"/>
        <w:gridCol w:w="621"/>
        <w:gridCol w:w="1201"/>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38,046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301,878</w:t>
            </w:r>
            <w:r>
              <w:rPr>
                <w:rFonts w:ascii="Times;serif" w:hAnsi="Times;serif"/>
                <w:color w:val="008000"/>
                <w:position w:val="7"/>
                <w:sz w:val="16"/>
                <w:sz w:val="20"/>
                <w:shd w:fill="FFFFFF" w:val="clear"/>
              </w:rPr>
              <w:t>(2)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granted to the Reporting Person in connection with their service on the Issuer's Board of Directors. 100% of the RSUs shall vest on May 1, 2027, subject to the Reporting Person's continuous service through the vesting date. The RSUs, subject to vesting, will not convert to ordinary shares until the satisfaction of an additional time-based settlement condition to occur in 2028. The settlement is not conditioned on the Reporting Person's provision of service on settlement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58,068 vested RSUs. The RSUs will not convert to ordinary shares until the satisfaction of an additional time-based settlement condition to occur in 2027. The settlement is not conditioned on the Reporting Person's continuous service through the vesting date. Each RSU represents the right to receive one ordinary share upon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6218"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706</Words>
  <Characters>3873</Characters>
  <CharactersWithSpaces>4512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