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740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270510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-212090</wp:posOffset>
            </wp:positionV>
            <wp:extent cx="143383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16510"/>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158115</wp:posOffset>
            </wp:positionV>
            <wp:extent cx="14338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1651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3900" w:right="940" w:hanging="3688"/>
        <w:spacing w:after="0" w:line="487" w:lineRule="auto"/>
        <w:tabs>
          <w:tab w:leader="none" w:pos="150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2024</w:t>
      </w:r>
    </w:p>
    <w:p>
      <w:pPr>
        <w:spacing w:after="0" w:line="37" w:lineRule="exact"/>
        <w:rPr>
          <w:sz w:val="24"/>
          <w:szCs w:val="24"/>
          <w:color w:val="auto"/>
        </w:rPr>
      </w:pPr>
    </w:p>
    <w:p>
      <w:pPr>
        <w:ind w:left="3420" w:right="920" w:hanging="3208"/>
        <w:spacing w:after="0" w:line="509" w:lineRule="auto"/>
        <w:tabs>
          <w:tab w:leader="none" w:pos="1509"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w:t>
      </w:r>
    </w:p>
    <w:p>
      <w:pPr>
        <w:spacing w:after="0" w:line="1" w:lineRule="exact"/>
        <w:rPr>
          <w:rFonts w:ascii="MS PGothic" w:cs="MS PGothic" w:eastAsia="MS PGothic" w:hAnsi="MS PGothic"/>
          <w:sz w:val="17"/>
          <w:szCs w:val="17"/>
          <w:color w:val="auto"/>
        </w:rPr>
      </w:pPr>
    </w:p>
    <w:p>
      <w:pPr>
        <w:ind w:left="426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Commission File Number: 001-40566</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TABOOLA.COM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-212090</wp:posOffset>
            </wp:positionV>
            <wp:extent cx="143383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3830" cy="1651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138430</wp:posOffset>
            </wp:positionV>
            <wp:extent cx="143383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830" cy="1651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00" w:type="dxa"/>
            <w:vAlign w:val="bottom"/>
            <w:gridSpan w:val="3"/>
          </w:tcPr>
          <w:p>
            <w:pPr>
              <w:jc w:val="center"/>
              <w:ind w:left="1033"/>
              <w:spacing w:after="0"/>
              <w:rPr>
                <w:sz w:val="20"/>
                <w:szCs w:val="20"/>
                <w:color w:val="auto"/>
              </w:rPr>
            </w:pPr>
            <w:r>
              <w:rPr>
                <w:rFonts w:ascii="Times New Roman" w:cs="Times New Roman" w:eastAsia="Times New Roman" w:hAnsi="Times New Roman"/>
                <w:sz w:val="17"/>
                <w:szCs w:val="17"/>
                <w:color w:val="auto"/>
              </w:rPr>
              <w:t>Israel</w:t>
            </w: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60" w:type="dxa"/>
            <w:vAlign w:val="bottom"/>
          </w:tcPr>
          <w:p>
            <w:pPr>
              <w:jc w:val="center"/>
              <w:ind w:right="1073"/>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08"/>
        </w:trPr>
        <w:tc>
          <w:tcPr>
            <w:tcW w:w="4500" w:type="dxa"/>
            <w:vAlign w:val="bottom"/>
            <w:gridSpan w:val="3"/>
          </w:tcPr>
          <w:p>
            <w:pPr>
              <w:jc w:val="center"/>
              <w:ind w:left="1053"/>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8"/>
        </w:trPr>
        <w:tc>
          <w:tcPr>
            <w:tcW w:w="4500" w:type="dxa"/>
            <w:vAlign w:val="bottom"/>
            <w:gridSpan w:val="3"/>
          </w:tcPr>
          <w:p>
            <w:pPr>
              <w:jc w:val="center"/>
              <w:ind w:left="1033"/>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6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397"/>
        </w:trPr>
        <w:tc>
          <w:tcPr>
            <w:tcW w:w="4500" w:type="dxa"/>
            <w:vAlign w:val="bottom"/>
            <w:gridSpan w:val="3"/>
          </w:tcPr>
          <w:p>
            <w:pPr>
              <w:jc w:val="center"/>
              <w:ind w:left="1033"/>
              <w:spacing w:after="0"/>
              <w:rPr>
                <w:sz w:val="20"/>
                <w:szCs w:val="20"/>
                <w:color w:val="auto"/>
              </w:rPr>
            </w:pPr>
            <w:r>
              <w:rPr>
                <w:rFonts w:ascii="Times New Roman" w:cs="Times New Roman" w:eastAsia="Times New Roman" w:hAnsi="Times New Roman"/>
                <w:sz w:val="17"/>
                <w:szCs w:val="17"/>
                <w:color w:val="auto"/>
              </w:rPr>
              <w:t>16 Madison Square West</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08"/>
        </w:trPr>
        <w:tc>
          <w:tcPr>
            <w:tcW w:w="4500" w:type="dxa"/>
            <w:vAlign w:val="bottom"/>
            <w:gridSpan w:val="3"/>
          </w:tcPr>
          <w:p>
            <w:pPr>
              <w:jc w:val="center"/>
              <w:ind w:left="1053"/>
              <w:spacing w:after="0"/>
              <w:rPr>
                <w:sz w:val="20"/>
                <w:szCs w:val="20"/>
                <w:color w:val="auto"/>
              </w:rPr>
            </w:pPr>
            <w:r>
              <w:rPr>
                <w:rFonts w:ascii="Times New Roman" w:cs="Times New Roman" w:eastAsia="Times New Roman" w:hAnsi="Times New Roman"/>
                <w:sz w:val="17"/>
                <w:szCs w:val="17"/>
                <w:color w:val="auto"/>
              </w:rPr>
              <w:t>7th Floor</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06"/>
        </w:trPr>
        <w:tc>
          <w:tcPr>
            <w:tcW w:w="4500" w:type="dxa"/>
            <w:vAlign w:val="bottom"/>
            <w:gridSpan w:val="3"/>
          </w:tcPr>
          <w:p>
            <w:pPr>
              <w:jc w:val="center"/>
              <w:ind w:left="1053"/>
              <w:spacing w:after="0"/>
              <w:rPr>
                <w:sz w:val="20"/>
                <w:szCs w:val="20"/>
                <w:color w:val="auto"/>
              </w:rPr>
            </w:pPr>
            <w:r>
              <w:rPr>
                <w:rFonts w:ascii="Times New Roman" w:cs="Times New Roman" w:eastAsia="Times New Roman" w:hAnsi="Times New Roman"/>
                <w:sz w:val="17"/>
                <w:szCs w:val="17"/>
                <w:color w:val="auto"/>
                <w:w w:val="99"/>
              </w:rPr>
              <w:t>New York, NY</w:t>
            </w: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6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10010</w:t>
            </w:r>
          </w:p>
        </w:tc>
      </w:tr>
      <w:tr>
        <w:trPr>
          <w:trHeight w:val="228"/>
        </w:trPr>
        <w:tc>
          <w:tcPr>
            <w:tcW w:w="4500" w:type="dxa"/>
            <w:vAlign w:val="bottom"/>
            <w:gridSpan w:val="3"/>
          </w:tcPr>
          <w:p>
            <w:pPr>
              <w:jc w:val="center"/>
              <w:ind w:left="1033"/>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6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(Zip code)</w:t>
            </w:r>
          </w:p>
        </w:tc>
      </w:tr>
      <w:tr>
        <w:trPr>
          <w:trHeight w:val="395"/>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212-206-7633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28"/>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tc>
      </w:tr>
      <w:tr>
        <w:trPr>
          <w:trHeight w:val="214"/>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60" w:type="dxa"/>
            <w:vAlign w:val="bottom"/>
          </w:tcPr>
          <w:p>
            <w:pPr>
              <w:spacing w:after="0"/>
              <w:rPr>
                <w:sz w:val="18"/>
                <w:szCs w:val="18"/>
                <w:color w:val="auto"/>
              </w:rPr>
            </w:pPr>
          </w:p>
        </w:tc>
      </w:tr>
      <w:tr>
        <w:trPr>
          <w:trHeight w:val="415"/>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r>
      <w:tr>
        <w:trPr>
          <w:trHeight w:val="395"/>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3"/>
          </w:tcPr>
          <w:p>
            <w:pPr>
              <w:jc w:val="center"/>
              <w:ind w:right="900"/>
              <w:spacing w:after="0"/>
              <w:rPr>
                <w:sz w:val="20"/>
                <w:szCs w:val="20"/>
                <w:color w:val="auto"/>
              </w:rPr>
            </w:pPr>
            <w:r>
              <w:rPr>
                <w:rFonts w:ascii="Times New Roman" w:cs="Times New Roman" w:eastAsia="Times New Roman" w:hAnsi="Times New Roman"/>
                <w:sz w:val="17"/>
                <w:szCs w:val="17"/>
                <w:b w:val="1"/>
                <w:bCs w:val="1"/>
                <w:color w:val="auto"/>
                <w:w w:val="97"/>
              </w:rPr>
              <w:t>Trading</w:t>
            </w:r>
          </w:p>
        </w:tc>
        <w:tc>
          <w:tcPr>
            <w:tcW w:w="4460" w:type="dxa"/>
            <w:vAlign w:val="bottom"/>
          </w:tcPr>
          <w:p>
            <w:pPr>
              <w:spacing w:after="0"/>
              <w:rPr>
                <w:sz w:val="24"/>
                <w:szCs w:val="24"/>
                <w:color w:val="auto"/>
              </w:rPr>
            </w:pPr>
          </w:p>
        </w:tc>
      </w:tr>
      <w:tr>
        <w:trPr>
          <w:trHeight w:val="234"/>
        </w:trPr>
        <w:tc>
          <w:tcPr>
            <w:tcW w:w="450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280" w:type="dxa"/>
            <w:vAlign w:val="bottom"/>
            <w:gridSpan w:val="3"/>
          </w:tcPr>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4460" w:type="dxa"/>
            <w:vAlign w:val="bottom"/>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189"/>
        </w:trPr>
        <w:tc>
          <w:tcPr>
            <w:tcW w:w="38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Ordinary shares, no par value</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right="353"/>
              <w:spacing w:after="0" w:line="189" w:lineRule="exact"/>
              <w:rPr>
                <w:sz w:val="20"/>
                <w:szCs w:val="20"/>
                <w:color w:val="auto"/>
              </w:rPr>
            </w:pPr>
            <w:r>
              <w:rPr>
                <w:rFonts w:ascii="Times New Roman" w:cs="Times New Roman" w:eastAsia="Times New Roman" w:hAnsi="Times New Roman"/>
                <w:sz w:val="17"/>
                <w:szCs w:val="17"/>
                <w:color w:val="auto"/>
              </w:rPr>
              <w:t>TBLA</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60" w:type="dxa"/>
            <w:vAlign w:val="bottom"/>
            <w:tcBorders>
              <w:top w:val="single" w:sz="8" w:color="auto"/>
            </w:tcBorders>
          </w:tcPr>
          <w:p>
            <w:pPr>
              <w:jc w:val="center"/>
              <w:ind w:right="153"/>
              <w:spacing w:after="0" w:line="189" w:lineRule="exact"/>
              <w:rPr>
                <w:sz w:val="20"/>
                <w:szCs w:val="20"/>
                <w:color w:val="auto"/>
              </w:rPr>
            </w:pPr>
            <w:r>
              <w:rPr>
                <w:rFonts w:ascii="Times New Roman" w:cs="Times New Roman" w:eastAsia="Times New Roman" w:hAnsi="Times New Roman"/>
                <w:sz w:val="17"/>
                <w:szCs w:val="17"/>
                <w:color w:val="auto"/>
              </w:rPr>
              <w:t>The Nasdaq Global Market</w:t>
            </w:r>
          </w:p>
        </w:tc>
      </w:tr>
      <w:tr>
        <w:trPr>
          <w:trHeight w:val="226"/>
        </w:trPr>
        <w:tc>
          <w:tcPr>
            <w:tcW w:w="4500" w:type="dxa"/>
            <w:vAlign w:val="bottom"/>
            <w:gridSpan w:val="3"/>
          </w:tcPr>
          <w:p>
            <w:pPr>
              <w:jc w:val="center"/>
              <w:ind w:right="660"/>
              <w:spacing w:after="0"/>
              <w:rPr>
                <w:sz w:val="20"/>
                <w:szCs w:val="20"/>
                <w:color w:val="auto"/>
              </w:rPr>
            </w:pPr>
            <w:r>
              <w:rPr>
                <w:rFonts w:ascii="Times New Roman" w:cs="Times New Roman" w:eastAsia="Times New Roman" w:hAnsi="Times New Roman"/>
                <w:sz w:val="17"/>
                <w:szCs w:val="17"/>
                <w:color w:val="auto"/>
              </w:rPr>
              <w:t>Warrants to purchase Ordinary shares</w:t>
            </w:r>
          </w:p>
        </w:tc>
        <w:tc>
          <w:tcPr>
            <w:tcW w:w="2280" w:type="dxa"/>
            <w:vAlign w:val="bottom"/>
            <w:gridSpan w:val="3"/>
          </w:tcPr>
          <w:p>
            <w:pPr>
              <w:jc w:val="center"/>
              <w:ind w:right="920"/>
              <w:spacing w:after="0"/>
              <w:rPr>
                <w:sz w:val="20"/>
                <w:szCs w:val="20"/>
                <w:color w:val="auto"/>
              </w:rPr>
            </w:pPr>
            <w:r>
              <w:rPr>
                <w:rFonts w:ascii="Times New Roman" w:cs="Times New Roman" w:eastAsia="Times New Roman" w:hAnsi="Times New Roman"/>
                <w:sz w:val="17"/>
                <w:szCs w:val="17"/>
                <w:color w:val="auto"/>
                <w:w w:val="99"/>
              </w:rPr>
              <w:t>TBLAW</w:t>
            </w:r>
          </w:p>
        </w:tc>
        <w:tc>
          <w:tcPr>
            <w:tcW w:w="446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pacing w:after="0" w:line="222" w:lineRule="exact"/>
        <w:rPr>
          <w:sz w:val="24"/>
          <w:szCs w:val="24"/>
          <w:color w:val="auto"/>
        </w:rPr>
      </w:pPr>
    </w:p>
    <w:p>
      <w:pPr>
        <w:jc w:val="both"/>
        <w:ind w:right="18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6"/>
        <w:spacing w:after="0" w:line="196" w:lineRule="exact"/>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06" w:lineRule="exact"/>
        <w:rPr>
          <w:sz w:val="24"/>
          <w:szCs w:val="24"/>
          <w:color w:val="auto"/>
        </w:rPr>
      </w:pPr>
    </w:p>
    <w:p>
      <w:pPr>
        <w:ind w:right="60"/>
        <w:spacing w:after="0" w:line="21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spacing w:after="0" w:line="1" w:lineRule="exact"/>
        <w:rPr>
          <w:sz w:val="24"/>
          <w:szCs w:val="24"/>
          <w:color w:val="auto"/>
        </w:rPr>
      </w:pPr>
    </w:p>
    <w:p>
      <w:pPr>
        <w:ind w:left="200" w:hanging="196"/>
        <w:spacing w:after="0"/>
        <w:tabs>
          <w:tab w:leader="none" w:pos="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w:t>
      </w:r>
    </w:p>
    <w:p>
      <w:pPr>
        <w:spacing w:after="0" w:line="206" w:lineRule="exact"/>
        <w:rPr>
          <w:sz w:val="24"/>
          <w:szCs w:val="24"/>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4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2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42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Accelerated filer</w:t>
            </w:r>
          </w:p>
        </w:tc>
        <w:tc>
          <w:tcPr>
            <w:tcW w:w="1460" w:type="dxa"/>
            <w:vAlign w:val="bottom"/>
          </w:tcPr>
          <w:p>
            <w:pPr>
              <w:ind w:left="1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2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42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460" w:type="dxa"/>
            <w:vAlign w:val="bottom"/>
          </w:tcPr>
          <w:p>
            <w:pPr>
              <w:ind w:left="1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1"/>
        </w:trPr>
        <w:tc>
          <w:tcPr>
            <w:tcW w:w="2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Emerging growth company</w:t>
            </w:r>
          </w:p>
        </w:tc>
        <w:tc>
          <w:tcPr>
            <w:tcW w:w="1460" w:type="dxa"/>
            <w:vAlign w:val="bottom"/>
          </w:tcPr>
          <w:p>
            <w:pPr>
              <w:ind w:left="13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8" w:lineRule="exact"/>
        <w:rPr>
          <w:sz w:val="24"/>
          <w:szCs w:val="24"/>
          <w:color w:val="auto"/>
        </w:rPr>
      </w:pPr>
    </w:p>
    <w:p>
      <w:pPr>
        <w:ind w:right="400"/>
        <w:spacing w:after="0" w:line="23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26" w:lineRule="exact"/>
        <w:rPr>
          <w:sz w:val="24"/>
          <w:szCs w:val="24"/>
          <w:color w:val="auto"/>
        </w:rPr>
      </w:pPr>
    </w:p>
    <w:p>
      <w:pPr>
        <w:ind w:left="240" w:hanging="193"/>
        <w:spacing w:after="0" w:line="196" w:lineRule="exact"/>
        <w:tabs>
          <w:tab w:leader="none" w:pos="24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06" w:lineRule="exact"/>
        <w:rPr>
          <w:sz w:val="24"/>
          <w:szCs w:val="24"/>
          <w:color w:val="auto"/>
        </w:rPr>
      </w:pPr>
    </w:p>
    <w:p>
      <w:pPr>
        <w:ind w:right="540"/>
        <w:spacing w:after="0" w:line="292" w:lineRule="auto"/>
        <w:rPr>
          <w:sz w:val="20"/>
          <w:szCs w:val="20"/>
          <w:color w:val="auto"/>
        </w:rPr>
      </w:pPr>
      <w:r>
        <w:rPr>
          <w:rFonts w:ascii="Times New Roman" w:cs="Times New Roman" w:eastAsia="Times New Roman" w:hAnsi="Times New Roman"/>
          <w:sz w:val="17"/>
          <w:szCs w:val="17"/>
          <w:color w:val="auto"/>
        </w:rPr>
        <w:t>As of July 31, 2024 the Registrant had a total of 335,676,527 outstanding shares, which includes 291,466,121 Ordinary shares and 44,210,406 Non-voting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7137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245110</wp:posOffset>
            </wp:positionV>
            <wp:extent cx="713740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393700</wp:posOffset>
            </wp:positionV>
            <wp:extent cx="713740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02" w:right="339" w:bottom="958"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08"/>
        </w:trPr>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gridSpan w:val="4"/>
          </w:tcPr>
          <w:p>
            <w:pPr>
              <w:jc w:val="center"/>
              <w:ind w:right="3880"/>
              <w:spacing w:after="0"/>
              <w:rPr>
                <w:sz w:val="20"/>
                <w:szCs w:val="20"/>
                <w:color w:val="auto"/>
              </w:rPr>
            </w:pPr>
            <w:r>
              <w:rPr>
                <w:rFonts w:ascii="Times New Roman" w:cs="Times New Roman" w:eastAsia="Times New Roman" w:hAnsi="Times New Roman"/>
                <w:sz w:val="17"/>
                <w:szCs w:val="17"/>
                <w:b w:val="1"/>
                <w:bCs w:val="1"/>
                <w:color w:val="auto"/>
              </w:rPr>
              <w:t>Taboola.com Ltd.</w:t>
            </w:r>
          </w:p>
        </w:tc>
        <w:tc>
          <w:tcPr>
            <w:tcW w:w="1000" w:type="dxa"/>
            <w:vAlign w:val="bottom"/>
          </w:tcPr>
          <w:p>
            <w:pPr>
              <w:spacing w:after="0"/>
              <w:rPr>
                <w:sz w:val="18"/>
                <w:szCs w:val="18"/>
                <w:color w:val="auto"/>
              </w:rPr>
            </w:pPr>
          </w:p>
        </w:tc>
      </w:tr>
      <w:tr>
        <w:trPr>
          <w:trHeight w:val="208"/>
        </w:trPr>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00" w:type="dxa"/>
            <w:vAlign w:val="bottom"/>
            <w:gridSpan w:val="6"/>
          </w:tcPr>
          <w:p>
            <w:pPr>
              <w:jc w:val="center"/>
              <w:ind w:right="314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tc>
        <w:tc>
          <w:tcPr>
            <w:tcW w:w="1000" w:type="dxa"/>
            <w:vAlign w:val="bottom"/>
          </w:tcPr>
          <w:p>
            <w:pPr>
              <w:spacing w:after="0"/>
              <w:rPr>
                <w:sz w:val="18"/>
                <w:szCs w:val="18"/>
                <w:color w:val="auto"/>
              </w:rPr>
            </w:pPr>
          </w:p>
        </w:tc>
      </w:tr>
      <w:tr>
        <w:trPr>
          <w:trHeight w:val="228"/>
        </w:trPr>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40" w:type="dxa"/>
            <w:vAlign w:val="bottom"/>
            <w:gridSpan w:val="4"/>
          </w:tcPr>
          <w:p>
            <w:pPr>
              <w:jc w:val="center"/>
              <w:ind w:right="38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00" w:type="dxa"/>
            <w:vAlign w:val="bottom"/>
          </w:tcPr>
          <w:p>
            <w:pPr>
              <w:spacing w:after="0"/>
              <w:rPr>
                <w:sz w:val="19"/>
                <w:szCs w:val="19"/>
                <w:color w:val="auto"/>
              </w:rPr>
            </w:pPr>
          </w:p>
        </w:tc>
      </w:tr>
      <w:tr>
        <w:trPr>
          <w:trHeight w:val="201"/>
        </w:trPr>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14"/>
        </w:trPr>
        <w:tc>
          <w:tcPr>
            <w:tcW w:w="140" w:type="dxa"/>
            <w:vAlign w:val="bottom"/>
            <w:tcBorders>
              <w:left w:val="single" w:sz="8" w:color="auto"/>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Page No.</w:t>
            </w:r>
          </w:p>
        </w:tc>
      </w:tr>
      <w:tr>
        <w:trPr>
          <w:trHeight w:val="169"/>
        </w:trPr>
        <w:tc>
          <w:tcPr>
            <w:tcW w:w="1060" w:type="dxa"/>
            <w:vAlign w:val="bottom"/>
            <w:tcBorders>
              <w:left w:val="single" w:sz="8" w:color="auto"/>
              <w:right w:val="single" w:sz="8" w:color="auto"/>
            </w:tcBorders>
            <w:gridSpan w:val="3"/>
          </w:tcPr>
          <w:p>
            <w:pPr>
              <w:ind w:left="140"/>
              <w:spacing w:after="0" w:line="169" w:lineRule="exact"/>
              <w:rPr>
                <w:sz w:val="20"/>
                <w:szCs w:val="20"/>
                <w:color w:val="auto"/>
              </w:rPr>
            </w:pPr>
            <w:r>
              <w:rPr>
                <w:rFonts w:ascii="Times New Roman" w:cs="Times New Roman" w:eastAsia="Times New Roman" w:hAnsi="Times New Roman"/>
                <w:sz w:val="17"/>
                <w:szCs w:val="17"/>
                <w:b w:val="1"/>
                <w:bCs w:val="1"/>
                <w:color w:val="auto"/>
              </w:rPr>
              <w:t>PART I.</w:t>
            </w:r>
          </w:p>
        </w:tc>
        <w:tc>
          <w:tcPr>
            <w:tcW w:w="9180" w:type="dxa"/>
            <w:vAlign w:val="bottom"/>
            <w:tcBorders>
              <w:right w:val="single" w:sz="8" w:color="auto"/>
            </w:tcBorders>
            <w:gridSpan w:val="19"/>
          </w:tcPr>
          <w:p>
            <w:pPr>
              <w:ind w:left="100"/>
              <w:spacing w:after="0" w:line="169" w:lineRule="exact"/>
              <w:rPr>
                <w:sz w:val="20"/>
                <w:szCs w:val="20"/>
                <w:color w:val="auto"/>
              </w:rPr>
            </w:pPr>
            <w:r>
              <w:rPr>
                <w:rFonts w:ascii="Times New Roman" w:cs="Times New Roman" w:eastAsia="Times New Roman" w:hAnsi="Times New Roman"/>
                <w:sz w:val="17"/>
                <w:szCs w:val="17"/>
                <w:b w:val="1"/>
                <w:bCs w:val="1"/>
                <w:color w:val="0000EE"/>
              </w:rPr>
              <w:t>FINANCIAL INFORMATION</w:t>
            </w:r>
          </w:p>
        </w:tc>
        <w:tc>
          <w:tcPr>
            <w:tcW w:w="100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7"/>
                <w:szCs w:val="17"/>
                <w:color w:val="auto"/>
              </w:rPr>
              <w:t>4</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4"/>
        </w:trPr>
        <w:tc>
          <w:tcPr>
            <w:tcW w:w="1060" w:type="dxa"/>
            <w:vAlign w:val="bottom"/>
            <w:tcBorders>
              <w:left w:val="single" w:sz="8" w:color="auto"/>
              <w:bottom w:val="single" w:sz="8" w:color="auto"/>
              <w:right w:val="single" w:sz="8" w:color="auto"/>
            </w:tcBorders>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1.</w:t>
            </w:r>
          </w:p>
        </w:tc>
        <w:tc>
          <w:tcPr>
            <w:tcW w:w="9180" w:type="dxa"/>
            <w:vAlign w:val="bottom"/>
            <w:tcBorders>
              <w:bottom w:val="single" w:sz="8" w:color="auto"/>
              <w:right w:val="single" w:sz="8" w:color="auto"/>
            </w:tcBorders>
            <w:gridSpan w:val="19"/>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0000EE"/>
              </w:rPr>
              <w:t>Financial Statements (Unaudited)</w:t>
            </w:r>
          </w:p>
        </w:tc>
        <w:tc>
          <w:tcPr>
            <w:tcW w:w="1000" w:type="dxa"/>
            <w:vAlign w:val="bottom"/>
            <w:tcBorders>
              <w:bottom w:val="single" w:sz="8" w:color="auto"/>
              <w:right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auto"/>
              </w:rPr>
              <w:t>4</w:t>
            </w:r>
          </w:p>
        </w:tc>
      </w:tr>
      <w:tr>
        <w:trPr>
          <w:trHeight w:val="169"/>
        </w:trPr>
        <w:tc>
          <w:tcPr>
            <w:tcW w:w="140" w:type="dxa"/>
            <w:vAlign w:val="bottom"/>
            <w:tcBorders>
              <w:lef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920" w:type="dxa"/>
            <w:vAlign w:val="bottom"/>
            <w:tcBorders>
              <w:right w:val="single" w:sz="8" w:color="auto"/>
            </w:tcBorders>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Consolidated Interim Balance Sheets</w:t>
            </w:r>
          </w:p>
        </w:tc>
        <w:tc>
          <w:tcPr>
            <w:tcW w:w="100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7"/>
                <w:szCs w:val="17"/>
                <w:color w:val="auto"/>
              </w:rPr>
              <w:t>4</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4"/>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920" w:type="dxa"/>
            <w:vAlign w:val="bottom"/>
            <w:tcBorders>
              <w:bottom w:val="single" w:sz="8" w:color="auto"/>
              <w:right w:val="single" w:sz="8" w:color="auto"/>
            </w:tcBorders>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Consolidated Interim Statements of Loss</w:t>
            </w:r>
          </w:p>
        </w:tc>
        <w:tc>
          <w:tcPr>
            <w:tcW w:w="1000" w:type="dxa"/>
            <w:vAlign w:val="bottom"/>
            <w:tcBorders>
              <w:bottom w:val="single" w:sz="8" w:color="auto"/>
              <w:right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auto"/>
              </w:rPr>
              <w:t>5</w:t>
            </w:r>
          </w:p>
        </w:tc>
      </w:tr>
      <w:tr>
        <w:trPr>
          <w:trHeight w:val="169"/>
        </w:trPr>
        <w:tc>
          <w:tcPr>
            <w:tcW w:w="140" w:type="dxa"/>
            <w:vAlign w:val="bottom"/>
            <w:tcBorders>
              <w:lef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920" w:type="dxa"/>
            <w:vAlign w:val="bottom"/>
            <w:tcBorders>
              <w:right w:val="single" w:sz="8" w:color="auto"/>
            </w:tcBorders>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Consolidated Interim Statements of Comprehensive Loss</w:t>
            </w:r>
          </w:p>
        </w:tc>
        <w:tc>
          <w:tcPr>
            <w:tcW w:w="100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7"/>
                <w:szCs w:val="17"/>
                <w:color w:val="auto"/>
              </w:rPr>
              <w:t>6</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4"/>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920" w:type="dxa"/>
            <w:vAlign w:val="bottom"/>
            <w:tcBorders>
              <w:bottom w:val="single" w:sz="8" w:color="auto"/>
              <w:right w:val="single" w:sz="8" w:color="auto"/>
            </w:tcBorders>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Consolidated Interim Statements of Shareholders' Equity</w:t>
            </w:r>
          </w:p>
        </w:tc>
        <w:tc>
          <w:tcPr>
            <w:tcW w:w="1000" w:type="dxa"/>
            <w:vAlign w:val="bottom"/>
            <w:tcBorders>
              <w:bottom w:val="single" w:sz="8" w:color="auto"/>
              <w:right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auto"/>
              </w:rPr>
              <w:t>7</w:t>
            </w:r>
          </w:p>
        </w:tc>
      </w:tr>
      <w:tr>
        <w:trPr>
          <w:trHeight w:val="169"/>
        </w:trPr>
        <w:tc>
          <w:tcPr>
            <w:tcW w:w="140" w:type="dxa"/>
            <w:vAlign w:val="bottom"/>
            <w:tcBorders>
              <w:lef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920" w:type="dxa"/>
            <w:vAlign w:val="bottom"/>
            <w:tcBorders>
              <w:right w:val="single" w:sz="8" w:color="auto"/>
            </w:tcBorders>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Consolidated Interim Statements of Cash Flows</w:t>
            </w:r>
          </w:p>
        </w:tc>
        <w:tc>
          <w:tcPr>
            <w:tcW w:w="100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7"/>
                <w:szCs w:val="17"/>
                <w:color w:val="auto"/>
              </w:rPr>
              <w:t>9</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4"/>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920" w:type="dxa"/>
            <w:vAlign w:val="bottom"/>
            <w:tcBorders>
              <w:bottom w:val="single" w:sz="8" w:color="auto"/>
              <w:right w:val="single" w:sz="8" w:color="auto"/>
            </w:tcBorders>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Notes to Consolidated Interim Financial Statements</w:t>
            </w:r>
          </w:p>
        </w:tc>
        <w:tc>
          <w:tcPr>
            <w:tcW w:w="1000" w:type="dxa"/>
            <w:vAlign w:val="bottom"/>
            <w:tcBorders>
              <w:bottom w:val="single" w:sz="8" w:color="auto"/>
              <w:right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auto"/>
              </w:rPr>
              <w:t>11</w:t>
            </w:r>
          </w:p>
        </w:tc>
      </w:tr>
      <w:tr>
        <w:trPr>
          <w:trHeight w:val="169"/>
        </w:trPr>
        <w:tc>
          <w:tcPr>
            <w:tcW w:w="1060" w:type="dxa"/>
            <w:vAlign w:val="bottom"/>
            <w:tcBorders>
              <w:left w:val="single" w:sz="8" w:color="auto"/>
              <w:right w:val="single" w:sz="8" w:color="auto"/>
            </w:tcBorders>
            <w:gridSpan w:val="3"/>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2.</w:t>
            </w:r>
          </w:p>
        </w:tc>
        <w:tc>
          <w:tcPr>
            <w:tcW w:w="9180" w:type="dxa"/>
            <w:vAlign w:val="bottom"/>
            <w:tcBorders>
              <w:right w:val="single" w:sz="8" w:color="auto"/>
            </w:tcBorders>
            <w:gridSpan w:val="19"/>
          </w:tcPr>
          <w:p>
            <w:pPr>
              <w:ind w:left="100"/>
              <w:spacing w:after="0" w:line="169"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100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7"/>
                <w:szCs w:val="17"/>
                <w:color w:val="auto"/>
              </w:rPr>
              <w:t>25</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20" w:type="dxa"/>
            <w:vAlign w:val="bottom"/>
            <w:tcBorders>
              <w:top w:val="single" w:sz="8" w:color="0000EE"/>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4"/>
        </w:trPr>
        <w:tc>
          <w:tcPr>
            <w:tcW w:w="1060" w:type="dxa"/>
            <w:vAlign w:val="bottom"/>
            <w:tcBorders>
              <w:left w:val="single" w:sz="8" w:color="auto"/>
              <w:bottom w:val="single" w:sz="8" w:color="auto"/>
              <w:right w:val="single" w:sz="8" w:color="auto"/>
            </w:tcBorders>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3.</w:t>
            </w:r>
          </w:p>
        </w:tc>
        <w:tc>
          <w:tcPr>
            <w:tcW w:w="9180" w:type="dxa"/>
            <w:vAlign w:val="bottom"/>
            <w:tcBorders>
              <w:bottom w:val="single" w:sz="8" w:color="auto"/>
              <w:right w:val="single" w:sz="8" w:color="auto"/>
            </w:tcBorders>
            <w:gridSpan w:val="19"/>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1000" w:type="dxa"/>
            <w:vAlign w:val="bottom"/>
            <w:tcBorders>
              <w:bottom w:val="single" w:sz="8" w:color="auto"/>
              <w:right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auto"/>
              </w:rPr>
              <w:t>42</w:t>
            </w:r>
          </w:p>
        </w:tc>
      </w:tr>
      <w:tr>
        <w:trPr>
          <w:trHeight w:val="169"/>
        </w:trPr>
        <w:tc>
          <w:tcPr>
            <w:tcW w:w="1060" w:type="dxa"/>
            <w:vAlign w:val="bottom"/>
            <w:tcBorders>
              <w:left w:val="single" w:sz="8" w:color="auto"/>
              <w:right w:val="single" w:sz="8" w:color="auto"/>
            </w:tcBorders>
            <w:gridSpan w:val="3"/>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4.</w:t>
            </w:r>
          </w:p>
        </w:tc>
        <w:tc>
          <w:tcPr>
            <w:tcW w:w="9180" w:type="dxa"/>
            <w:vAlign w:val="bottom"/>
            <w:tcBorders>
              <w:right w:val="single" w:sz="8" w:color="auto"/>
            </w:tcBorders>
            <w:gridSpan w:val="19"/>
          </w:tcPr>
          <w:p>
            <w:pPr>
              <w:ind w:left="100"/>
              <w:spacing w:after="0" w:line="169" w:lineRule="exact"/>
              <w:rPr>
                <w:sz w:val="20"/>
                <w:szCs w:val="20"/>
                <w:color w:val="auto"/>
              </w:rPr>
            </w:pPr>
            <w:r>
              <w:rPr>
                <w:rFonts w:ascii="Times New Roman" w:cs="Times New Roman" w:eastAsia="Times New Roman" w:hAnsi="Times New Roman"/>
                <w:sz w:val="17"/>
                <w:szCs w:val="17"/>
                <w:color w:val="0000EE"/>
              </w:rPr>
              <w:t>Controls and Procedures</w:t>
            </w:r>
          </w:p>
        </w:tc>
        <w:tc>
          <w:tcPr>
            <w:tcW w:w="100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7"/>
                <w:szCs w:val="17"/>
                <w:color w:val="auto"/>
              </w:rPr>
              <w:t>44</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4"/>
        </w:trPr>
        <w:tc>
          <w:tcPr>
            <w:tcW w:w="1060" w:type="dxa"/>
            <w:vAlign w:val="bottom"/>
            <w:tcBorders>
              <w:left w:val="single" w:sz="8" w:color="auto"/>
              <w:bottom w:val="single" w:sz="8" w:color="auto"/>
              <w:right w:val="single" w:sz="8" w:color="auto"/>
            </w:tcBorders>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7"/>
                <w:szCs w:val="17"/>
                <w:b w:val="1"/>
                <w:bCs w:val="1"/>
                <w:color w:val="auto"/>
              </w:rPr>
              <w:t>PART II.</w:t>
            </w:r>
          </w:p>
        </w:tc>
        <w:tc>
          <w:tcPr>
            <w:tcW w:w="9180" w:type="dxa"/>
            <w:vAlign w:val="bottom"/>
            <w:tcBorders>
              <w:bottom w:val="single" w:sz="8" w:color="auto"/>
              <w:right w:val="single" w:sz="8" w:color="auto"/>
            </w:tcBorders>
            <w:gridSpan w:val="19"/>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b w:val="1"/>
                <w:bCs w:val="1"/>
                <w:color w:val="0000EE"/>
              </w:rPr>
              <w:t>OTHER INFORMATION</w:t>
            </w:r>
          </w:p>
        </w:tc>
        <w:tc>
          <w:tcPr>
            <w:tcW w:w="1000" w:type="dxa"/>
            <w:vAlign w:val="bottom"/>
            <w:tcBorders>
              <w:bottom w:val="single" w:sz="8" w:color="auto"/>
              <w:right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auto"/>
              </w:rPr>
              <w:t>45</w:t>
            </w:r>
          </w:p>
        </w:tc>
      </w:tr>
      <w:tr>
        <w:trPr>
          <w:trHeight w:val="169"/>
        </w:trPr>
        <w:tc>
          <w:tcPr>
            <w:tcW w:w="1060" w:type="dxa"/>
            <w:vAlign w:val="bottom"/>
            <w:tcBorders>
              <w:left w:val="single" w:sz="8" w:color="auto"/>
              <w:right w:val="single" w:sz="8" w:color="auto"/>
            </w:tcBorders>
            <w:gridSpan w:val="3"/>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1.</w:t>
            </w:r>
          </w:p>
        </w:tc>
        <w:tc>
          <w:tcPr>
            <w:tcW w:w="9180" w:type="dxa"/>
            <w:vAlign w:val="bottom"/>
            <w:tcBorders>
              <w:right w:val="single" w:sz="8" w:color="auto"/>
            </w:tcBorders>
            <w:gridSpan w:val="19"/>
          </w:tcPr>
          <w:p>
            <w:pPr>
              <w:ind w:left="100"/>
              <w:spacing w:after="0" w:line="169" w:lineRule="exact"/>
              <w:rPr>
                <w:sz w:val="20"/>
                <w:szCs w:val="20"/>
                <w:color w:val="auto"/>
              </w:rPr>
            </w:pPr>
            <w:r>
              <w:rPr>
                <w:rFonts w:ascii="Times New Roman" w:cs="Times New Roman" w:eastAsia="Times New Roman" w:hAnsi="Times New Roman"/>
                <w:sz w:val="17"/>
                <w:szCs w:val="17"/>
                <w:color w:val="0000EE"/>
              </w:rPr>
              <w:t>Legal Proceedings</w:t>
            </w:r>
          </w:p>
        </w:tc>
        <w:tc>
          <w:tcPr>
            <w:tcW w:w="100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7"/>
                <w:szCs w:val="17"/>
                <w:color w:val="auto"/>
              </w:rPr>
              <w:t>45</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4"/>
        </w:trPr>
        <w:tc>
          <w:tcPr>
            <w:tcW w:w="1060" w:type="dxa"/>
            <w:vAlign w:val="bottom"/>
            <w:tcBorders>
              <w:left w:val="single" w:sz="8" w:color="auto"/>
              <w:bottom w:val="single" w:sz="8" w:color="auto"/>
              <w:right w:val="single" w:sz="8" w:color="auto"/>
            </w:tcBorders>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1A.</w:t>
            </w:r>
          </w:p>
        </w:tc>
        <w:tc>
          <w:tcPr>
            <w:tcW w:w="9180" w:type="dxa"/>
            <w:vAlign w:val="bottom"/>
            <w:tcBorders>
              <w:bottom w:val="single" w:sz="8" w:color="auto"/>
              <w:right w:val="single" w:sz="8" w:color="auto"/>
            </w:tcBorders>
            <w:gridSpan w:val="19"/>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0000EE"/>
              </w:rPr>
              <w:t>Risk Factors</w:t>
            </w:r>
          </w:p>
        </w:tc>
        <w:tc>
          <w:tcPr>
            <w:tcW w:w="1000" w:type="dxa"/>
            <w:vAlign w:val="bottom"/>
            <w:tcBorders>
              <w:bottom w:val="single" w:sz="8" w:color="auto"/>
              <w:right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auto"/>
              </w:rPr>
              <w:t>45</w:t>
            </w:r>
          </w:p>
        </w:tc>
      </w:tr>
      <w:tr>
        <w:trPr>
          <w:trHeight w:val="169"/>
        </w:trPr>
        <w:tc>
          <w:tcPr>
            <w:tcW w:w="1060" w:type="dxa"/>
            <w:vAlign w:val="bottom"/>
            <w:tcBorders>
              <w:left w:val="single" w:sz="8" w:color="auto"/>
              <w:right w:val="single" w:sz="8" w:color="auto"/>
            </w:tcBorders>
            <w:gridSpan w:val="3"/>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2.</w:t>
            </w:r>
          </w:p>
        </w:tc>
        <w:tc>
          <w:tcPr>
            <w:tcW w:w="9180" w:type="dxa"/>
            <w:vAlign w:val="bottom"/>
            <w:tcBorders>
              <w:right w:val="single" w:sz="8" w:color="auto"/>
            </w:tcBorders>
            <w:gridSpan w:val="19"/>
          </w:tcPr>
          <w:p>
            <w:pPr>
              <w:ind w:left="100"/>
              <w:spacing w:after="0" w:line="169" w:lineRule="exact"/>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100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7"/>
                <w:szCs w:val="17"/>
                <w:color w:val="auto"/>
              </w:rPr>
              <w:t>45</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4"/>
        </w:trPr>
        <w:tc>
          <w:tcPr>
            <w:tcW w:w="1060" w:type="dxa"/>
            <w:vAlign w:val="bottom"/>
            <w:tcBorders>
              <w:left w:val="single" w:sz="8" w:color="auto"/>
              <w:bottom w:val="single" w:sz="8" w:color="auto"/>
              <w:right w:val="single" w:sz="8" w:color="auto"/>
            </w:tcBorders>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3.</w:t>
            </w:r>
          </w:p>
        </w:tc>
        <w:tc>
          <w:tcPr>
            <w:tcW w:w="9180" w:type="dxa"/>
            <w:vAlign w:val="bottom"/>
            <w:tcBorders>
              <w:bottom w:val="single" w:sz="8" w:color="auto"/>
              <w:right w:val="single" w:sz="8" w:color="auto"/>
            </w:tcBorders>
            <w:gridSpan w:val="19"/>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0000EE"/>
              </w:rPr>
              <w:t>Defaults upon Senior Securities</w:t>
            </w:r>
          </w:p>
        </w:tc>
        <w:tc>
          <w:tcPr>
            <w:tcW w:w="1000" w:type="dxa"/>
            <w:vAlign w:val="bottom"/>
            <w:tcBorders>
              <w:bottom w:val="single" w:sz="8" w:color="auto"/>
              <w:right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auto"/>
              </w:rPr>
              <w:t>46</w:t>
            </w:r>
          </w:p>
        </w:tc>
      </w:tr>
      <w:tr>
        <w:trPr>
          <w:trHeight w:val="169"/>
        </w:trPr>
        <w:tc>
          <w:tcPr>
            <w:tcW w:w="1060" w:type="dxa"/>
            <w:vAlign w:val="bottom"/>
            <w:tcBorders>
              <w:left w:val="single" w:sz="8" w:color="auto"/>
              <w:right w:val="single" w:sz="8" w:color="auto"/>
            </w:tcBorders>
            <w:gridSpan w:val="3"/>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4.</w:t>
            </w:r>
          </w:p>
        </w:tc>
        <w:tc>
          <w:tcPr>
            <w:tcW w:w="9180" w:type="dxa"/>
            <w:vAlign w:val="bottom"/>
            <w:tcBorders>
              <w:right w:val="single" w:sz="8" w:color="auto"/>
            </w:tcBorders>
            <w:gridSpan w:val="19"/>
          </w:tcPr>
          <w:p>
            <w:pPr>
              <w:ind w:left="100"/>
              <w:spacing w:after="0" w:line="169" w:lineRule="exact"/>
              <w:rPr>
                <w:sz w:val="20"/>
                <w:szCs w:val="20"/>
                <w:color w:val="auto"/>
              </w:rPr>
            </w:pPr>
            <w:r>
              <w:rPr>
                <w:rFonts w:ascii="Times New Roman" w:cs="Times New Roman" w:eastAsia="Times New Roman" w:hAnsi="Times New Roman"/>
                <w:sz w:val="17"/>
                <w:szCs w:val="17"/>
                <w:color w:val="0000EE"/>
              </w:rPr>
              <w:t>Mine Safety Disclosures</w:t>
            </w:r>
          </w:p>
        </w:tc>
        <w:tc>
          <w:tcPr>
            <w:tcW w:w="100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7"/>
                <w:szCs w:val="17"/>
                <w:color w:val="auto"/>
              </w:rPr>
              <w:t>46</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4"/>
        </w:trPr>
        <w:tc>
          <w:tcPr>
            <w:tcW w:w="1060" w:type="dxa"/>
            <w:vAlign w:val="bottom"/>
            <w:tcBorders>
              <w:left w:val="single" w:sz="8" w:color="auto"/>
              <w:bottom w:val="single" w:sz="8" w:color="auto"/>
              <w:right w:val="single" w:sz="8" w:color="auto"/>
            </w:tcBorders>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5.</w:t>
            </w:r>
          </w:p>
        </w:tc>
        <w:tc>
          <w:tcPr>
            <w:tcW w:w="9180" w:type="dxa"/>
            <w:vAlign w:val="bottom"/>
            <w:tcBorders>
              <w:bottom w:val="single" w:sz="8" w:color="auto"/>
              <w:right w:val="single" w:sz="8" w:color="auto"/>
            </w:tcBorders>
            <w:gridSpan w:val="19"/>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0000EE"/>
              </w:rPr>
              <w:t>Other Information</w:t>
            </w:r>
          </w:p>
        </w:tc>
        <w:tc>
          <w:tcPr>
            <w:tcW w:w="1000" w:type="dxa"/>
            <w:vAlign w:val="bottom"/>
            <w:tcBorders>
              <w:bottom w:val="single" w:sz="8" w:color="auto"/>
              <w:right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auto"/>
              </w:rPr>
              <w:t>46</w:t>
            </w:r>
          </w:p>
        </w:tc>
      </w:tr>
      <w:tr>
        <w:trPr>
          <w:trHeight w:val="169"/>
        </w:trPr>
        <w:tc>
          <w:tcPr>
            <w:tcW w:w="1060" w:type="dxa"/>
            <w:vAlign w:val="bottom"/>
            <w:tcBorders>
              <w:left w:val="single" w:sz="8" w:color="auto"/>
              <w:right w:val="single" w:sz="8" w:color="auto"/>
            </w:tcBorders>
            <w:gridSpan w:val="3"/>
          </w:tcPr>
          <w:p>
            <w:pPr>
              <w:ind w:left="140"/>
              <w:spacing w:after="0" w:line="169" w:lineRule="exact"/>
              <w:rPr>
                <w:sz w:val="20"/>
                <w:szCs w:val="20"/>
                <w:color w:val="auto"/>
              </w:rPr>
            </w:pPr>
            <w:r>
              <w:rPr>
                <w:rFonts w:ascii="Times New Roman" w:cs="Times New Roman" w:eastAsia="Times New Roman" w:hAnsi="Times New Roman"/>
                <w:sz w:val="17"/>
                <w:szCs w:val="17"/>
                <w:color w:val="auto"/>
              </w:rPr>
              <w:t>Item 6.</w:t>
            </w:r>
          </w:p>
        </w:tc>
        <w:tc>
          <w:tcPr>
            <w:tcW w:w="9180" w:type="dxa"/>
            <w:vAlign w:val="bottom"/>
            <w:tcBorders>
              <w:right w:val="single" w:sz="8" w:color="auto"/>
            </w:tcBorders>
            <w:gridSpan w:val="19"/>
          </w:tcPr>
          <w:p>
            <w:pPr>
              <w:ind w:left="100"/>
              <w:spacing w:after="0" w:line="169" w:lineRule="exact"/>
              <w:rPr>
                <w:sz w:val="20"/>
                <w:szCs w:val="20"/>
                <w:color w:val="auto"/>
              </w:rPr>
            </w:pPr>
            <w:r>
              <w:rPr>
                <w:rFonts w:ascii="Times New Roman" w:cs="Times New Roman" w:eastAsia="Times New Roman" w:hAnsi="Times New Roman"/>
                <w:sz w:val="17"/>
                <w:szCs w:val="17"/>
                <w:color w:val="0000EE"/>
              </w:rPr>
              <w:t>Exhibits</w:t>
            </w:r>
          </w:p>
        </w:tc>
        <w:tc>
          <w:tcPr>
            <w:tcW w:w="100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7"/>
                <w:szCs w:val="17"/>
                <w:color w:val="auto"/>
              </w:rPr>
              <w:t>47</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4"/>
        </w:trPr>
        <w:tc>
          <w:tcPr>
            <w:tcW w:w="1060" w:type="dxa"/>
            <w:vAlign w:val="bottom"/>
            <w:tcBorders>
              <w:left w:val="single" w:sz="8" w:color="auto"/>
              <w:bottom w:val="single" w:sz="8" w:color="auto"/>
              <w:right w:val="single" w:sz="8" w:color="auto"/>
            </w:tcBorders>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7"/>
                <w:szCs w:val="17"/>
                <w:color w:val="0000EE"/>
              </w:rPr>
              <w:t>Signatures</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7"/>
                <w:szCs w:val="17"/>
                <w:color w:val="auto"/>
              </w:rPr>
              <w:t>48</w:t>
            </w:r>
          </w:p>
        </w:tc>
      </w:tr>
      <w:tr>
        <w:trPr>
          <w:trHeight w:val="522"/>
        </w:trPr>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gridSpan w:val="18"/>
          </w:tcPr>
          <w:p>
            <w:pPr>
              <w:jc w:val="center"/>
              <w:ind w:left="2735"/>
              <w:spacing w:after="0"/>
              <w:rPr>
                <w:sz w:val="20"/>
                <w:szCs w:val="20"/>
                <w:color w:val="auto"/>
              </w:rPr>
            </w:pPr>
            <w:r>
              <w:rPr>
                <w:rFonts w:ascii="Times New Roman" w:cs="Times New Roman" w:eastAsia="Times New Roman" w:hAnsi="Times New Roman"/>
                <w:sz w:val="14"/>
                <w:szCs w:val="14"/>
                <w:color w:val="auto"/>
              </w:rPr>
              <w:t>- 2 -</w:t>
            </w:r>
          </w:p>
        </w:tc>
        <w:tc>
          <w:tcPr>
            <w:tcW w:w="2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
        </w:trPr>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 REGARDING FORWARD-LOOKING STATEMENTS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our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Unless otherwise stated or unless the context otherwise requires, the terms “Company,” “the registrant,” “our company,” “the company,” “we,” “us,” “our,” “ours,” and “Taboola” refer to Taboola.com Ltd., a company organized under the laws of the State of Israel,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212090</wp:posOffset>
            </wp:positionV>
            <wp:extent cx="713740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INTERIM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1374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0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6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182,198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176,108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Restricted deposits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Trade receivables (net of allowance for credit losses of $7,416 and $10,207 as of June 30, 2024 and December 31, 2023,</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respectively) (1)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306,307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69,598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69,865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534,804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559,412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prepaid expenses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25,584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39,602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agreement asset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289,451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deposits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56,138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61,746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71,846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72,155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Intangible assets, net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93,565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125,258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555,931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555,931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non-current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1,096,718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1,148,390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1,631,522</w:t>
            </w:r>
          </w:p>
        </w:tc>
        <w:tc>
          <w:tcPr>
            <w:tcW w:w="140" w:type="dxa"/>
            <w:vAlign w:val="bottom"/>
          </w:tcPr>
          <w:p>
            <w:pPr>
              <w:spacing w:after="0"/>
              <w:rPr>
                <w:sz w:val="18"/>
                <w:szCs w:val="18"/>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1,707,802</w:t>
            </w:r>
          </w:p>
        </w:tc>
        <w:tc>
          <w:tcPr>
            <w:tcW w:w="0" w:type="dxa"/>
            <w:vAlign w:val="bottom"/>
          </w:tcPr>
          <w:p>
            <w:pPr>
              <w:spacing w:after="0"/>
              <w:rPr>
                <w:sz w:val="1"/>
                <w:szCs w:val="1"/>
                <w:color w:val="auto"/>
              </w:rPr>
            </w:pPr>
          </w:p>
        </w:tc>
      </w:tr>
      <w:tr>
        <w:trPr>
          <w:trHeight w:val="395"/>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Trade payables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270,406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282,012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operating lease liabilities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20,264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118,664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118,689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loan</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408,533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423,965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loan, net of current maturities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142,164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42,721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49,450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Warrants liability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14,815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15,101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226,775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11)</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Ordinary shares with no par value- Authorized: 700,000,000 as of June 30, 2024 and December 31, 2023; 291,715,209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and 295,670,620 shares issued and outstanding as of June 30, 2024 and December 31, 2023, respectively</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Non-voting Ordinary shares with no par value- Authorized: 46,000,000 as of June 30, 2024 and December 31, 2023;</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44,210,406 and 45,198,702 shares issued and outstanding as of June 30, 2024 and December 31, 2023, respectively</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Treasury Ordinary shares, at cost - 27,775,351 (26,787,055 Ordinary shares and 988,296 Non-voting Ordinary shares)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and 15,240,471 Ordinary shares as of June 30, 2024 and December 31, 2023, respectively</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(109,978)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(55,513)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1,262,093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(180,909)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(150,460)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1,010,233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1,057,062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1,631,522</w:t>
            </w:r>
          </w:p>
        </w:tc>
        <w:tc>
          <w:tcPr>
            <w:tcW w:w="140" w:type="dxa"/>
            <w:vAlign w:val="bottom"/>
          </w:tcPr>
          <w:p>
            <w:pPr>
              <w:spacing w:after="0"/>
              <w:rPr>
                <w:sz w:val="18"/>
                <w:szCs w:val="18"/>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1,707,802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21348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4870" cy="1651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40" w:hanging="236"/>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related party trade receivables of $43,232 and $12,297, as of June 30, 2024 and December 31, 2023, respectively.</w:t>
      </w:r>
    </w:p>
    <w:p>
      <w:pPr>
        <w:spacing w:after="0" w:line="30"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related party trade payables of $59,194 and $38,657, as of June 30, 2024 and December 31, 2023, respectively.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interim financial statements.</w:t>
      </w:r>
    </w:p>
    <w:p>
      <w:pPr>
        <w:sectPr>
          <w:pgSz w:w="11900" w:h="16838" w:orient="portrait"/>
          <w:cols w:equalWidth="0" w:num="1">
            <w:col w:w="11240"/>
          </w:cols>
          <w:pgMar w:left="320" w:top="115" w:right="3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INTERIM STATEMENTS OF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374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6"/>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332,004</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842,168</w:t>
            </w: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Traffic acquisition cost (2)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278,620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208,870</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553,740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420,816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cost of revenues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26,077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64,697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52,225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Total cost of revenues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313,382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234,947</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618,437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473,041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97,057</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223,731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186,649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34,001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69,537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65,986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61,198</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132,445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121,767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26,858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47,613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52,694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122,057</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249,595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240,447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(7,631)</w:t>
            </w: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(25,000)</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(25,864)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(53,798)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income (expenses),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(3,827)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(6,981)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(6,627)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(28,827)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(28,498)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(60,779)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(2,487)</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loss per share attributable to Ordinary and Non-voting Ordinary shareholders,</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3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(0.01)</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(0.09)</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(0.09)</w:t>
            </w: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Weighted-average shares used in computing net loss per share attributable to</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Ordinary and Non-voting Ordinary shareholders, basic and diluted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342,566,112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351,585,059</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344,003,462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342,491,457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21348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4870" cy="1651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firstLine="4"/>
        <w:spacing w:after="0" w:line="266" w:lineRule="auto"/>
        <w:tabs>
          <w:tab w:leader="none" w:pos="2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revenues from related party of $60,302 and $7,190, for the three months ended June 30, 2024 and 2023, respectively, and $112,426 and $14,304, for the six months ended June 30, 2024 and 2023, respectively.</w:t>
      </w:r>
    </w:p>
    <w:p>
      <w:pPr>
        <w:ind w:firstLine="4"/>
        <w:spacing w:after="0" w:line="269" w:lineRule="auto"/>
        <w:tabs>
          <w:tab w:leader="none" w:pos="2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traffic acquisition cost to related party of $78,433 and $0, for the three months ended June 30, 2024 and 2023, respectively, and $152,044 and $0, for the six months ended June 30, 2024 and 2023, respectively.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interim financial statements.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INTERIM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3740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U.S. dollars 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24"/>
                <w:szCs w:val="24"/>
                <w:color w:val="auto"/>
              </w:rPr>
            </w:pPr>
          </w:p>
        </w:tc>
        <w:tc>
          <w:tcPr>
            <w:tcW w:w="2220" w:type="dxa"/>
            <w:vAlign w:val="bottom"/>
            <w:gridSpan w:val="6"/>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(4,291)</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(31,314)</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(30,449)</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(62,627)</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and realized gains on available-for-sale marketable securities, net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457</w:t>
            </w:r>
          </w:p>
        </w:tc>
      </w:tr>
      <w:tr>
        <w:trPr>
          <w:trHeight w:val="214"/>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gains (losses) on derivative instruments, net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(211)</w:t>
            </w: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199</w:t>
            </w:r>
          </w:p>
        </w:tc>
        <w:tc>
          <w:tcPr>
            <w:tcW w:w="3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(457)</w:t>
            </w:r>
          </w:p>
        </w:tc>
      </w:tr>
      <w:tr>
        <w:trPr>
          <w:trHeight w:val="214"/>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(4,495)</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(30,985)</w:t>
            </w: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(31,430)</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(62,627)</w:t>
            </w:r>
          </w:p>
        </w:tc>
      </w:tr>
      <w:tr>
        <w:trPr>
          <w:trHeight w:val="26"/>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interim financial statements.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INTERIM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3740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0" w:type="dxa"/>
            <w:vAlign w:val="bottom"/>
            <w:gridSpan w:val="3"/>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Non-voting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00" w:type="dxa"/>
            <w:vAlign w:val="bottom"/>
            <w:gridSpan w:val="3"/>
            <w:vMerge w:val="restart"/>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00" w:type="dxa"/>
            <w:vAlign w:val="bottom"/>
            <w:tcBorders>
              <w:bottom w:val="single" w:sz="8" w:color="auto"/>
            </w:tcBorders>
            <w:gridSpan w:val="3"/>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5"/>
              </w:rPr>
              <w:t>Treasury</w:t>
            </w:r>
          </w:p>
        </w:tc>
        <w:tc>
          <w:tcPr>
            <w:tcW w:w="100" w:type="dxa"/>
            <w:vAlign w:val="bottom"/>
          </w:tcPr>
          <w:p>
            <w:pPr>
              <w:spacing w:after="0"/>
              <w:rPr>
                <w:sz w:val="10"/>
                <w:szCs w:val="10"/>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Ordinary</w:t>
            </w:r>
          </w:p>
        </w:tc>
        <w:tc>
          <w:tcPr>
            <w:tcW w:w="100" w:type="dxa"/>
            <w:vAlign w:val="bottom"/>
          </w:tcPr>
          <w:p>
            <w:pPr>
              <w:spacing w:after="0"/>
              <w:rPr>
                <w:sz w:val="18"/>
                <w:szCs w:val="18"/>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20"/>
                <w:szCs w:val="20"/>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40" w:type="dxa"/>
            <w:vAlign w:val="bottom"/>
          </w:tcPr>
          <w:p>
            <w:pPr>
              <w:spacing w:after="0"/>
              <w:rPr>
                <w:sz w:val="20"/>
                <w:szCs w:val="20"/>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4"/>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April 1, 2024 (unaudited)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45,198,702</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293,413,305</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(83,271)</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$1,280,715</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(176,618)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1,020,991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19,005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19,005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(988,296)</w:t>
            </w: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(5,323,413)</w:t>
            </w: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Exercise of options and vested RSUs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3,625,317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Payments of tax withholding for share-</w:t>
            </w:r>
          </w:p>
        </w:tc>
        <w:tc>
          <w:tcPr>
            <w:tcW w:w="8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based compensation</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Balance as of June 30, 2024</w:t>
            </w: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44,210,406</w:t>
            </w:r>
          </w:p>
        </w:tc>
        <w:tc>
          <w:tcPr>
            <w:tcW w:w="1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291,715,209</w:t>
            </w:r>
          </w:p>
        </w:tc>
        <w:tc>
          <w:tcPr>
            <w:tcW w:w="14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6"/>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(109,978)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1,301,159</w:t>
            </w:r>
          </w:p>
        </w:tc>
        <w:tc>
          <w:tcPr>
            <w:tcW w:w="12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4"/>
          </w:tcPr>
          <w:p>
            <w:pPr>
              <w:jc w:val="right"/>
              <w:ind w:right="13"/>
              <w:spacing w:after="0"/>
              <w:rPr>
                <w:sz w:val="20"/>
                <w:szCs w:val="20"/>
                <w:color w:val="auto"/>
              </w:rPr>
            </w:pPr>
            <w:r>
              <w:rPr>
                <w:rFonts w:ascii="Times New Roman" w:cs="Times New Roman" w:eastAsia="Times New Roman" w:hAnsi="Times New Roman"/>
                <w:sz w:val="17"/>
                <w:szCs w:val="17"/>
                <w:color w:val="auto"/>
              </w:rPr>
              <w:t>(180,909) $</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(39)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1,010,233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0"/>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0" w:type="dxa"/>
            <w:vAlign w:val="bottom"/>
            <w:gridSpan w:val="3"/>
          </w:tcPr>
          <w:p>
            <w:pPr>
              <w:jc w:val="center"/>
              <w:ind w:left="113"/>
              <w:spacing w:after="0"/>
              <w:rPr>
                <w:sz w:val="20"/>
                <w:szCs w:val="20"/>
                <w:color w:val="auto"/>
              </w:rPr>
            </w:pPr>
            <w:r>
              <w:rPr>
                <w:rFonts w:ascii="Times New Roman" w:cs="Times New Roman" w:eastAsia="Times New Roman" w:hAnsi="Times New Roman"/>
                <w:sz w:val="17"/>
                <w:szCs w:val="17"/>
                <w:b w:val="1"/>
                <w:bCs w:val="1"/>
                <w:color w:val="auto"/>
              </w:rPr>
              <w:t>Non-voting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0" w:type="dxa"/>
            <w:vAlign w:val="bottom"/>
            <w:tcBorders>
              <w:bottom w:val="single" w:sz="8" w:color="auto"/>
            </w:tcBorders>
            <w:gridSpan w:val="3"/>
          </w:tcPr>
          <w:p>
            <w:pPr>
              <w:jc w:val="center"/>
              <w:ind w:left="113"/>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2"/>
              </w:rPr>
              <w:t>Additional</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line="187" w:lineRule="exact"/>
              <w:rPr>
                <w:sz w:val="20"/>
                <w:szCs w:val="20"/>
                <w:color w:val="auto"/>
              </w:rPr>
            </w:pPr>
            <w:r>
              <w:rPr>
                <w:rFonts w:ascii="Times New Roman" w:cs="Times New Roman" w:eastAsia="Times New Roman" w:hAnsi="Times New Roman"/>
                <w:sz w:val="17"/>
                <w:szCs w:val="17"/>
                <w:b w:val="1"/>
                <w:bCs w:val="1"/>
                <w:color w:val="auto"/>
              </w:rPr>
              <w:t>paid-in</w:t>
            </w:r>
          </w:p>
        </w:tc>
        <w:tc>
          <w:tcPr>
            <w:tcW w:w="106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40" w:type="dxa"/>
            <w:vAlign w:val="bottom"/>
            <w:gridSpan w:val="4"/>
          </w:tcPr>
          <w:p>
            <w:pPr>
              <w:jc w:val="right"/>
              <w:ind w:right="100"/>
              <w:spacing w:after="0" w:line="187"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12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20"/>
                <w:szCs w:val="20"/>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40" w:type="dxa"/>
            <w:vAlign w:val="bottom"/>
          </w:tcPr>
          <w:p>
            <w:pPr>
              <w:spacing w:after="0"/>
              <w:rPr>
                <w:sz w:val="20"/>
                <w:szCs w:val="20"/>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4"/>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1"/>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6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April 1, 2023 (unaudited)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45,198,702</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297,822,375</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$1,209,559</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(99,733)</w:t>
            </w:r>
          </w:p>
        </w:tc>
        <w:tc>
          <w:tcPr>
            <w:tcW w:w="8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1,108,663</w:t>
            </w: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(1,442,000)</w:t>
            </w: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w:t>
            </w: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Exercise of options and vested RSUs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4,256,660</w:t>
            </w:r>
          </w:p>
        </w:tc>
        <w:tc>
          <w:tcPr>
            <w:tcW w:w="4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Payments of tax withholding for share-</w:t>
            </w:r>
          </w:p>
        </w:tc>
        <w:tc>
          <w:tcPr>
            <w:tcW w:w="8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based compensation</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3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20" w:type="dxa"/>
            <w:vAlign w:val="bottom"/>
            <w:tcBorders>
              <w:lef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(31,314)</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(31,314)</w:t>
            </w: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Balance as of June 30, 2023</w:t>
            </w: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45,198,702</w:t>
            </w:r>
          </w:p>
        </w:tc>
        <w:tc>
          <w:tcPr>
            <w:tcW w:w="1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300,637,035</w:t>
            </w:r>
          </w:p>
        </w:tc>
        <w:tc>
          <w:tcPr>
            <w:tcW w:w="14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xml:space="preserve">(4,358)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1,226,572</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4"/>
          </w:tcPr>
          <w:p>
            <w:pPr>
              <w:jc w:val="right"/>
              <w:ind w:right="73"/>
              <w:spacing w:after="0"/>
              <w:rPr>
                <w:sz w:val="20"/>
                <w:szCs w:val="20"/>
                <w:color w:val="auto"/>
              </w:rPr>
            </w:pPr>
            <w:r>
              <w:rPr>
                <w:rFonts w:ascii="Times New Roman" w:cs="Times New Roman" w:eastAsia="Times New Roman" w:hAnsi="Times New Roman"/>
                <w:sz w:val="17"/>
                <w:szCs w:val="17"/>
                <w:color w:val="auto"/>
              </w:rPr>
              <w:t>(131,047)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interim financial statements.</w:t>
      </w:r>
    </w:p>
    <w:p>
      <w:pPr>
        <w:spacing w:after="0" w:line="3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340"/>
          </w:cols>
          <w:pgMar w:left="320" w:top="115"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INTERIM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3740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80" w:type="dxa"/>
            <w:vAlign w:val="bottom"/>
            <w:gridSpan w:val="3"/>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Non-voting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148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960" w:type="dxa"/>
            <w:vAlign w:val="bottom"/>
            <w:gridSpan w:val="2"/>
          </w:tcPr>
          <w:p>
            <w:pPr>
              <w:jc w:val="center"/>
              <w:ind w:right="140"/>
              <w:spacing w:after="0" w:line="187" w:lineRule="exact"/>
              <w:rPr>
                <w:sz w:val="20"/>
                <w:szCs w:val="20"/>
                <w:color w:val="auto"/>
              </w:rPr>
            </w:pPr>
            <w:r>
              <w:rPr>
                <w:rFonts w:ascii="Times New Roman" w:cs="Times New Roman" w:eastAsia="Times New Roman" w:hAnsi="Times New Roman"/>
                <w:sz w:val="17"/>
                <w:szCs w:val="17"/>
                <w:b w:val="1"/>
                <w:bCs w:val="1"/>
                <w:color w:val="auto"/>
              </w:rPr>
              <w:t>paid-in</w:t>
            </w:r>
          </w:p>
        </w:tc>
        <w:tc>
          <w:tcPr>
            <w:tcW w:w="112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20" w:type="dxa"/>
            <w:vAlign w:val="bottom"/>
            <w:gridSpan w:val="3"/>
          </w:tcPr>
          <w:p>
            <w:pPr>
              <w:jc w:val="center"/>
              <w:ind w:right="120"/>
              <w:spacing w:after="0" w:line="187"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08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80" w:type="dxa"/>
            <w:vAlign w:val="bottom"/>
          </w:tcPr>
          <w:p>
            <w:pPr>
              <w:spacing w:after="0"/>
              <w:rPr>
                <w:sz w:val="20"/>
                <w:szCs w:val="20"/>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20"/>
                <w:szCs w:val="2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8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45,198,702</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295,670,620</w:t>
            </w: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(55,513)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9"/>
              </w:rPr>
              <w:t>$ 1,262,093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(150,460)</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942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1,057,062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36,012</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36,012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(988,296)</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(11,546,584)</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(54,465)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(54,465)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Exercise of options and vested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RSUs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7,009,773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4,741</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4,741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Connexity issuance of Holdback</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581,400</w:t>
            </w: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Payments of tax withholding for</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(1,687)</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(981)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(30,449)</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(30,449)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Balance as of June 30, 2024</w:t>
            </w: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left w:val="single" w:sz="8" w:color="CCEEFF"/>
            </w:tcBorders>
            <w:shd w:val="clear" w:color="auto" w:fill="CCEEFF"/>
          </w:tcPr>
          <w:p>
            <w:pPr>
              <w:spacing w:after="0"/>
              <w:rPr>
                <w:sz w:val="16"/>
                <w:szCs w:val="16"/>
                <w:color w:val="auto"/>
              </w:rPr>
            </w:pPr>
          </w:p>
        </w:tc>
        <w:tc>
          <w:tcPr>
            <w:tcW w:w="60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(unaudited)</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44,210,406</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291,715,209</w:t>
            </w:r>
          </w:p>
        </w:tc>
        <w:tc>
          <w:tcPr>
            <w:tcW w:w="1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left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(109,978) $ 1,301,159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(180,909) $</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1,010,233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0"/>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380" w:type="dxa"/>
            <w:vAlign w:val="bottom"/>
            <w:gridSpan w:val="3"/>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Non-voting</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960" w:type="dxa"/>
            <w:vAlign w:val="bottom"/>
            <w:gridSpan w:val="2"/>
          </w:tcPr>
          <w:p>
            <w:pPr>
              <w:jc w:val="center"/>
              <w:ind w:right="140"/>
              <w:spacing w:after="0" w:line="187" w:lineRule="exact"/>
              <w:rPr>
                <w:sz w:val="20"/>
                <w:szCs w:val="20"/>
                <w:color w:val="auto"/>
              </w:rPr>
            </w:pPr>
            <w:r>
              <w:rPr>
                <w:rFonts w:ascii="Times New Roman" w:cs="Times New Roman" w:eastAsia="Times New Roman" w:hAnsi="Times New Roman"/>
                <w:sz w:val="17"/>
                <w:szCs w:val="17"/>
                <w:b w:val="1"/>
                <w:bCs w:val="1"/>
                <w:color w:val="auto"/>
              </w:rPr>
              <w:t>paid-in</w:t>
            </w:r>
          </w:p>
        </w:tc>
        <w:tc>
          <w:tcPr>
            <w:tcW w:w="112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20" w:type="dxa"/>
            <w:vAlign w:val="bottom"/>
            <w:gridSpan w:val="3"/>
          </w:tcPr>
          <w:p>
            <w:pPr>
              <w:jc w:val="center"/>
              <w:ind w:right="120"/>
              <w:spacing w:after="0" w:line="187"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08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20"/>
                <w:szCs w:val="20"/>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loss</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2023</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254,133,863</w:t>
            </w: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903,789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(68,420)</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834,535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33,949</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33,949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(1,442,000)</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(4,358)</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Exercise of options and vested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RSUs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7,838,081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2,679</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Connexity issuance of Holdback</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581,400</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Issuance of Ordinary shares and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Non-voting Ordinary shares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related to Commercial agreement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45,198,702</w:t>
            </w:r>
          </w:p>
        </w:tc>
        <w:tc>
          <w:tcPr>
            <w:tcW w:w="4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39,525,691</w:t>
            </w:r>
          </w:p>
        </w:tc>
        <w:tc>
          <w:tcPr>
            <w:tcW w:w="40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288,063</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288,063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Payments of tax withholding for</w:t>
            </w:r>
          </w:p>
        </w:tc>
        <w:tc>
          <w:tcPr>
            <w:tcW w:w="8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(1,908)</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(62,627)</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(62,627)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Balance as of June 30, 2023</w:t>
            </w: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left w:val="single" w:sz="8" w:color="CCEEFF"/>
            </w:tcBorders>
            <w:shd w:val="clear" w:color="auto" w:fill="CCEEFF"/>
          </w:tcPr>
          <w:p>
            <w:pPr>
              <w:spacing w:after="0"/>
              <w:rPr>
                <w:sz w:val="16"/>
                <w:szCs w:val="16"/>
                <w:color w:val="auto"/>
              </w:rPr>
            </w:pPr>
          </w:p>
        </w:tc>
        <w:tc>
          <w:tcPr>
            <w:tcW w:w="60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(unaudited)</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45,198,702</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300,637,035</w:t>
            </w:r>
          </w:p>
        </w:tc>
        <w:tc>
          <w:tcPr>
            <w:tcW w:w="1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(4,358) $ 1,226,572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(131,047) $</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1,090,333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000000"/>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interim financial statements.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TABOOLA.COM LTD.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INTERIM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13740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U.S. dollars 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80" w:type="dxa"/>
            <w:vAlign w:val="bottom"/>
            <w:gridSpan w:val="6"/>
          </w:tcPr>
          <w:p>
            <w:pPr>
              <w:spacing w:after="0" w:line="169"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6160" w:type="dxa"/>
            <w:vAlign w:val="bottom"/>
            <w:gridSpan w:val="3"/>
            <w:shd w:val="clear" w:color="auto" w:fill="CCEEFF"/>
          </w:tcPr>
          <w:p>
            <w:pPr>
              <w:spacing w:after="0"/>
              <w:rPr>
                <w:sz w:val="19"/>
                <w:szCs w:val="19"/>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(30,449)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(62,627)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780" w:type="dxa"/>
            <w:vAlign w:val="bottom"/>
            <w:tcBorders>
              <w:bottom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Adjustments to reconcile net loss to net cash flows provided by operating activities:</w:t>
            </w:r>
          </w:p>
        </w:tc>
        <w:tc>
          <w:tcPr>
            <w:tcW w:w="28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51,183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45,393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34,706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32,617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Net loss from financing expenses</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Revaluation of the Warrants liability</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Amortization of loan and credit facility issuance costs</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premium and accretion of discount on short-term investments,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60" w:type="dxa"/>
            <w:vAlign w:val="bottom"/>
            <w:gridSpan w:val="5"/>
          </w:tcPr>
          <w:p>
            <w:pPr>
              <w:spacing w:after="0" w:line="169" w:lineRule="exact"/>
              <w:rPr>
                <w:sz w:val="20"/>
                <w:szCs w:val="20"/>
                <w:color w:val="auto"/>
              </w:rPr>
            </w:pPr>
            <w:r>
              <w:rPr>
                <w:rFonts w:ascii="Times New Roman" w:cs="Times New Roman" w:eastAsia="Times New Roman" w:hAnsi="Times New Roman"/>
                <w:sz w:val="17"/>
                <w:szCs w:val="17"/>
                <w:color w:val="auto"/>
              </w:rPr>
              <w:t>Change in operating assets and liabilities: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tcBorders>
              <w:top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 in trade receivables, net (1)</w:t>
            </w:r>
          </w:p>
        </w:tc>
        <w:tc>
          <w:tcPr>
            <w:tcW w:w="58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24,633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39,271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Decrease in prepaid expenses and other current assets and long-term prepaid expenses</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14,990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 in trade payables (2)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(11,897)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(29,730)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Increase in accrued expenses and other current liabilities and other long-term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 in deferred taxes, net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(7,901)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Change in operating lease right of use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operating lease liabilities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(11,206)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(7,460)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72,624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29,122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660" w:type="dxa"/>
            <w:vAlign w:val="bottom"/>
            <w:gridSpan w:val="5"/>
          </w:tcPr>
          <w:p>
            <w:pPr>
              <w:spacing w:after="0" w:line="169" w:lineRule="exact"/>
              <w:rPr>
                <w:sz w:val="20"/>
                <w:szCs w:val="20"/>
                <w:color w:val="auto"/>
              </w:rPr>
            </w:pPr>
            <w:r>
              <w:rPr>
                <w:rFonts w:ascii="Times New Roman" w:cs="Times New Roman" w:eastAsia="Times New Roman" w:hAnsi="Times New Roman"/>
                <w:sz w:val="17"/>
                <w:szCs w:val="17"/>
                <w:color w:val="auto"/>
              </w:rPr>
              <w:t>Cash flows from investing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property and equipment, including capitalized internal-use software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(18,222)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(10,178)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Business acquisition deferred payment</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Investments in restricted deposits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Proceeds from maturities of short-term investments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77,636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(21,991)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45,126</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660" w:type="dxa"/>
            <w:vAlign w:val="bottom"/>
            <w:gridSpan w:val="5"/>
          </w:tcPr>
          <w:p>
            <w:pPr>
              <w:spacing w:after="0" w:line="169" w:lineRule="exact"/>
              <w:rPr>
                <w:sz w:val="20"/>
                <w:szCs w:val="20"/>
                <w:color w:val="auto"/>
              </w:rPr>
            </w:pPr>
            <w:r>
              <w:rPr>
                <w:rFonts w:ascii="Times New Roman" w:cs="Times New Roman" w:eastAsia="Times New Roman" w:hAnsi="Times New Roman"/>
                <w:sz w:val="17"/>
                <w:szCs w:val="17"/>
                <w:color w:val="auto"/>
              </w:rPr>
              <w:t>Cash flows from financing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costs</w:t>
            </w:r>
          </w:p>
        </w:tc>
        <w:tc>
          <w:tcPr>
            <w:tcW w:w="616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Exercise of options and vested RSUs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tax withholding for share-based compensation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(54,465)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on account of repurchase of Ordinary shares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Repayment of long-term loan</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(52,580)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rate differences on balances of cash and cash equivalents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Increase in 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38,702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 at the beginning of the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165,893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Cash and cash equivalents - at end of the period</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182,198</w:t>
            </w:r>
          </w:p>
        </w:tc>
        <w:tc>
          <w:tcPr>
            <w:tcW w:w="1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204,595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21348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4870" cy="1651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40" w:hanging="236"/>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an increase in related party trade receivables of $30,935 and $421, for the six months ended June 30, 2024 and 2023, respectively.</w:t>
      </w:r>
    </w:p>
    <w:p>
      <w:pPr>
        <w:spacing w:after="0" w:line="30"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an increase (decrease) in related party trade payables of $20,537 and ($4,920), for the six months ended June 30, 2024 and 2023, respectively.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interim financial statements.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INTERIM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13740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U.S. dollars in thousands</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5"/>
        </w:trPr>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4"/>
        </w:trPr>
        <w:tc>
          <w:tcPr>
            <w:tcW w:w="2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2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r>
      <w:tr>
        <w:trPr>
          <w:trHeight w:val="214"/>
        </w:trPr>
        <w:tc>
          <w:tcPr>
            <w:tcW w:w="2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718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2080" w:type="dxa"/>
            <w:vAlign w:val="bottom"/>
            <w:tcBorders>
              <w:bottom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Cash paid during the year for:</w:t>
            </w:r>
          </w:p>
        </w:tc>
        <w:tc>
          <w:tcPr>
            <w:tcW w:w="510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7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taxes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9,600</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6,833</w:t>
            </w:r>
          </w:p>
        </w:tc>
      </w:tr>
      <w:tr>
        <w:trPr>
          <w:trHeight w:val="208"/>
        </w:trPr>
        <w:tc>
          <w:tcPr>
            <w:tcW w:w="7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9,767</w:t>
            </w:r>
          </w:p>
        </w:tc>
      </w:tr>
      <w:tr>
        <w:trPr>
          <w:trHeight w:val="169"/>
        </w:trPr>
        <w:tc>
          <w:tcPr>
            <w:tcW w:w="71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Non-cash investing and financing activities:</w:t>
            </w:r>
          </w:p>
        </w:tc>
        <w:tc>
          <w:tcPr>
            <w:tcW w:w="1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9"/>
        </w:trPr>
        <w:tc>
          <w:tcPr>
            <w:tcW w:w="208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4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208"/>
        </w:trPr>
        <w:tc>
          <w:tcPr>
            <w:tcW w:w="7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Purchase of property and equipment, including capitalized internal-use software</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1,705</w:t>
            </w:r>
          </w:p>
        </w:tc>
      </w:tr>
      <w:tr>
        <w:trPr>
          <w:trHeight w:val="208"/>
        </w:trPr>
        <w:tc>
          <w:tcPr>
            <w:tcW w:w="7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Share-based compensation included in capitalized internal-use software</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1,332</w:t>
            </w:r>
          </w:p>
        </w:tc>
      </w:tr>
      <w:tr>
        <w:trPr>
          <w:trHeight w:val="226"/>
        </w:trPr>
        <w:tc>
          <w:tcPr>
            <w:tcW w:w="7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Creation of operating lease right-of-use assets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3,676</w:t>
            </w:r>
          </w:p>
        </w:tc>
        <w:tc>
          <w:tcPr>
            <w:tcW w:w="1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5,593</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interim financial statements.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20" w:lineRule="exact"/>
        <w:rPr>
          <w:sz w:val="20"/>
          <w:szCs w:val="20"/>
          <w:color w:val="auto"/>
        </w:rPr>
      </w:pPr>
    </w:p>
    <w:p>
      <w:pPr>
        <w:ind w:right="5480"/>
        <w:spacing w:after="0" w:line="326" w:lineRule="auto"/>
        <w:rPr>
          <w:sz w:val="20"/>
          <w:szCs w:val="20"/>
          <w:color w:val="auto"/>
        </w:rPr>
      </w:pPr>
      <w:r>
        <w:rPr>
          <w:rFonts w:ascii="Times New Roman" w:cs="Times New Roman" w:eastAsia="Times New Roman" w:hAnsi="Times New Roman"/>
          <w:sz w:val="17"/>
          <w:szCs w:val="17"/>
          <w:b w:val="1"/>
          <w:bCs w:val="1"/>
          <w:color w:val="auto"/>
        </w:rPr>
        <w:t>NOTES TO THE CONSOLIDATED INTERIM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-191770</wp:posOffset>
            </wp:positionV>
            <wp:extent cx="713740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9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GENERAL</w:t>
      </w:r>
    </w:p>
    <w:p>
      <w:pPr>
        <w:spacing w:after="0" w:line="222" w:lineRule="exact"/>
        <w:rPr>
          <w:sz w:val="20"/>
          <w:szCs w:val="20"/>
          <w:color w:val="auto"/>
        </w:rPr>
      </w:pPr>
    </w:p>
    <w:p>
      <w:pPr>
        <w:ind w:left="1020" w:hanging="393"/>
        <w:spacing w:after="0" w:line="292"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Taboola.com Ltd. (together with its subsidiaries, the “Company” or “Taboola”) was incorporated under the laws of the state of Israel on September 3, 2006.</w:t>
      </w:r>
    </w:p>
    <w:p>
      <w:pPr>
        <w:spacing w:after="0" w:line="147" w:lineRule="exact"/>
        <w:rPr>
          <w:rFonts w:ascii="Times New Roman" w:cs="Times New Roman" w:eastAsia="Times New Roman" w:hAnsi="Times New Roman"/>
          <w:sz w:val="17"/>
          <w:szCs w:val="17"/>
          <w:color w:val="auto"/>
        </w:rPr>
      </w:pPr>
    </w:p>
    <w:p>
      <w:pPr>
        <w:jc w:val="both"/>
        <w:ind w:left="10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Taboola is a technology company that powers recommendations across the Open Web with an artificial intelligence-based, algorithmic engine developed since the Company began operations in 2007. Taboola partners with websites, devices, and mobile apps (collectively referred to as “digital properties”), to recommend editorial content and advertisements on the Open Web. Digital properties use Taboola’s technology platforms to achieve their business goals, such as driving new audiences to their sites and apps or increasing engagement with existing audiences. Taboola also provides monetization opportunities to digital properties by surfacing paid recommendations by advertisers. Taboola is a business-to-business company with no competing consumer interests. Taboola empowers advertisers to leverage its proprietary AI-powered recommendation platform to reach targeted audiences utilizing effective, native ad-formats across digital properties. As part of the Company e-Commerce offerings, it also syndicates its retailer advertisers’ monetized product listings and links (clickable advertisements) into commerce content-oriented consumer experiences on both the Open Web and within the dominant traditional ad platforms. Taboola generates revenues when people (consumers) click on, purchase from or, in some cases, view the ads that appear within its recommendation platform. The Company’s customers are the advertisers, merchants and affiliate networks that advertise on the Company’s platform (“Advertisers”). Advertisers pay Taboola for those clicks, purchases or impressions, and Taboola shares a portion of the resulting revenue with the digital properties who display those ads.</w:t>
      </w:r>
    </w:p>
    <w:p>
      <w:pPr>
        <w:spacing w:after="0" w:line="178" w:lineRule="exact"/>
        <w:rPr>
          <w:rFonts w:ascii="Times New Roman" w:cs="Times New Roman" w:eastAsia="Times New Roman" w:hAnsi="Times New Roman"/>
          <w:sz w:val="17"/>
          <w:szCs w:val="17"/>
          <w:color w:val="auto"/>
        </w:rPr>
      </w:pPr>
    </w:p>
    <w:p>
      <w:pPr>
        <w:jc w:val="both"/>
        <w:ind w:left="1020" w:hanging="393"/>
        <w:spacing w:after="0" w:line="260"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2022, the Company announced it entered into a 30-year exclusive commercial agreement (the “Commercial agreement”) with Yahoo Inc. and affiliated entities (“Yahoo”), under which Taboola will power native advertising across all of Yahoo’s digital properties, expanding the Company’s native advertising offering. In connection with this transaction, and following approval by the Company’s shareholders on December 30, 2022, the articles of association of the Company were amended and restated (the “Articles”) in their entirety to include a Non-voting Ordinary share class with an authorized share capital of 46,000,000. On January 17, 2023 (the “Transaction closing date”), the Company closed the transaction related agreements, including the issuance of 39,525,691 Ordinary shares and 45,198,702 Non-voting Ordinary shares to Yahoo. Based on the closing share price, on January 17, 2023, of $3.40 per share, the aggregate fair value of the issued shares amounted to $288,063. As part of the Ordinary shares and Non-voting Ordinary shares issuance, the Company incurred $1,388 of issuance expenses.</w:t>
      </w:r>
    </w:p>
    <w:p>
      <w:pPr>
        <w:spacing w:after="0" w:line="174" w:lineRule="exact"/>
        <w:rPr>
          <w:rFonts w:ascii="Times New Roman" w:cs="Times New Roman" w:eastAsia="Times New Roman" w:hAnsi="Times New Roman"/>
          <w:sz w:val="17"/>
          <w:szCs w:val="17"/>
          <w:color w:val="auto"/>
        </w:rPr>
      </w:pPr>
    </w:p>
    <w:p>
      <w:pPr>
        <w:jc w:val="both"/>
        <w:ind w:left="10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Non-voting Ordinary shares are not entitled to vote on or receive notices with respect to any matter pursuant to our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have rights identical to the rights of Ordinary shares. In connection with the transaction, the Company and Yahoo entered into an Investor Rights Agreement, under which, inter alia, Yahoo is entitled, in certain circumstances, to cause the Company to register the Ordinary shares issued to Yahoo for resale under the Securities Act of 1933, as amended.</w:t>
      </w:r>
    </w:p>
    <w:p>
      <w:pPr>
        <w:spacing w:after="0" w:line="160" w:lineRule="exact"/>
        <w:rPr>
          <w:rFonts w:ascii="Times New Roman" w:cs="Times New Roman" w:eastAsia="Times New Roman" w:hAnsi="Times New Roman"/>
          <w:sz w:val="17"/>
          <w:szCs w:val="17"/>
          <w:color w:val="auto"/>
        </w:rPr>
      </w:pPr>
    </w:p>
    <w:p>
      <w:pPr>
        <w:jc w:val="both"/>
        <w:ind w:left="10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accounts for the consideration paid to Yahoo (the “Commercial agreement asset”) as an up-front payment for traffic acquisition costs paid to the digital property partner, which is amortized over the shorter of respective contractual terms and the economic benefit period of the digital property arrangement.</w:t>
      </w:r>
    </w:p>
    <w:p>
      <w:pPr>
        <w:spacing w:after="0" w:line="341" w:lineRule="exact"/>
        <w:rPr>
          <w:rFonts w:ascii="Times New Roman" w:cs="Times New Roman" w:eastAsia="Times New Roman" w:hAnsi="Times New Roman"/>
          <w:sz w:val="17"/>
          <w:szCs w:val="17"/>
          <w:color w:val="auto"/>
        </w:rPr>
      </w:pPr>
    </w:p>
    <w:p>
      <w:pPr>
        <w:ind w:left="5560" w:hanging="83"/>
        <w:spacing w:after="0"/>
        <w:tabs>
          <w:tab w:leader="none" w:pos="556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GENRAL (Cont.)</w:t>
      </w:r>
    </w:p>
    <w:p>
      <w:pPr>
        <w:spacing w:after="0" w:line="209" w:lineRule="exact"/>
        <w:rPr>
          <w:sz w:val="20"/>
          <w:szCs w:val="20"/>
          <w:color w:val="auto"/>
        </w:rPr>
      </w:pPr>
    </w:p>
    <w:p>
      <w:pPr>
        <w:ind w:left="1020" w:right="160"/>
        <w:spacing w:after="0" w:line="273" w:lineRule="auto"/>
        <w:rPr>
          <w:sz w:val="20"/>
          <w:szCs w:val="20"/>
          <w:color w:val="auto"/>
        </w:rPr>
      </w:pPr>
      <w:r>
        <w:rPr>
          <w:rFonts w:ascii="Times New Roman" w:cs="Times New Roman" w:eastAsia="Times New Roman" w:hAnsi="Times New Roman"/>
          <w:sz w:val="17"/>
          <w:szCs w:val="17"/>
          <w:color w:val="auto"/>
        </w:rPr>
        <w:t>The Company and Yahoo are still in the Commercial agreement transition period (as defined in the Commercial agreement), consequently, the exclusivity period has not begun. For the three and six months ended June 30, 2024 and 2023, the Company did not record amortization expenses of the Commercial agreement asset.</w:t>
      </w:r>
    </w:p>
    <w:p>
      <w:pPr>
        <w:spacing w:after="0" w:line="14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4"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17"/>
          <w:szCs w:val="17"/>
          <w:color w:val="auto"/>
        </w:rPr>
        <w:t>The accompanying unaudited consolidated interim financial statements have been prepared in accordance with Generally Accepted Accounting Principles in the United States (“GAAP”), and applicable rules and regulations of the Securities and Exchange Commission (“SEC”) regarding interim financial reporting and include the accounts of Taboola.com Ltd. and its wholly-owned subsidiaries. All intercompany balances and transactions have been eliminated in consolidation.</w:t>
      </w:r>
    </w:p>
    <w:p>
      <w:pPr>
        <w:spacing w:after="0" w:line="168"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17"/>
          <w:szCs w:val="17"/>
          <w:color w:val="auto"/>
        </w:rPr>
        <w:t>The consolidated balance sheet as of December 31, 2023, included herein, was derived from the audited consolidated financial statements as of that date,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w:t>
      </w:r>
    </w:p>
    <w:p>
      <w:pPr>
        <w:spacing w:after="0" w:line="168" w:lineRule="exact"/>
        <w:rPr>
          <w:sz w:val="20"/>
          <w:szCs w:val="20"/>
          <w:color w:val="auto"/>
        </w:rPr>
      </w:pPr>
    </w:p>
    <w:p>
      <w:pPr>
        <w:jc w:val="both"/>
        <w:ind w:left="1020"/>
        <w:spacing w:after="0" w:line="273" w:lineRule="auto"/>
        <w:rPr>
          <w:sz w:val="20"/>
          <w:szCs w:val="20"/>
          <w:color w:val="auto"/>
        </w:rPr>
      </w:pPr>
      <w:r>
        <w:rPr>
          <w:rFonts w:ascii="Times New Roman" w:cs="Times New Roman" w:eastAsia="Times New Roman" w:hAnsi="Times New Roman"/>
          <w:sz w:val="17"/>
          <w:szCs w:val="17"/>
          <w:color w:val="auto"/>
        </w:rPr>
        <w:t>Therefore, these unaudited consolidated interim financial statements should be read in conjunction with the audited consolidated financial statements and the related notes thereto included in the Company’s Annual Report on Form 10-K as of and for the year ended December 31, 2023, filed with the SEC on February 28, 2024.</w:t>
      </w:r>
    </w:p>
    <w:p>
      <w:pPr>
        <w:spacing w:after="0" w:line="164" w:lineRule="exact"/>
        <w:rPr>
          <w:sz w:val="20"/>
          <w:szCs w:val="20"/>
          <w:color w:val="auto"/>
        </w:rPr>
      </w:pPr>
    </w:p>
    <w:p>
      <w:pPr>
        <w:jc w:val="both"/>
        <w:ind w:left="1020"/>
        <w:spacing w:after="0" w:line="264" w:lineRule="auto"/>
        <w:rPr>
          <w:sz w:val="20"/>
          <w:szCs w:val="20"/>
          <w:color w:val="auto"/>
        </w:rPr>
      </w:pPr>
      <w:r>
        <w:rPr>
          <w:rFonts w:ascii="Times New Roman" w:cs="Times New Roman" w:eastAsia="Times New Roman" w:hAnsi="Times New Roman"/>
          <w:sz w:val="17"/>
          <w:szCs w:val="17"/>
          <w:color w:val="auto"/>
        </w:rPr>
        <w:t>In the opinion of the Company’s management, the unaudited consolidated interim financial statements have been prepared on a basis consistent with the annual consolidated financial statements and reflect all adjustments, which include only normal recurring adjustments necessary for the fair presentation of the Company’s unaudited interim consolidated financial statements. The results of operations for the three and six months ended June 30, 2024, are not necessarily indicative of the results to be expected for the full year ending December 31, 2024, or any other future interim or annual period.</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4"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17"/>
          <w:szCs w:val="17"/>
          <w:color w:val="auto"/>
        </w:rPr>
        <w:t>The preparation of the interim consolidated financial statements in conformity with U.S. GAAP requires management to make estimates and assumptions that affect the reported amounts of assets and liabilities and disclosure of contingent assets and liabilities at the dates of the interim consolidated financial statements, and the reported amounts of revenues and expenses during the reporting period and accompanying notes. Actual results could differ from those estimates.</w:t>
      </w:r>
    </w:p>
    <w:p>
      <w:pPr>
        <w:spacing w:after="0" w:line="168"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7"/>
          <w:szCs w:val="17"/>
          <w:color w:val="auto"/>
        </w:rPr>
        <w:t>The Company’s management regularly evaluates its estimates, primarily those related to: (1) revenue recognition criteria, including the determination of revenue reporting as gross versus net in the Company’s revenue arrangements, (2) allowances for credit losses, (3) operating lease assets and liabilities, including the incremental borrowing rate and terms and provisions of each lease (4) the useful lives of its Commercial agreement asset, property and equipment and capitalized software development costs, (5) income taxes, (6) assumptions used in the option pricing models to determine the fair value of share-based compensation (7) the fair value of financial assets and liabilities, including the fair value of marketable securities, Private Warrants and derivative instruments (8) the fair value of acquired intangible assets and goodwill annual impairment test, and (9) the recognition and disclosure of contingent liabilities.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2" w:lineRule="exact"/>
        <w:rPr>
          <w:sz w:val="20"/>
          <w:szCs w:val="20"/>
          <w:color w:val="auto"/>
        </w:rPr>
      </w:pPr>
    </w:p>
    <w:p>
      <w:pPr>
        <w:jc w:val="both"/>
        <w:ind w:left="1020"/>
        <w:spacing w:after="0" w:line="273" w:lineRule="auto"/>
        <w:rPr>
          <w:sz w:val="20"/>
          <w:szCs w:val="20"/>
          <w:color w:val="auto"/>
        </w:rPr>
      </w:pPr>
      <w:r>
        <w:rPr>
          <w:rFonts w:ascii="Times New Roman" w:cs="Times New Roman" w:eastAsia="Times New Roman" w:hAnsi="Times New Roman"/>
          <w:sz w:val="17"/>
          <w:szCs w:val="17"/>
          <w:color w:val="auto"/>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spacing w:after="0" w:line="164"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17"/>
          <w:szCs w:val="17"/>
          <w:color w:val="auto"/>
        </w:rPr>
        <w:t>As of June 30, 2024, the impacts to the Company’s business due to geopolitical developments, such as the wars in Israel and Ukraine and other active or possible hostilities, and macroeconomic factors, such as rising interest rates, inflation and changes in foreign currency exchange rates, continue to evolve. As events continue to evolve and additional information becomes available, the Company’s estimates may change materially in future periods.</w:t>
      </w:r>
    </w:p>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224"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17"/>
          <w:szCs w:val="17"/>
          <w:color w:val="auto"/>
        </w:rPr>
        <w:t>The Company’s trade receivables are geographically diversified and derived mainly from sales in the United States, Israel, Germany and United Kingdom. Concentration of credit risk with respect to trade receivables is limited by credit limits, ongoing credit evaluation and account monitoring procedures. The Company performs ongoing credit evaluations of its accounts receivables and establishes an allowance for expected losses as necessary.</w:t>
      </w:r>
    </w:p>
    <w:p>
      <w:pPr>
        <w:spacing w:after="0" w:line="168"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As of June 30, 2024, the Company had a single customer representing 15.3% of the trade receivables balance. For the three and six months ended June 30, 2024, the same customer accounted for 14.1% and 13.3% of total revenues, respectively (see Note 12).</w:t>
      </w:r>
    </w:p>
    <w:p>
      <w:pPr>
        <w:spacing w:after="0" w:line="147"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As of December 31, 2023, no single customer represented 10% or more of trade receivables. No single customer accounted for more than 10% of total revenue for the three and six months ended June 30, 2023.</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224" w:lineRule="exact"/>
        <w:rPr>
          <w:sz w:val="20"/>
          <w:szCs w:val="20"/>
          <w:color w:val="auto"/>
        </w:rPr>
      </w:pPr>
    </w:p>
    <w:p>
      <w:pPr>
        <w:jc w:val="both"/>
        <w:ind w:left="1020"/>
        <w:spacing w:after="0" w:line="273" w:lineRule="auto"/>
        <w:rPr>
          <w:sz w:val="20"/>
          <w:szCs w:val="20"/>
          <w:color w:val="auto"/>
        </w:rPr>
      </w:pPr>
      <w:r>
        <w:rPr>
          <w:rFonts w:ascii="Times New Roman" w:cs="Times New Roman" w:eastAsia="Times New Roman" w:hAnsi="Times New Roman"/>
          <w:sz w:val="17"/>
          <w:szCs w:val="17"/>
          <w:color w:val="auto"/>
        </w:rPr>
        <w:t>The Company’s significant accounting policies are discussed in Note 2, Summary of Significant Accounting Policies, in the Company’s Annual Report on Form 10-K as of and for the year ended December 31, 2023, as filed with the SEC on February 28, 2024. There have been no significant changes to these policies during the six months ended June 30, 2024.</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w:t>
      </w:r>
    </w:p>
    <w:p>
      <w:pPr>
        <w:spacing w:after="0" w:line="224"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Certain amounts in the corresponding prior periods have been reclassified to conform with the current period presentation. Such reclassifications did not affect net loss, changes in the shareholders’ equity or cash flows.</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22" w:lineRule="exact"/>
        <w:rPr>
          <w:sz w:val="20"/>
          <w:szCs w:val="20"/>
          <w:color w:val="auto"/>
        </w:rPr>
      </w:pPr>
    </w:p>
    <w:p>
      <w:pPr>
        <w:jc w:val="both"/>
        <w:ind w:left="1020"/>
        <w:spacing w:after="0" w:line="268"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(Topics 740): Improvements to Income Tax Disclosures</w:t>
      </w:r>
      <w:r>
        <w:rPr>
          <w:rFonts w:ascii="Times New Roman" w:cs="Times New Roman" w:eastAsia="Times New Roman" w:hAnsi="Times New Roman"/>
          <w:sz w:val="17"/>
          <w:szCs w:val="17"/>
          <w:color w:val="auto"/>
        </w:rPr>
        <w:t>, which expands the disclosure requirements for income taxes, primarily related to the rate reconciliation and income taxes paid. This ASU is effective for the fiscal years beginning after December 15, 2024. Early adoption permitted. The Company does not expect the adoption of this guidance will have a significant impact on its consolidated financial statement and related disclosures and will adopt the guidance effective January 1,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07" w:lineRule="exact"/>
        <w:rPr>
          <w:sz w:val="20"/>
          <w:szCs w:val="20"/>
          <w:color w:val="auto"/>
        </w:rPr>
      </w:pPr>
    </w:p>
    <w:p>
      <w:pPr>
        <w:jc w:val="both"/>
        <w:ind w:left="1020"/>
        <w:spacing w:after="0" w:line="264"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which expands the annual and interim disclosure requirements for public company reportable segments, primarily through enhanced information about the significant expenses. This ASU is effective for fiscal years beginning after December 15, 2023, and for interim periods within fiscal years beginning after December 15, 2024. Early adoption permitted. The Company is currently evaluating the impact of this guidance on its consolidated financial statements and related disclosures.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3:-   CASH AND CASH EQUIVALENTS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5"/>
        </w:trPr>
        <w:tc>
          <w:tcPr>
            <w:tcW w:w="890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The following table presents for each reported period, the breakdown of cash and cash equivalents: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5"/>
        </w:trPr>
        <w:tc>
          <w:tcPr>
            <w:tcW w:w="10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10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0"/>
                <w:szCs w:val="20"/>
                <w:color w:val="auto"/>
              </w:rPr>
            </w:pPr>
          </w:p>
        </w:tc>
      </w:tr>
      <w:tr>
        <w:trPr>
          <w:trHeight w:val="214"/>
        </w:trPr>
        <w:tc>
          <w:tcPr>
            <w:tcW w:w="10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99,811</w:t>
            </w:r>
          </w:p>
        </w:tc>
      </w:tr>
      <w:tr>
        <w:trPr>
          <w:trHeight w:val="208"/>
        </w:trPr>
        <w:tc>
          <w:tcPr>
            <w:tcW w:w="10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Money market funds</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68,972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72,510</w:t>
            </w:r>
          </w:p>
        </w:tc>
      </w:tr>
      <w:tr>
        <w:trPr>
          <w:trHeight w:val="214"/>
        </w:trPr>
        <w:tc>
          <w:tcPr>
            <w:tcW w:w="10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deposits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4"/>
        </w:trPr>
        <w:tc>
          <w:tcPr>
            <w:tcW w:w="10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182,198</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176,108</w:t>
            </w:r>
          </w:p>
        </w:tc>
        <w:tc>
          <w:tcPr>
            <w:tcW w:w="80" w:type="dxa"/>
            <w:vAlign w:val="bottom"/>
          </w:tcPr>
          <w:p>
            <w:pPr>
              <w:spacing w:after="0"/>
              <w:rPr>
                <w:sz w:val="18"/>
                <w:szCs w:val="18"/>
                <w:color w:val="auto"/>
              </w:rPr>
            </w:pPr>
          </w:p>
        </w:tc>
      </w:tr>
    </w:tbl>
    <w:p>
      <w:pPr>
        <w:spacing w:after="0" w:line="1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2" w:lineRule="exact"/>
        <w:rPr>
          <w:sz w:val="20"/>
          <w:szCs w:val="20"/>
          <w:color w:val="auto"/>
        </w:rPr>
      </w:pPr>
    </w:p>
    <w:p>
      <w:pPr>
        <w:jc w:val="both"/>
        <w:ind w:left="1020"/>
        <w:spacing w:after="0" w:line="273" w:lineRule="auto"/>
        <w:rPr>
          <w:sz w:val="20"/>
          <w:szCs w:val="20"/>
          <w:color w:val="auto"/>
        </w:rPr>
      </w:pPr>
      <w:r>
        <w:rPr>
          <w:rFonts w:ascii="Times New Roman" w:cs="Times New Roman" w:eastAsia="Times New Roman" w:hAnsi="Times New Roman"/>
          <w:sz w:val="17"/>
          <w:szCs w:val="17"/>
          <w:color w:val="auto"/>
        </w:rPr>
        <w:t>The Company evaluates assets and liabilities subject to fair value measurements on a recurring basis to determine the appropriate level to classify them for each reporting period. The Company did not have any transfers between fair value measurements levels during the six months ended June 30, 2024.</w:t>
      </w:r>
    </w:p>
    <w:p>
      <w:pPr>
        <w:spacing w:after="0" w:line="164"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The following table sets forth the Company’s assets and liabilities that were measured at fair value as of June 30, 2024 and December 31, 2023, by level within the fair value hierarchy: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Fair value measurements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b w:val="1"/>
                <w:bCs w:val="1"/>
                <w:color w:val="auto"/>
              </w:rPr>
              <w:t>Fair 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60"/>
              <w:spacing w:after="0" w:line="187" w:lineRule="exact"/>
              <w:rPr>
                <w:sz w:val="20"/>
                <w:szCs w:val="20"/>
                <w:color w:val="auto"/>
              </w:rPr>
            </w:pPr>
            <w:r>
              <w:rPr>
                <w:rFonts w:ascii="Times New Roman" w:cs="Times New Roman" w:eastAsia="Times New Roman" w:hAnsi="Times New Roman"/>
                <w:sz w:val="17"/>
                <w:szCs w:val="17"/>
                <w:b w:val="1"/>
                <w:bCs w:val="1"/>
                <w:color w:val="auto"/>
                <w:w w:val="99"/>
              </w:rPr>
              <w:t>June 30,</w:t>
            </w:r>
          </w:p>
        </w:tc>
        <w:tc>
          <w:tcPr>
            <w:tcW w:w="104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tcPr>
          <w:p>
            <w:pPr>
              <w:jc w:val="right"/>
              <w:ind w:right="2833"/>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Hierarchy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80" w:type="dxa"/>
            <w:vAlign w:val="bottom"/>
            <w:gridSpan w:val="7"/>
          </w:tcPr>
          <w:p>
            <w:pPr>
              <w:ind w:left="1020"/>
              <w:spacing w:after="0" w:line="189" w:lineRule="exact"/>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80" w:type="dxa"/>
            <w:vAlign w:val="bottom"/>
            <w:gridSpan w:val="7"/>
          </w:tcPr>
          <w:p>
            <w:pPr>
              <w:ind w:left="1020"/>
              <w:spacing w:after="0" w:line="187" w:lineRule="exact"/>
              <w:rPr>
                <w:sz w:val="20"/>
                <w:szCs w:val="20"/>
                <w:color w:val="auto"/>
              </w:rPr>
            </w:pPr>
            <w:r>
              <w:rPr>
                <w:rFonts w:ascii="Times New Roman" w:cs="Times New Roman" w:eastAsia="Times New Roman" w:hAnsi="Times New Roman"/>
                <w:sz w:val="17"/>
                <w:szCs w:val="17"/>
                <w:color w:val="auto"/>
              </w:rPr>
              <w:t>Cash equivalents: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020" w:type="dxa"/>
            <w:vAlign w:val="bottom"/>
          </w:tcPr>
          <w:p>
            <w:pPr>
              <w:spacing w:after="0"/>
              <w:rPr>
                <w:sz w:val="19"/>
                <w:szCs w:val="19"/>
                <w:color w:val="auto"/>
              </w:rPr>
            </w:pPr>
          </w:p>
        </w:tc>
        <w:tc>
          <w:tcPr>
            <w:tcW w:w="6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Money market funds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Level 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68,972</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72,510</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6760" w:type="dxa"/>
            <w:vAlign w:val="bottom"/>
            <w:gridSpan w:val="6"/>
          </w:tcPr>
          <w:p>
            <w:pPr>
              <w:spacing w:after="0" w:line="169" w:lineRule="exact"/>
              <w:rPr>
                <w:sz w:val="20"/>
                <w:szCs w:val="20"/>
                <w:color w:val="auto"/>
              </w:rPr>
            </w:pPr>
            <w:r>
              <w:rPr>
                <w:rFonts w:ascii="Times New Roman" w:cs="Times New Roman" w:eastAsia="Times New Roman" w:hAnsi="Times New Roman"/>
                <w:sz w:val="17"/>
                <w:szCs w:val="17"/>
                <w:color w:val="auto"/>
              </w:rPr>
              <w:t>Short-term investments: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020" w:type="dxa"/>
            <w:vAlign w:val="bottom"/>
          </w:tcPr>
          <w:p>
            <w:pPr>
              <w:spacing w:after="0"/>
              <w:rPr>
                <w:sz w:val="19"/>
                <w:szCs w:val="19"/>
                <w:color w:val="auto"/>
              </w:rPr>
            </w:pPr>
          </w:p>
        </w:tc>
        <w:tc>
          <w:tcPr>
            <w:tcW w:w="6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Level 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3,651</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10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Level 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2,074</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6760" w:type="dxa"/>
            <w:vAlign w:val="bottom"/>
            <w:gridSpan w:val="6"/>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Derivative instruments asset: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1020" w:type="dxa"/>
            <w:vAlign w:val="bottom"/>
          </w:tcPr>
          <w:p>
            <w:pPr>
              <w:spacing w:after="0"/>
              <w:rPr>
                <w:sz w:val="18"/>
                <w:szCs w:val="18"/>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Derivative instruments designated as cash flow hedging instruments</w:t>
            </w:r>
          </w:p>
        </w:tc>
        <w:tc>
          <w:tcPr>
            <w:tcW w:w="10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Level 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948</w:t>
            </w:r>
          </w:p>
        </w:tc>
        <w:tc>
          <w:tcPr>
            <w:tcW w:w="0" w:type="dxa"/>
            <w:vAlign w:val="bottom"/>
          </w:tcPr>
          <w:p>
            <w:pPr>
              <w:spacing w:after="0"/>
              <w:rPr>
                <w:sz w:val="1"/>
                <w:szCs w:val="1"/>
                <w:color w:val="auto"/>
              </w:rPr>
            </w:pPr>
          </w:p>
        </w:tc>
      </w:tr>
      <w:tr>
        <w:trPr>
          <w:trHeight w:val="208"/>
        </w:trPr>
        <w:tc>
          <w:tcPr>
            <w:tcW w:w="10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20" w:type="dxa"/>
            <w:vAlign w:val="bottom"/>
            <w:vMerge w:val="continue"/>
          </w:tcPr>
          <w:p>
            <w:pPr>
              <w:spacing w:after="0"/>
              <w:rPr>
                <w:sz w:val="18"/>
                <w:szCs w:val="18"/>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6760" w:type="dxa"/>
            <w:vAlign w:val="bottom"/>
            <w:gridSpan w:val="6"/>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Warrants liability:</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Public Warrants</w:t>
            </w:r>
          </w:p>
        </w:tc>
        <w:tc>
          <w:tcPr>
            <w:tcW w:w="5520" w:type="dxa"/>
            <w:vAlign w:val="bottom"/>
            <w:tcBorders>
              <w:top w:val="single" w:sz="8" w:color="CCEEFF"/>
            </w:tcBorders>
            <w:gridSpan w:val="4"/>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ind w:left="380"/>
              <w:spacing w:after="0"/>
              <w:rPr>
                <w:sz w:val="20"/>
                <w:szCs w:val="20"/>
                <w:color w:val="auto"/>
              </w:rPr>
            </w:pPr>
            <w:r>
              <w:rPr>
                <w:rFonts w:ascii="Times New Roman" w:cs="Times New Roman" w:eastAsia="Times New Roman" w:hAnsi="Times New Roman"/>
                <w:sz w:val="17"/>
                <w:szCs w:val="17"/>
                <w:color w:val="auto"/>
              </w:rPr>
              <w:t>Level 1</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(1,496)</w:t>
            </w:r>
          </w:p>
        </w:tc>
        <w:tc>
          <w:tcPr>
            <w:tcW w:w="22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(4,253)</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6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Private Warrants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Level 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(746)</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(1,876)</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6760" w:type="dxa"/>
            <w:vAlign w:val="bottom"/>
            <w:gridSpan w:val="6"/>
          </w:tcPr>
          <w:p>
            <w:pPr>
              <w:spacing w:after="0" w:line="169" w:lineRule="exact"/>
              <w:rPr>
                <w:sz w:val="20"/>
                <w:szCs w:val="20"/>
                <w:color w:val="auto"/>
              </w:rPr>
            </w:pPr>
            <w:r>
              <w:rPr>
                <w:rFonts w:ascii="Times New Roman" w:cs="Times New Roman" w:eastAsia="Times New Roman" w:hAnsi="Times New Roman"/>
                <w:sz w:val="17"/>
                <w:szCs w:val="17"/>
                <w:color w:val="auto"/>
              </w:rPr>
              <w:t>Derivative instruments liability:</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020" w:type="dxa"/>
            <w:vAlign w:val="bottom"/>
          </w:tcPr>
          <w:p>
            <w:pPr>
              <w:spacing w:after="0"/>
              <w:rPr>
                <w:sz w:val="19"/>
                <w:szCs w:val="19"/>
                <w:color w:val="auto"/>
              </w:rPr>
            </w:pPr>
          </w:p>
        </w:tc>
        <w:tc>
          <w:tcPr>
            <w:tcW w:w="6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instruments designated as cash flow hedging instruments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Level 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(39)</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48"/>
        </w:trPr>
        <w:tc>
          <w:tcPr>
            <w:tcW w:w="7780" w:type="dxa"/>
            <w:vAlign w:val="bottom"/>
            <w:gridSpan w:val="7"/>
          </w:tcPr>
          <w:p>
            <w:pPr>
              <w:jc w:val="right"/>
              <w:ind w:right="1913"/>
              <w:spacing w:after="0"/>
              <w:rPr>
                <w:sz w:val="20"/>
                <w:szCs w:val="20"/>
                <w:color w:val="auto"/>
              </w:rPr>
            </w:pPr>
            <w:r>
              <w:rPr>
                <w:rFonts w:ascii="Times New Roman" w:cs="Times New Roman" w:eastAsia="Times New Roman" w:hAnsi="Times New Roman"/>
                <w:sz w:val="14"/>
                <w:szCs w:val="14"/>
                <w:color w:val="auto"/>
              </w:rPr>
              <w:t>- 14 -</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0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 (Cont.)</w:t>
      </w: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classifies its money market funds as Level 1 based on quoted market prices in active markets.</w:t>
      </w:r>
    </w:p>
    <w:p>
      <w:pPr>
        <w:spacing w:after="0" w:line="220" w:lineRule="exact"/>
        <w:rPr>
          <w:sz w:val="20"/>
          <w:szCs w:val="20"/>
          <w:color w:val="auto"/>
        </w:rPr>
      </w:pPr>
    </w:p>
    <w:p>
      <w:pPr>
        <w:jc w:val="both"/>
        <w:ind w:left="1020"/>
        <w:spacing w:after="0" w:line="273" w:lineRule="auto"/>
        <w:rPr>
          <w:sz w:val="20"/>
          <w:szCs w:val="20"/>
          <w:color w:val="auto"/>
        </w:rPr>
      </w:pPr>
      <w:r>
        <w:rPr>
          <w:rFonts w:ascii="Times New Roman" w:cs="Times New Roman" w:eastAsia="Times New Roman" w:hAnsi="Times New Roman"/>
          <w:sz w:val="17"/>
          <w:szCs w:val="17"/>
          <w:color w:val="auto"/>
        </w:rPr>
        <w:t>The Company classifies its short-term investments and derivative instruments within Level 2 as they are valued using inputs other than quoted prices which are directly or indirectly observable in the market, including readily-available pricing sources for the identical underlying security which may not be actively traded.</w:t>
      </w:r>
    </w:p>
    <w:p>
      <w:pPr>
        <w:spacing w:after="0" w:line="164"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The Company measures the fair value for Warrants by using a quoted price for the Public Warrants, which are classified as Level 1, and a Black-Scholes simulation model for the Private Warrants, which are classified as Level 3, due to the use of unobservable inputs.</w:t>
      </w:r>
    </w:p>
    <w:p>
      <w:pPr>
        <w:spacing w:after="0" w:line="147" w:lineRule="exact"/>
        <w:rPr>
          <w:sz w:val="20"/>
          <w:szCs w:val="20"/>
          <w:color w:val="auto"/>
        </w:rPr>
      </w:pPr>
    </w:p>
    <w:tbl>
      <w:tblPr>
        <w:tblLayout w:type="fixed"/>
        <w:tblInd w:w="10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key inputs into the Black-Scholes model for the Private Warrants were as follows:</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0" w:type="dxa"/>
            <w:vAlign w:val="bottom"/>
          </w:tcPr>
          <w:p>
            <w:pPr>
              <w:spacing w:after="0"/>
              <w:rPr>
                <w:sz w:val="24"/>
                <w:szCs w:val="24"/>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189"/>
        </w:trPr>
        <w:tc>
          <w:tcPr>
            <w:tcW w:w="778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Input</w:t>
            </w:r>
          </w:p>
        </w:tc>
        <w:tc>
          <w:tcPr>
            <w:tcW w:w="1000" w:type="dxa"/>
            <w:vAlign w:val="bottom"/>
            <w:gridSpan w:val="2"/>
          </w:tcPr>
          <w:p>
            <w:pPr>
              <w:jc w:val="right"/>
              <w:ind w:right="213"/>
              <w:spacing w:after="0" w:line="189" w:lineRule="exact"/>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16"/>
                <w:szCs w:val="16"/>
                <w:color w:val="auto"/>
              </w:rPr>
            </w:pPr>
          </w:p>
        </w:tc>
        <w:tc>
          <w:tcPr>
            <w:tcW w:w="1080" w:type="dxa"/>
            <w:vAlign w:val="bottom"/>
            <w:gridSpan w:val="3"/>
          </w:tcPr>
          <w:p>
            <w:pPr>
              <w:jc w:val="right"/>
              <w:ind w:right="233"/>
              <w:spacing w:after="0" w:line="189" w:lineRule="exact"/>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73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00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- 4.87%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- 4.28%</w:t>
            </w:r>
          </w:p>
        </w:tc>
      </w:tr>
      <w:tr>
        <w:trPr>
          <w:trHeight w:val="208"/>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- 2.00</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- 2.50</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- 64.8%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- 63.9%</w:t>
            </w:r>
          </w:p>
        </w:tc>
      </w:tr>
      <w:tr>
        <w:trPr>
          <w:trHeight w:val="208"/>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11.50</w:t>
            </w:r>
          </w:p>
        </w:tc>
        <w:tc>
          <w:tcPr>
            <w:tcW w:w="660" w:type="dxa"/>
            <w:vAlign w:val="bottom"/>
            <w:gridSpan w:val="2"/>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11.50</w:t>
            </w:r>
          </w:p>
        </w:tc>
      </w:tr>
      <w:tr>
        <w:trPr>
          <w:trHeight w:val="208"/>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Underlying share price</w:t>
            </w: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3.44</w:t>
            </w:r>
          </w:p>
        </w:tc>
        <w:tc>
          <w:tcPr>
            <w:tcW w:w="66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4.33</w:t>
            </w:r>
          </w:p>
        </w:tc>
      </w:tr>
    </w:tbl>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Company’s use of a Black-Scholes model required the use of subjective assumptions:</w:t>
      </w:r>
    </w:p>
    <w:p>
      <w:pPr>
        <w:spacing w:after="0" w:line="220" w:lineRule="exact"/>
        <w:rPr>
          <w:sz w:val="20"/>
          <w:szCs w:val="20"/>
          <w:color w:val="auto"/>
        </w:rPr>
      </w:pPr>
    </w:p>
    <w:p>
      <w:pPr>
        <w:ind w:left="1400" w:hanging="306"/>
        <w:spacing w:after="0" w:line="266" w:lineRule="auto"/>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assumption was interpolated based on constant maturity U.S. Treasury rates over a term commensurate with the expected term of the Private Warrants.</w:t>
      </w:r>
    </w:p>
    <w:p>
      <w:pPr>
        <w:jc w:val="both"/>
        <w:ind w:left="1400" w:hanging="306"/>
        <w:spacing w:after="0" w:line="254" w:lineRule="auto"/>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was based on the maturity of the Private Warrants of five years following June 29, 2021, the Business Combination date, and for certain Private Warrants the maturity was determined to be five years from the date of the October 1, 2020, ION initial public offering effective date.</w:t>
      </w:r>
    </w:p>
    <w:p>
      <w:pPr>
        <w:spacing w:after="0" w:line="2" w:lineRule="exact"/>
        <w:rPr>
          <w:rFonts w:ascii="Times New Roman" w:cs="Times New Roman" w:eastAsia="Times New Roman" w:hAnsi="Times New Roman"/>
          <w:sz w:val="17"/>
          <w:szCs w:val="17"/>
          <w:color w:val="auto"/>
        </w:rPr>
      </w:pPr>
    </w:p>
    <w:p>
      <w:pPr>
        <w:jc w:val="both"/>
        <w:ind w:left="1400" w:hanging="306"/>
        <w:spacing w:after="0" w:line="262" w:lineRule="auto"/>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volatility is based on the Company’s share price volatility. For periods prior January 1, 2024, the expected share volatility assumption was based on the implied volatility from a set of comparable publicly-traded companies as determined based on size and proximity, as the Company did not have sufficient trading history</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presents the changes in the fair value of Warrants liability: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Private</w:t>
            </w:r>
          </w:p>
        </w:tc>
        <w:tc>
          <w:tcPr>
            <w:tcW w:w="14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Public</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89"/>
        </w:trPr>
        <w:tc>
          <w:tcPr>
            <w:tcW w:w="4700" w:type="dxa"/>
            <w:vAlign w:val="bottom"/>
            <w:gridSpan w:val="3"/>
          </w:tcPr>
          <w:p>
            <w:pPr>
              <w:ind w:left="1020"/>
              <w:spacing w:after="0" w:line="189" w:lineRule="exact"/>
              <w:rPr>
                <w:sz w:val="20"/>
                <w:szCs w:val="20"/>
                <w:color w:val="auto"/>
              </w:rPr>
            </w:pPr>
            <w:r>
              <w:rPr>
                <w:rFonts w:ascii="Times New Roman" w:cs="Times New Roman" w:eastAsia="Times New Roman" w:hAnsi="Times New Roman"/>
                <w:sz w:val="17"/>
                <w:szCs w:val="17"/>
                <w:b w:val="1"/>
                <w:bCs w:val="1"/>
                <w:color w:val="auto"/>
              </w:rPr>
              <w:t>Input</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7"/>
                <w:szCs w:val="17"/>
                <w:b w:val="1"/>
                <w:bCs w:val="1"/>
                <w:color w:val="auto"/>
              </w:rPr>
              <w:t>Warrants</w:t>
            </w:r>
          </w:p>
        </w:tc>
        <w:tc>
          <w:tcPr>
            <w:tcW w:w="14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7"/>
                <w:szCs w:val="17"/>
                <w:b w:val="1"/>
                <w:bCs w:val="1"/>
                <w:color w:val="auto"/>
              </w:rPr>
              <w:t>Warrants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b w:val="1"/>
                <w:bCs w:val="1"/>
                <w:color w:val="auto"/>
              </w:rPr>
              <w:t>Warrants</w:t>
            </w: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2023</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from private to public holdings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(1,053)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(3,887)</w:t>
            </w:r>
          </w:p>
        </w:tc>
        <w:tc>
          <w:tcPr>
            <w:tcW w:w="0" w:type="dxa"/>
            <w:vAlign w:val="bottom"/>
          </w:tcPr>
          <w:p>
            <w:pPr>
              <w:spacing w:after="0"/>
              <w:rPr>
                <w:sz w:val="1"/>
                <w:szCs w:val="1"/>
                <w:color w:val="auto"/>
              </w:rPr>
            </w:pPr>
          </w:p>
        </w:tc>
      </w:tr>
      <w:tr>
        <w:trPr>
          <w:trHeight w:val="26"/>
        </w:trPr>
        <w:tc>
          <w:tcPr>
            <w:tcW w:w="1020" w:type="dxa"/>
            <w:vAlign w:val="bottom"/>
            <w:vMerge w:val="restart"/>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20" w:type="dxa"/>
            <w:vAlign w:val="bottom"/>
            <w:vMerge w:val="continue"/>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Fair value as of June 30, 2024 (unaudited)</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746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2,242</w:t>
            </w:r>
          </w:p>
        </w:tc>
        <w:tc>
          <w:tcPr>
            <w:tcW w:w="0" w:type="dxa"/>
            <w:vAlign w:val="bottom"/>
          </w:tcPr>
          <w:p>
            <w:pPr>
              <w:spacing w:after="0"/>
              <w:rPr>
                <w:sz w:val="1"/>
                <w:szCs w:val="1"/>
                <w:color w:val="auto"/>
              </w:rPr>
            </w:pPr>
          </w:p>
        </w:tc>
      </w:tr>
      <w:tr>
        <w:trPr>
          <w:trHeight w:val="548"/>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80" w:type="dxa"/>
            <w:vAlign w:val="bottom"/>
          </w:tcPr>
          <w:p>
            <w:pPr>
              <w:jc w:val="right"/>
              <w:ind w:right="1822"/>
              <w:spacing w:after="0"/>
              <w:rPr>
                <w:sz w:val="20"/>
                <w:szCs w:val="20"/>
                <w:color w:val="auto"/>
              </w:rPr>
            </w:pPr>
            <w:r>
              <w:rPr>
                <w:rFonts w:ascii="Times New Roman" w:cs="Times New Roman" w:eastAsia="Times New Roman" w:hAnsi="Times New Roman"/>
                <w:sz w:val="14"/>
                <w:szCs w:val="14"/>
                <w:color w:val="auto"/>
              </w:rPr>
              <w:t>- 15 -</w:t>
            </w: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SHORT-TERM INVESTMENTS</w:t>
      </w: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As of June 30, 2024, the Company did not hold available-for-sale marketable securities.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is a summary of available-for-sale marketable securities as of December 31, 2023:</w:t>
      </w:r>
    </w:p>
    <w:p>
      <w:pPr>
        <w:spacing w:after="0" w:line="218" w:lineRule="exact"/>
        <w:rPr>
          <w:sz w:val="20"/>
          <w:szCs w:val="20"/>
          <w:color w:val="auto"/>
        </w:rPr>
      </w:pPr>
    </w:p>
    <w:tbl>
      <w:tblPr>
        <w:tblLayout w:type="fixed"/>
        <w:tblInd w:w="10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Gross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20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Gains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20" w:lineRule="exact"/>
        <w:rPr>
          <w:sz w:val="20"/>
          <w:szCs w:val="20"/>
          <w:color w:val="auto"/>
        </w:rPr>
      </w:pPr>
    </w:p>
    <w:p>
      <w:pPr>
        <w:jc w:val="both"/>
        <w:ind w:left="1020"/>
        <w:spacing w:after="0" w:line="264" w:lineRule="auto"/>
        <w:rPr>
          <w:sz w:val="20"/>
          <w:szCs w:val="20"/>
          <w:color w:val="auto"/>
        </w:rPr>
      </w:pPr>
      <w:r>
        <w:rPr>
          <w:rFonts w:ascii="Times New Roman" w:cs="Times New Roman" w:eastAsia="Times New Roman" w:hAnsi="Times New Roman"/>
          <w:sz w:val="17"/>
          <w:szCs w:val="17"/>
          <w:color w:val="auto"/>
        </w:rPr>
        <w:t>The Company enters into foreign currency forward contracts and put and call options with financial institution</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 xml:space="preserve"> to protect itself against the foreign exchange risks, mainly exposure to changes in the exchange rate of the New Israeli Shekel (“NIS”) against the U.S dollar that are associated with forecasted future cash flows for up to twelve months. The Company’s risk management strategy includes the use of derivative financial instruments to reduce the volatility of earnings and cash flows associated with changes in foreign currency exchange rates; these derivative instruments are designated as cash flow hedges. The Company does not enter into derivative transactions for trading or speculative purposes.</w:t>
      </w:r>
    </w:p>
    <w:p>
      <w:pPr>
        <w:spacing w:after="0" w:line="173"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As of June 30, 2024 and December 31, 2023, the notional amounts of the Company’s derivative instruments designated as cash flow hedging instruments outstanding in U.S. dollars amounted to $19,154 and $39,347, respectively.</w:t>
      </w:r>
    </w:p>
    <w:p>
      <w:pPr>
        <w:spacing w:after="0" w:line="147"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Gross notional amounts do not quantify risk or represent assets or liabilities of the Company but are used in the calculation of settlements under the contracts.</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records all cash flow hedging instruments on the consolidated balance sheets at fair value.</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fair values of outstanding derivative instruments designated as cash flow hedging instruments were as follows:</w:t>
      </w:r>
    </w:p>
    <w:p>
      <w:pPr>
        <w:spacing w:after="0" w:line="218" w:lineRule="exact"/>
        <w:rPr>
          <w:sz w:val="20"/>
          <w:szCs w:val="20"/>
          <w:color w:val="auto"/>
        </w:rPr>
      </w:pPr>
    </w:p>
    <w:tbl>
      <w:tblPr>
        <w:tblLayout w:type="fixed"/>
        <w:tblInd w:w="10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948</w:t>
            </w:r>
          </w:p>
        </w:tc>
      </w:tr>
      <w:tr>
        <w:trPr>
          <w:trHeight w:val="226"/>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7"/>
                <w:szCs w:val="17"/>
                <w:color w:val="auto"/>
                <w:w w:val="93"/>
              </w:rPr>
              <w:t>39</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bl>
    <w:p>
      <w:pPr>
        <w:spacing w:after="0" w:line="158"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The gains (losses) related to cash flow hedging instruments, recorded in the consolidated interim statements of loss, for the three and six months ended June 30, 2024 and 2023,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94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6"/>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4"/>
        </w:trPr>
        <w:tc>
          <w:tcPr>
            <w:tcW w:w="10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right="3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r>
      <w:tr>
        <w:trPr>
          <w:trHeight w:val="214"/>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w:t>
            </w:r>
          </w:p>
        </w:tc>
        <w:tc>
          <w:tcPr>
            <w:tcW w:w="38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shd w:val="clear" w:color="auto" w:fill="CCEEFF"/>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6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7"/>
              </w:rPr>
              <w:t>(536)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(851)</w:t>
            </w:r>
          </w:p>
        </w:tc>
      </w:tr>
      <w:tr>
        <w:trPr>
          <w:trHeight w:val="208"/>
        </w:trPr>
        <w:tc>
          <w:tcPr>
            <w:tcW w:w="10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7"/>
              </w:rPr>
              <w:t>(100)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(156)</w:t>
            </w:r>
          </w:p>
        </w:tc>
      </w:tr>
      <w:tr>
        <w:trPr>
          <w:trHeight w:val="214"/>
        </w:trPr>
        <w:tc>
          <w:tcPr>
            <w:tcW w:w="10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6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7"/>
              </w:rPr>
              <w:t>(104)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(153)</w:t>
            </w:r>
          </w:p>
        </w:tc>
      </w:tr>
      <w:tr>
        <w:trPr>
          <w:trHeight w:val="214"/>
        </w:trPr>
        <w:tc>
          <w:tcPr>
            <w:tcW w:w="10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gains (losses) recognized in the consolidated statements of loss, net</w:t>
            </w:r>
          </w:p>
        </w:tc>
        <w:tc>
          <w:tcPr>
            <w:tcW w:w="76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82"/>
              </w:rPr>
              <w:t>—</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1"/>
              </w:rPr>
              <w:t>(794)</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548"/>
        </w:trPr>
        <w:tc>
          <w:tcPr>
            <w:tcW w:w="6440" w:type="dxa"/>
            <w:vAlign w:val="bottom"/>
            <w:gridSpan w:val="2"/>
          </w:tcPr>
          <w:p>
            <w:pPr>
              <w:jc w:val="right"/>
              <w:ind w:right="573"/>
              <w:spacing w:after="0"/>
              <w:rPr>
                <w:sz w:val="20"/>
                <w:szCs w:val="20"/>
                <w:color w:val="auto"/>
              </w:rPr>
            </w:pPr>
            <w:r>
              <w:rPr>
                <w:rFonts w:ascii="Times New Roman" w:cs="Times New Roman" w:eastAsia="Times New Roman" w:hAnsi="Times New Roman"/>
                <w:sz w:val="14"/>
                <w:szCs w:val="14"/>
                <w:color w:val="auto"/>
              </w:rPr>
              <w:t>- 16 -</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
        </w:trPr>
        <w:tc>
          <w:tcPr>
            <w:tcW w:w="10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 (Cont.)</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Effect of Foreign Currency Contracts on Accumulated Other Comprehensive Income (Loss)</w:t>
      </w:r>
    </w:p>
    <w:p>
      <w:pPr>
        <w:spacing w:after="0" w:line="224"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Net unrealized gains (losses) of foreign currency contracts designated as cash flow hedging instruments are recorded in accumulated other comprehensive income (loss).</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changes in unrealized gains (losses) on the Company’s derivative instruments recorded in accumulated other comprehensive income (loss)</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were as follows:</w:t>
      </w:r>
    </w:p>
    <w:p>
      <w:pPr>
        <w:spacing w:after="0" w:line="186" w:lineRule="exact"/>
        <w:rPr>
          <w:sz w:val="20"/>
          <w:szCs w:val="20"/>
          <w:color w:val="auto"/>
        </w:rPr>
      </w:pPr>
    </w:p>
    <w:tbl>
      <w:tblPr>
        <w:tblLayout w:type="fixed"/>
        <w:tblInd w:w="10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gridSpan w:val="6"/>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gains (losses) on derivative instruments at the beginning of the period</w:t>
            </w:r>
          </w:p>
        </w:tc>
        <w:tc>
          <w:tcPr>
            <w:tcW w:w="6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948</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Changes in fair value of derivative instruments</w:t>
            </w:r>
          </w:p>
        </w:tc>
        <w:tc>
          <w:tcPr>
            <w:tcW w:w="6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7"/>
              </w:rPr>
              <w:t>(720)</w:t>
            </w:r>
          </w:p>
        </w:tc>
        <w:tc>
          <w:tcPr>
            <w:tcW w:w="3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80" w:type="dxa"/>
            <w:vAlign w:val="bottom"/>
            <w:tcBorders>
              <w:right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losses (gains) recognized in the consolidated interim statements of loss from accumulated</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6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7"/>
              </w:rPr>
              <w:t>(267)</w:t>
            </w: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8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Unrealized losses on derivative instruments at the end of the period (unaudited)</w:t>
            </w:r>
          </w:p>
        </w:tc>
        <w:tc>
          <w:tcPr>
            <w:tcW w:w="680" w:type="dxa"/>
            <w:vAlign w:val="bottom"/>
          </w:tcPr>
          <w:p>
            <w:pPr>
              <w:jc w:val="right"/>
              <w:ind w:right="55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(39)</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5648325</wp:posOffset>
            </wp:positionH>
            <wp:positionV relativeFrom="paragraph">
              <wp:posOffset>-576580</wp:posOffset>
            </wp:positionV>
            <wp:extent cx="14338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56" w:lineRule="exact"/>
        <w:rPr>
          <w:sz w:val="20"/>
          <w:szCs w:val="20"/>
          <w:color w:val="auto"/>
        </w:rPr>
      </w:pPr>
    </w:p>
    <w:p>
      <w:pPr>
        <w:jc w:val="both"/>
        <w:ind w:left="1020"/>
        <w:spacing w:after="0" w:line="285" w:lineRule="auto"/>
        <w:rPr>
          <w:sz w:val="20"/>
          <w:szCs w:val="20"/>
          <w:color w:val="auto"/>
        </w:rPr>
      </w:pPr>
      <w:r>
        <w:rPr>
          <w:rFonts w:ascii="Times New Roman" w:cs="Times New Roman" w:eastAsia="Times New Roman" w:hAnsi="Times New Roman"/>
          <w:sz w:val="17"/>
          <w:szCs w:val="17"/>
          <w:color w:val="auto"/>
        </w:rPr>
        <w:t>All net deferred losses in accumulated other comprehensive income (loss) as of June 30, 2024, are expected to be recognized over the next twelve months as operating expenses in the same financial statement line item in the consolidated interim statements of loss to which the derivative relates.</w:t>
      </w:r>
    </w:p>
    <w:p>
      <w:pPr>
        <w:spacing w:after="0" w:line="36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2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There was no impairment or additions to goodwill during the three and six months ended June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Net</w:t>
            </w: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53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Definite-lived intangible assets, net consist of the following:</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Gross Fair</w:t>
            </w:r>
          </w:p>
        </w:tc>
        <w:tc>
          <w:tcPr>
            <w:tcW w:w="100" w:type="dxa"/>
            <w:vAlign w:val="bottom"/>
          </w:tcPr>
          <w:p>
            <w:pPr>
              <w:spacing w:after="0"/>
              <w:rPr>
                <w:sz w:val="24"/>
                <w:szCs w:val="24"/>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Net Book</w:t>
            </w:r>
          </w:p>
        </w:tc>
        <w:tc>
          <w:tcPr>
            <w:tcW w:w="0" w:type="dxa"/>
            <w:vAlign w:val="bottom"/>
          </w:tcPr>
          <w:p>
            <w:pPr>
              <w:spacing w:after="0"/>
              <w:rPr>
                <w:sz w:val="1"/>
                <w:szCs w:val="1"/>
                <w:color w:val="auto"/>
              </w:rPr>
            </w:pPr>
          </w:p>
        </w:tc>
      </w:tr>
      <w:tr>
        <w:trPr>
          <w:trHeight w:val="234"/>
        </w:trPr>
        <w:tc>
          <w:tcPr>
            <w:tcW w:w="5340" w:type="dxa"/>
            <w:vAlign w:val="bottom"/>
            <w:gridSpan w:val="2"/>
          </w:tcPr>
          <w:p>
            <w:pPr>
              <w:ind w:left="102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0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Merchant/Network affiliate relationships</w:t>
            </w:r>
          </w:p>
        </w:tc>
        <w:tc>
          <w:tcPr>
            <w:tcW w:w="2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Technology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74,193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(49,285)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24,908</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Publisher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42,933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(30,411)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12,522</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Tradenames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(22,764)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1,333</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(12,621)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6"/>
        </w:trPr>
        <w:tc>
          <w:tcPr>
            <w:tcW w:w="1020" w:type="dxa"/>
            <w:vAlign w:val="bottom"/>
            <w:vMerge w:val="restart"/>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Total (unaudited)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300,916</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(207,351)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93,565</w:t>
            </w:r>
          </w:p>
        </w:tc>
        <w:tc>
          <w:tcPr>
            <w:tcW w:w="0" w:type="dxa"/>
            <w:vAlign w:val="bottom"/>
          </w:tcPr>
          <w:p>
            <w:pPr>
              <w:spacing w:after="0"/>
              <w:rPr>
                <w:sz w:val="1"/>
                <w:szCs w:val="1"/>
                <w:color w:val="auto"/>
              </w:rPr>
            </w:pPr>
          </w:p>
        </w:tc>
      </w:tr>
      <w:tr>
        <w:trPr>
          <w:trHeight w:val="395"/>
        </w:trPr>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Gross Fair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Net Book</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340" w:type="dxa"/>
            <w:vAlign w:val="bottom"/>
            <w:gridSpan w:val="2"/>
          </w:tcPr>
          <w:p>
            <w:pPr>
              <w:ind w:left="10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0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Merchant/Network affiliate relationships</w:t>
            </w:r>
          </w:p>
        </w:tc>
        <w:tc>
          <w:tcPr>
            <w:tcW w:w="2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Technology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74,193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(43,535)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30,658</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Publisher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42,933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17,889</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Tradenames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(18,739)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5,358</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(12,353)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793</w:t>
            </w:r>
          </w:p>
        </w:tc>
        <w:tc>
          <w:tcPr>
            <w:tcW w:w="0" w:type="dxa"/>
            <w:vAlign w:val="bottom"/>
          </w:tcPr>
          <w:p>
            <w:pPr>
              <w:spacing w:after="0"/>
              <w:rPr>
                <w:sz w:val="1"/>
                <w:szCs w:val="1"/>
                <w:color w:val="auto"/>
              </w:rPr>
            </w:pPr>
          </w:p>
        </w:tc>
      </w:tr>
      <w:tr>
        <w:trPr>
          <w:trHeight w:val="26"/>
        </w:trPr>
        <w:tc>
          <w:tcPr>
            <w:tcW w:w="1020" w:type="dxa"/>
            <w:vAlign w:val="bottom"/>
            <w:vMerge w:val="restart"/>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300,916</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(175,658)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125,258</w:t>
            </w:r>
          </w:p>
        </w:tc>
        <w:tc>
          <w:tcPr>
            <w:tcW w:w="0" w:type="dxa"/>
            <w:vAlign w:val="bottom"/>
          </w:tcPr>
          <w:p>
            <w:pPr>
              <w:spacing w:after="0"/>
              <w:rPr>
                <w:sz w:val="1"/>
                <w:szCs w:val="1"/>
                <w:color w:val="auto"/>
              </w:rPr>
            </w:pPr>
          </w:p>
        </w:tc>
      </w:tr>
      <w:tr>
        <w:trPr>
          <w:trHeight w:val="535"/>
        </w:trPr>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340" w:type="dxa"/>
            <w:vAlign w:val="bottom"/>
          </w:tcPr>
          <w:p>
            <w:pPr>
              <w:jc w:val="right"/>
              <w:ind w:right="1819"/>
              <w:spacing w:after="0"/>
              <w:rPr>
                <w:sz w:val="20"/>
                <w:szCs w:val="20"/>
                <w:color w:val="auto"/>
              </w:rPr>
            </w:pPr>
            <w:r>
              <w:rPr>
                <w:rFonts w:ascii="Times New Roman" w:cs="Times New Roman" w:eastAsia="Times New Roman" w:hAnsi="Times New Roman"/>
                <w:sz w:val="14"/>
                <w:szCs w:val="14"/>
                <w:color w:val="auto"/>
              </w:rPr>
              <w:t>- 17 -</w:t>
            </w: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02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GOODWILL AND INTANGIBLE ASSETS, NET (Cont.)</w:t>
      </w:r>
    </w:p>
    <w:p>
      <w:pPr>
        <w:spacing w:after="0" w:line="209" w:lineRule="exact"/>
        <w:rPr>
          <w:sz w:val="20"/>
          <w:szCs w:val="20"/>
          <w:color w:val="auto"/>
        </w:rPr>
      </w:pPr>
    </w:p>
    <w:p>
      <w:pPr>
        <w:ind w:left="1020"/>
        <w:spacing w:after="0" w:line="292" w:lineRule="auto"/>
        <w:rPr>
          <w:sz w:val="20"/>
          <w:szCs w:val="20"/>
          <w:color w:val="auto"/>
        </w:rPr>
      </w:pPr>
      <w:r>
        <w:rPr>
          <w:rFonts w:ascii="Times New Roman" w:cs="Times New Roman" w:eastAsia="Times New Roman" w:hAnsi="Times New Roman"/>
          <w:sz w:val="17"/>
          <w:szCs w:val="17"/>
          <w:color w:val="auto"/>
        </w:rPr>
        <w:t>Amortization expenses for intangible assets were $15,758 and $15,962, for the three months ended June 30, 2024 and 2023, respectively, and $31,693 and $31,931, for the six months ended June 30, 2024 and 2023, respectively.</w:t>
      </w:r>
    </w:p>
    <w:p>
      <w:pPr>
        <w:spacing w:after="0" w:line="147" w:lineRule="exact"/>
        <w:rPr>
          <w:sz w:val="20"/>
          <w:szCs w:val="20"/>
          <w:color w:val="auto"/>
        </w:rPr>
      </w:pPr>
    </w:p>
    <w:tbl>
      <w:tblPr>
        <w:tblLayout w:type="fixed"/>
        <w:tblInd w:w="1020" w:type="dxa"/>
        <w:tblCellMar>
          <w:top w:w="0" w:type="dxa"/>
          <w:left w:w="0" w:type="dxa"/>
          <w:bottom w:w="0" w:type="dxa"/>
          <w:right w:w="0" w:type="dxa"/>
        </w:tblCellMar>
      </w:tblPr>
      <w:tr>
        <w:trPr>
          <w:trHeight w:val="226"/>
        </w:trPr>
        <w:tc>
          <w:tcPr>
            <w:tcW w:w="9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estimated future amortization expense of definite-lived intangible assets as of June 30, 2024, is as follows (unaudited):</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5"/>
        </w:trPr>
        <w:tc>
          <w:tcPr>
            <w:tcW w:w="9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(Remainder)</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28,825</w:t>
            </w:r>
          </w:p>
        </w:tc>
        <w:tc>
          <w:tcPr>
            <w:tcW w:w="8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51,407</w:t>
            </w: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13,244</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93,565</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FINANCING ARRANGEMENTS</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Long-term loan</w:t>
      </w:r>
    </w:p>
    <w:p>
      <w:pPr>
        <w:spacing w:after="0" w:line="185" w:lineRule="exact"/>
        <w:rPr>
          <w:sz w:val="20"/>
          <w:szCs w:val="20"/>
          <w:color w:val="auto"/>
        </w:rPr>
      </w:pPr>
    </w:p>
    <w:p>
      <w:pPr>
        <w:jc w:val="both"/>
        <w:ind w:left="980"/>
        <w:spacing w:after="0" w:line="267" w:lineRule="auto"/>
        <w:rPr>
          <w:sz w:val="20"/>
          <w:szCs w:val="20"/>
          <w:color w:val="auto"/>
        </w:rPr>
      </w:pPr>
      <w:r>
        <w:rPr>
          <w:rFonts w:ascii="Times New Roman" w:cs="Times New Roman" w:eastAsia="Times New Roman" w:hAnsi="Times New Roman"/>
          <w:sz w:val="17"/>
          <w:szCs w:val="17"/>
          <w:color w:val="auto"/>
        </w:rPr>
        <w:t>Concurrently with the closing of the Connexity Acquisition, on September 1, 2021, the Company entered into a $300,000 senior secured term loan credit agreement (the “Credit Agreement”), among the Company, Taboola Inc., a wholly-owned Company’s subsidiary (the “Borrower”), the lenders party thereto and JPMorgan Chase Bank, N.A., as administrative agent. The Credit Agreement provides for borrowings in an aggregate principal amount of up to $300,000 (the “Facility”).</w:t>
      </w:r>
    </w:p>
    <w:p>
      <w:pPr>
        <w:spacing w:after="0" w:line="168" w:lineRule="exact"/>
        <w:rPr>
          <w:sz w:val="20"/>
          <w:szCs w:val="20"/>
          <w:color w:val="auto"/>
        </w:rPr>
      </w:pPr>
    </w:p>
    <w:p>
      <w:pPr>
        <w:jc w:val="both"/>
        <w:ind w:left="980"/>
        <w:spacing w:after="0" w:line="292" w:lineRule="auto"/>
        <w:rPr>
          <w:sz w:val="20"/>
          <w:szCs w:val="20"/>
          <w:color w:val="auto"/>
        </w:rPr>
      </w:pPr>
      <w:r>
        <w:rPr>
          <w:rFonts w:ascii="Times New Roman" w:cs="Times New Roman" w:eastAsia="Times New Roman" w:hAnsi="Times New Roman"/>
          <w:sz w:val="17"/>
          <w:szCs w:val="17"/>
          <w:color w:val="auto"/>
        </w:rPr>
        <w:t>The Facility was fully drawn at closing, net of issuance expenses of $11,250, and the proceeds were used by the Company to finance a portion of the Connexity Acquisition.</w:t>
      </w:r>
    </w:p>
    <w:p>
      <w:pPr>
        <w:spacing w:after="0" w:line="14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7"/>
          <w:szCs w:val="17"/>
          <w:color w:val="auto"/>
        </w:rPr>
        <w:t>The Facility is subject to customary borrowing conditions. In accordance with the terms of the Credit Agreement, the Credit Agreement was amended on June 12, 2023, to replace LIBOR with SOFR and accordingly the Facility bears interest at a variable annual rate based on Term SOFR or Base Rate plus a fixed margin. The Facility will mature on the seventh anniversary of the closing date with the remaining principal amount due at maturity. Due to the Company’s voluntary prepayments, the Company has satisfied in full and has no remaining obligations to make quarterly amortization payments under the Facility at a rate of 1.00% per annum. The Facility is mandatorily prepayable with a portion of the net cash proceeds of certain dispositions of assets, a portion of Taboola’s excess cash flow and the proceeds of incurrences of indebtedness not permitted under the Credit Agreement.</w:t>
      </w:r>
    </w:p>
    <w:p>
      <w:pPr>
        <w:spacing w:after="0" w:line="134" w:lineRule="exact"/>
        <w:rPr>
          <w:sz w:val="20"/>
          <w:szCs w:val="20"/>
          <w:color w:val="auto"/>
        </w:rPr>
      </w:pPr>
    </w:p>
    <w:p>
      <w:pPr>
        <w:jc w:val="both"/>
        <w:ind w:left="980"/>
        <w:spacing w:after="0" w:line="273" w:lineRule="auto"/>
        <w:rPr>
          <w:sz w:val="20"/>
          <w:szCs w:val="20"/>
          <w:color w:val="auto"/>
        </w:rPr>
      </w:pPr>
      <w:r>
        <w:rPr>
          <w:rFonts w:ascii="Times New Roman" w:cs="Times New Roman" w:eastAsia="Times New Roman" w:hAnsi="Times New Roman"/>
          <w:sz w:val="17"/>
          <w:szCs w:val="17"/>
          <w:color w:val="auto"/>
        </w:rPr>
        <w:t>The Credit Agreement also contains customary representations, covenants and events of default. Failure to meet the covenants beyond applicable grace periods could result in acceleration of outstanding borrowings and/or termination of the Facility. As of June 30, 2024, the Company was in compliance with the Facility covenants.</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As of June 30, 2024, the Company’s outstanding principal amount of debt under the Credit Agreement was $152,735.</w:t>
      </w:r>
    </w:p>
    <w:p>
      <w:pPr>
        <w:spacing w:after="0" w:line="194" w:lineRule="exact"/>
        <w:rPr>
          <w:sz w:val="20"/>
          <w:szCs w:val="20"/>
          <w:color w:val="auto"/>
        </w:rPr>
      </w:pPr>
    </w:p>
    <w:p>
      <w:pPr>
        <w:jc w:val="both"/>
        <w:ind w:left="980"/>
        <w:spacing w:after="0" w:line="273" w:lineRule="auto"/>
        <w:rPr>
          <w:sz w:val="20"/>
          <w:szCs w:val="20"/>
          <w:color w:val="auto"/>
        </w:rPr>
      </w:pPr>
      <w:r>
        <w:rPr>
          <w:rFonts w:ascii="Times New Roman" w:cs="Times New Roman" w:eastAsia="Times New Roman" w:hAnsi="Times New Roman"/>
          <w:sz w:val="17"/>
          <w:szCs w:val="17"/>
          <w:color w:val="auto"/>
        </w:rPr>
        <w:t>The Facility is guaranteed by the Company and all of its wholly-owned material subsidiaries, subject to certain exceptions set forth in the Credit Agreement (collectively, the “Guarantors”). The obligations of the Borrower and the Guarantors are secured by substantially all the assets of the Borrower and the Guarantors including shares of subsidiaries, subject to certain exceptions set forth in the Credit Agreement.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198" w:lineRule="exact"/>
        <w:rPr>
          <w:sz w:val="20"/>
          <w:szCs w:val="20"/>
          <w:color w:val="auto"/>
        </w:rPr>
      </w:pPr>
    </w:p>
    <w:p>
      <w:pPr>
        <w:ind w:right="5480"/>
        <w:spacing w:after="0" w:line="326" w:lineRule="auto"/>
        <w:rPr>
          <w:sz w:val="20"/>
          <w:szCs w:val="20"/>
          <w:color w:val="auto"/>
        </w:rPr>
      </w:pPr>
      <w:r>
        <w:rPr>
          <w:rFonts w:ascii="Times New Roman" w:cs="Times New Roman" w:eastAsia="Times New Roman" w:hAnsi="Times New Roman"/>
          <w:sz w:val="17"/>
          <w:szCs w:val="17"/>
          <w:b w:val="1"/>
          <w:bCs w:val="1"/>
          <w:color w:val="auto"/>
        </w:rPr>
        <w:t>NOTES TO THE CONSOLIDATED INTERIM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-191770</wp:posOffset>
            </wp:positionV>
            <wp:extent cx="713740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5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FINANCING ARRANGEMENTS (Cont.)</w:t>
      </w:r>
    </w:p>
    <w:p>
      <w:pPr>
        <w:spacing w:after="0" w:line="222" w:lineRule="exact"/>
        <w:rPr>
          <w:sz w:val="20"/>
          <w:szCs w:val="20"/>
          <w:color w:val="auto"/>
        </w:rPr>
      </w:pPr>
    </w:p>
    <w:p>
      <w:pPr>
        <w:jc w:val="both"/>
        <w:ind w:left="980"/>
        <w:spacing w:after="0" w:line="267" w:lineRule="auto"/>
        <w:rPr>
          <w:sz w:val="20"/>
          <w:szCs w:val="20"/>
          <w:color w:val="auto"/>
        </w:rPr>
      </w:pPr>
      <w:r>
        <w:rPr>
          <w:rFonts w:ascii="Times New Roman" w:cs="Times New Roman" w:eastAsia="Times New Roman" w:hAnsi="Times New Roman"/>
          <w:sz w:val="17"/>
          <w:szCs w:val="17"/>
          <w:color w:val="auto"/>
        </w:rPr>
        <w:t>The total interest expenses, including issuance costs amortization, recognized in connection with the long-term loan were $3,967 and $5,027, for the three months ended June 30, 2024 and 2023, respectively, and $7,908 and $10,500, for the six months ended June 30, 2024 and 2023, respectively. The long-term loan interest and issuance costs amortization, included as interest expenses, are recognized through the remaining term of the Credit agreement using the effective interest rate.</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Agreement</w:t>
      </w:r>
    </w:p>
    <w:p>
      <w:pPr>
        <w:spacing w:after="0" w:line="224" w:lineRule="exact"/>
        <w:rPr>
          <w:sz w:val="20"/>
          <w:szCs w:val="20"/>
          <w:color w:val="auto"/>
        </w:rPr>
      </w:pPr>
    </w:p>
    <w:p>
      <w:pPr>
        <w:jc w:val="both"/>
        <w:ind w:left="980"/>
        <w:spacing w:after="0" w:line="267" w:lineRule="auto"/>
        <w:rPr>
          <w:sz w:val="20"/>
          <w:szCs w:val="20"/>
          <w:color w:val="auto"/>
        </w:rPr>
      </w:pPr>
      <w:r>
        <w:rPr>
          <w:rFonts w:ascii="Times New Roman" w:cs="Times New Roman" w:eastAsia="Times New Roman" w:hAnsi="Times New Roman"/>
          <w:sz w:val="17"/>
          <w:szCs w:val="17"/>
          <w:color w:val="auto"/>
        </w:rPr>
        <w:t>On August 9, 2022, the Company amended its Credit Agreement to provide for a five-year senior secured revolving credit facility (the “Revolving Credit Agreement”), among the Company, Taboola Inc., a wholly-owned Company’s subsidiary (the “Borrower”), and the lenders party thereto, with Citibank N.A., as lead arranger and JPMorgan Chase Bank, N.A., as administrative agent. The Revolving Credit Agreement provides for revolving loans in an aggregate committed principal amount of up to $90,000 (the “Revolving Loans”).</w:t>
      </w:r>
    </w:p>
    <w:p>
      <w:pPr>
        <w:spacing w:after="0" w:line="143"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7"/>
          <w:szCs w:val="17"/>
          <w:color w:val="auto"/>
        </w:rPr>
        <w:t>Certain representations, events of default and covenants of the Revolving Credit Agreement are substantially the same as those in the Credit Agreement. However, the Revolving Credit Agreement contains a financial covenant requiring the Company to maintain a Total Net Leverage Ratio (as defined in the Revolving Credit Agreement) as at the last day of each fiscal quarter. Borrowings under the Revolving Credit Agreement are subject to customary conditions and will bear interest at a variable annual rate based on Term SOFR or Base Rate plus a fixed margin. The lenders under the Credit Agreement and the lenders under the Revolving Credit Agreement are secured by the same collateral, including substantially all the assets of the Borrower and the Guarantors (as defined in the Credit Agreement) including shares of subsidiaries, subject to certain exceptions in the governing documents.</w:t>
      </w:r>
    </w:p>
    <w:p>
      <w:pPr>
        <w:spacing w:after="0" w:line="173" w:lineRule="exact"/>
        <w:rPr>
          <w:sz w:val="20"/>
          <w:szCs w:val="20"/>
          <w:color w:val="auto"/>
        </w:rPr>
      </w:pPr>
    </w:p>
    <w:p>
      <w:pPr>
        <w:jc w:val="both"/>
        <w:ind w:left="980"/>
        <w:spacing w:after="0" w:line="273" w:lineRule="auto"/>
        <w:rPr>
          <w:sz w:val="20"/>
          <w:szCs w:val="20"/>
          <w:color w:val="auto"/>
        </w:rPr>
      </w:pPr>
      <w:r>
        <w:rPr>
          <w:rFonts w:ascii="Times New Roman" w:cs="Times New Roman" w:eastAsia="Times New Roman" w:hAnsi="Times New Roman"/>
          <w:sz w:val="17"/>
          <w:szCs w:val="17"/>
          <w:color w:val="auto"/>
        </w:rPr>
        <w:t>The proceeds of any Revolving Loans may be used for the working capital, capital expenditures and other general corporate purposes of Taboola and its subsidiaries and may also be used for Restricted Payments, Investments (including permitted acquisitions) and Restricted Debt Payments (each, as defined in the Credit Agreement) to the extent permitted under the Credit Agreement.</w:t>
      </w:r>
    </w:p>
    <w:p>
      <w:pPr>
        <w:spacing w:after="0" w:line="125" w:lineRule="exact"/>
        <w:rPr>
          <w:sz w:val="20"/>
          <w:szCs w:val="20"/>
          <w:color w:val="auto"/>
        </w:rPr>
      </w:pPr>
    </w:p>
    <w:p>
      <w:pPr>
        <w:jc w:val="both"/>
        <w:ind w:left="980"/>
        <w:spacing w:after="0" w:line="292" w:lineRule="auto"/>
        <w:rPr>
          <w:sz w:val="20"/>
          <w:szCs w:val="20"/>
          <w:color w:val="auto"/>
        </w:rPr>
      </w:pPr>
      <w:r>
        <w:rPr>
          <w:rFonts w:ascii="Times New Roman" w:cs="Times New Roman" w:eastAsia="Times New Roman" w:hAnsi="Times New Roman"/>
          <w:sz w:val="17"/>
          <w:szCs w:val="17"/>
          <w:color w:val="auto"/>
        </w:rPr>
        <w:t>As of June 30, 2024, the Company was in compliance with the financial covenants and had no outstanding borrowings under the Revolving Credit Agreement.</w:t>
      </w:r>
    </w:p>
    <w:p>
      <w:pPr>
        <w:spacing w:after="0" w:line="134" w:lineRule="exact"/>
        <w:rPr>
          <w:sz w:val="20"/>
          <w:szCs w:val="20"/>
          <w:color w:val="auto"/>
        </w:rPr>
      </w:pPr>
    </w:p>
    <w:p>
      <w:pPr>
        <w:jc w:val="both"/>
        <w:ind w:left="980"/>
        <w:spacing w:after="0" w:line="292" w:lineRule="auto"/>
        <w:rPr>
          <w:sz w:val="20"/>
          <w:szCs w:val="20"/>
          <w:color w:val="auto"/>
        </w:rPr>
      </w:pPr>
      <w:r>
        <w:rPr>
          <w:rFonts w:ascii="Times New Roman" w:cs="Times New Roman" w:eastAsia="Times New Roman" w:hAnsi="Times New Roman"/>
          <w:sz w:val="17"/>
          <w:szCs w:val="17"/>
          <w:color w:val="auto"/>
        </w:rPr>
        <w:t>As of June 30, 2024 and December 31, 2023, deferred financing costs associated with entering into the Revolving Credit Agreement in the total amount of $778 and $893, respectively, were included in short-term and long-term prepaid expenses in the Company’s consolidated balance sheets.</w:t>
      </w:r>
    </w:p>
    <w:p>
      <w:pPr>
        <w:spacing w:after="0" w:line="108" w:lineRule="exact"/>
        <w:rPr>
          <w:sz w:val="20"/>
          <w:szCs w:val="20"/>
          <w:color w:val="auto"/>
        </w:rPr>
      </w:pPr>
    </w:p>
    <w:p>
      <w:pPr>
        <w:jc w:val="both"/>
        <w:ind w:left="980"/>
        <w:spacing w:after="0" w:line="273" w:lineRule="auto"/>
        <w:rPr>
          <w:sz w:val="20"/>
          <w:szCs w:val="20"/>
          <w:color w:val="auto"/>
        </w:rPr>
      </w:pPr>
      <w:r>
        <w:rPr>
          <w:rFonts w:ascii="Times New Roman" w:cs="Times New Roman" w:eastAsia="Times New Roman" w:hAnsi="Times New Roman"/>
          <w:sz w:val="17"/>
          <w:szCs w:val="17"/>
          <w:color w:val="auto"/>
        </w:rPr>
        <w:t>The deferred financing costs are amortized on a straight-line basis over the term of the Revolving Credit Agreement. Deferred financing costs amortization amounted to $52 and $65, for the three months ended June 30, 2024 and 2023, respectively, and $115 and $ 127, for the six months ended June 30, 2024 and 2023, respectively.</w:t>
      </w:r>
    </w:p>
    <w:p>
      <w:pPr>
        <w:spacing w:after="0" w:line="16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SHAREHOLDERS’ EQUITY AND SHARE INCENTIVE PLANS</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Share Capital</w:t>
      </w:r>
    </w:p>
    <w:p>
      <w:pPr>
        <w:spacing w:after="0" w:line="224"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17"/>
          <w:szCs w:val="17"/>
          <w:color w:val="auto"/>
        </w:rPr>
        <w:t>Holders of Ordinary shares have the right to receive notice of, and to participate in, all general meetings of the Company, where each Ordinary share shall have one vote. Each holder has the right to receive dividends, if any, in proportion to their respective Ordinary share holdings. In the event of Taboola’s liquidation, after satisfaction of liabilities to creditors, Company assets will be distributed to the holders of its Ordinary shares in proportion to their shareholdings.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SHAREHOLDERS’ EQUITY AND SHARE INCENTIVE PLANS (Cont.)</w:t>
      </w:r>
    </w:p>
    <w:p>
      <w:pPr>
        <w:spacing w:after="0" w:line="222" w:lineRule="exact"/>
        <w:rPr>
          <w:sz w:val="20"/>
          <w:szCs w:val="20"/>
          <w:color w:val="auto"/>
        </w:rPr>
      </w:pPr>
    </w:p>
    <w:p>
      <w:pPr>
        <w:jc w:val="both"/>
        <w:ind w:left="1020"/>
        <w:spacing w:after="0" w:line="262" w:lineRule="auto"/>
        <w:rPr>
          <w:sz w:val="20"/>
          <w:szCs w:val="20"/>
          <w:color w:val="auto"/>
        </w:rPr>
      </w:pPr>
      <w:r>
        <w:rPr>
          <w:rFonts w:ascii="Times New Roman" w:cs="Times New Roman" w:eastAsia="Times New Roman" w:hAnsi="Times New Roman"/>
          <w:sz w:val="17"/>
          <w:szCs w:val="17"/>
          <w:color w:val="auto"/>
        </w:rPr>
        <w:t>On December 30, 2022, in connection with the Yahoo transaction, the Company’s shareholders approved an amendment and restatement to the Articles to include a Non-voting Ordinary share class with an authorized share capital of 46,000,000. In January 2023 the Company issued 45,198,702 Non-voting Ordinary shares to Yahoo. The Non-voting Ordinary shares are not entitled to vote, except in limited circumstances as provided in the Articles. Other than the voting rights, the rights to receive notice of meetings of shareholders and limited circumstances as described in the Company’s Articles, the Non-voting Ordinary shares will have rights identical to the rights of Ordinary shares as described above (see Note 1b).</w:t>
      </w:r>
    </w:p>
    <w:p>
      <w:pPr>
        <w:spacing w:after="0" w:line="1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Share Buyback Program</w:t>
      </w:r>
    </w:p>
    <w:p>
      <w:pPr>
        <w:spacing w:after="0" w:line="224" w:lineRule="exact"/>
        <w:rPr>
          <w:sz w:val="20"/>
          <w:szCs w:val="20"/>
          <w:color w:val="auto"/>
        </w:rPr>
      </w:pPr>
    </w:p>
    <w:p>
      <w:pPr>
        <w:jc w:val="both"/>
        <w:ind w:left="1020"/>
        <w:spacing w:after="0" w:line="259" w:lineRule="auto"/>
        <w:rPr>
          <w:sz w:val="20"/>
          <w:szCs w:val="20"/>
          <w:color w:val="auto"/>
        </w:rPr>
      </w:pPr>
      <w:r>
        <w:rPr>
          <w:rFonts w:ascii="Times New Roman" w:cs="Times New Roman" w:eastAsia="Times New Roman" w:hAnsi="Times New Roman"/>
          <w:sz w:val="17"/>
          <w:szCs w:val="17"/>
          <w:color w:val="auto"/>
        </w:rPr>
        <w:t>The Company’s board of directors authorized a share buyback program of the Company’s outstanding Ordinary shares, which commenced in June 2023 and does not have an expiration date (the “Buyback Program”). In 2023, the Company’s board of directors authorized up to $80,000 of buybacks under the Buyback Program. In February 2024, the Company’s board of directors authorized up to $100,000 for use under the Buyback Program, including any remaining authority from the 2023 board of directors authorization, subject to satisfying required conditions under the Israeli Companies Law and the Companies Regulations (Reliefs for Corporations, Which Securities Are Listed on Foreign Stock Exchanges) - 2000. As permitted by the Buyback Program, share repurchases may be made from time to time, in privately negotiated transactions or in the open market, including through trading plans, at the discretion of the Company’s management and as permitted by securities laws and other legal requirements. The Buyback Program does not obligate the Company to repurchase any specific number of shares and the number of shares repurchased may depend upon market and economic conditions and other factors. The Buyback Program may be discontinued, modified or suspended at any time.</w:t>
      </w:r>
    </w:p>
    <w:p>
      <w:pPr>
        <w:spacing w:after="0" w:line="386"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17"/>
          <w:szCs w:val="17"/>
          <w:color w:val="auto"/>
        </w:rPr>
        <w:t>During the six months ended June 30, 2024, the Company repurchased 12,534,880 of its shares, consisting of 11,546,584 Ordinary shares, and 988,296 Non-voting Ordinary shares (see Note 12) at an average price of $4.32 per share (excluding broker and transaction fees of $289). As of June 30, 2024, the Company had remaining authorization under the Buyback Program to repurchase Ordinary shares up to an aggregate amount of $65,557, subject to satisfying required conditions under the Companies Law and Companies Regulations.</w:t>
      </w:r>
    </w:p>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Share Incentive Plans</w:t>
      </w:r>
    </w:p>
    <w:p>
      <w:pPr>
        <w:spacing w:after="0" w:line="224" w:lineRule="exact"/>
        <w:rPr>
          <w:sz w:val="20"/>
          <w:szCs w:val="20"/>
          <w:color w:val="auto"/>
        </w:rPr>
      </w:pPr>
    </w:p>
    <w:p>
      <w:pPr>
        <w:jc w:val="both"/>
        <w:ind w:left="1020" w:hanging="393"/>
        <w:spacing w:after="0" w:line="262"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Buyback Program detailed above, the Company utilizes a net issuance mechanism to satisfy tax withholding obligations related to equity-based compensation on behalf of its directors, officers and other employees (the “Net Issuances”). In April 2024, the Company satisfied the required conditions, as set forth in the Israeli Companies Law and the Companies Regulations, to conduct future repurchases of its Ordinary shares under the Buyback Program and Net Issuances in an aggregate amount up to $100,000, which amount was partly utilized under the Company’s previous Israeli court authorization. The Company’s board of directors have the authority to determine the amount to be utilized for Net Issuances and Ordinary share repurchases.</w:t>
      </w:r>
    </w:p>
    <w:p>
      <w:pPr>
        <w:spacing w:after="0" w:line="160" w:lineRule="exact"/>
        <w:rPr>
          <w:rFonts w:ascii="Times New Roman" w:cs="Times New Roman" w:eastAsia="Times New Roman" w:hAnsi="Times New Roman"/>
          <w:sz w:val="17"/>
          <w:szCs w:val="17"/>
          <w:color w:val="auto"/>
        </w:rPr>
      </w:pPr>
    </w:p>
    <w:p>
      <w:pPr>
        <w:jc w:val="both"/>
        <w:ind w:left="10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six months ended June 30, 2024 and 2023, the Company utilized the net issuance mechanism in connection with equity-based compensation for certain Office Holders, which resulted in a tax withholding payment by the Company of $1,687 and $1,908, respectively, which were recorded as a reduction of additional paid-in capital.</w:t>
      </w:r>
    </w:p>
    <w:p>
      <w:pPr>
        <w:spacing w:after="0" w:line="341" w:lineRule="exact"/>
        <w:rPr>
          <w:rFonts w:ascii="Times New Roman" w:cs="Times New Roman" w:eastAsia="Times New Roman" w:hAnsi="Times New Roman"/>
          <w:sz w:val="17"/>
          <w:szCs w:val="17"/>
          <w:color w:val="auto"/>
        </w:rPr>
      </w:pPr>
    </w:p>
    <w:p>
      <w:pPr>
        <w:ind w:left="5560" w:hanging="86"/>
        <w:spacing w:after="0"/>
        <w:tabs>
          <w:tab w:leader="none" w:pos="55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198" w:lineRule="exact"/>
        <w:rPr>
          <w:sz w:val="20"/>
          <w:szCs w:val="20"/>
          <w:color w:val="auto"/>
        </w:rPr>
      </w:pPr>
    </w:p>
    <w:p>
      <w:pPr>
        <w:ind w:right="5480"/>
        <w:spacing w:after="0" w:line="326" w:lineRule="auto"/>
        <w:rPr>
          <w:sz w:val="20"/>
          <w:szCs w:val="20"/>
          <w:color w:val="auto"/>
        </w:rPr>
      </w:pPr>
      <w:r>
        <w:rPr>
          <w:rFonts w:ascii="Times New Roman" w:cs="Times New Roman" w:eastAsia="Times New Roman" w:hAnsi="Times New Roman"/>
          <w:sz w:val="17"/>
          <w:szCs w:val="17"/>
          <w:b w:val="1"/>
          <w:bCs w:val="1"/>
          <w:color w:val="auto"/>
        </w:rPr>
        <w:t>NOTES TO THE CONSOLIDATED INTERIM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-191770</wp:posOffset>
            </wp:positionV>
            <wp:extent cx="713740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5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SHAREHOLDERS’ EQUITY AND SHARE INCENTIVE PLANS (Cont.)</w:t>
      </w:r>
    </w:p>
    <w:p>
      <w:pPr>
        <w:spacing w:after="0" w:line="222" w:lineRule="exact"/>
        <w:rPr>
          <w:sz w:val="20"/>
          <w:szCs w:val="20"/>
          <w:color w:val="auto"/>
        </w:rPr>
      </w:pPr>
    </w:p>
    <w:p>
      <w:pPr>
        <w:ind w:left="1020" w:hanging="393"/>
        <w:spacing w:after="0" w:line="29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is a summary of share option activity and related information for the six months ended June 30, 2024 (including employees, directors, officers and consultants of the Company):</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Life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29,291,285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2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(2,374,502)</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(406,921)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3.55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June 30, 2024 (unaudited)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212529"/>
              </w:rPr>
              <w:t>26,509,862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12529"/>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212529"/>
              </w:rPr>
              <w:t>3.47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12529"/>
              </w:rPr>
              <w:t>5.12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12529"/>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212529"/>
              </w:rPr>
              <w:t>34,151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Exercisable as of June 30, 2024 (unaudited)</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rPr>
              <w:t>23,250,859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rPr>
              <w:t>3.04</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212529"/>
              </w:rPr>
              <w:t>4.88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212529"/>
              </w:rPr>
              <w:t>31,955</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During the six months ended June 30, 2024, the Company did not grant options.</w:t>
      </w:r>
    </w:p>
    <w:p>
      <w:pPr>
        <w:spacing w:after="0" w:line="220"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total intrinsic value that would have been received by the option holders had all option holders exercised their options on the last date of the period.</w:t>
      </w:r>
    </w:p>
    <w:p>
      <w:pPr>
        <w:spacing w:after="0" w:line="134"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As of June 30, 2024, unrecognized share-based compensation cost related to unvested share options was $9,033, which is expected to be recognized over a weighted-average period of 1.1 years.</w:t>
      </w:r>
    </w:p>
    <w:p>
      <w:pPr>
        <w:spacing w:after="0" w:line="147" w:lineRule="exact"/>
        <w:rPr>
          <w:sz w:val="20"/>
          <w:szCs w:val="20"/>
          <w:color w:val="auto"/>
        </w:rPr>
      </w:pPr>
    </w:p>
    <w:p>
      <w:pPr>
        <w:ind w:left="1020" w:hanging="393"/>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is a summary of the RSU activity and related information for the six months ended June 30, 2024:</w:t>
      </w:r>
    </w:p>
    <w:p>
      <w:pPr>
        <w:spacing w:after="0" w:line="218" w:lineRule="exact"/>
        <w:rPr>
          <w:sz w:val="20"/>
          <w:szCs w:val="20"/>
          <w:color w:val="auto"/>
        </w:rPr>
      </w:pPr>
    </w:p>
    <w:tbl>
      <w:tblPr>
        <w:tblLayout w:type="fixed"/>
        <w:tblInd w:w="10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8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Restricted Shares</w:t>
            </w: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Average Grant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Unit</w:t>
            </w:r>
          </w:p>
        </w:tc>
        <w:tc>
          <w:tcPr>
            <w:tcW w:w="18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7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23,479,308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13,301,250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(4,635,271)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(1,074,647)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June 30, 2024 (unaudited)</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31,070,640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189865</wp:posOffset>
            </wp:positionV>
            <wp:extent cx="130238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2385" cy="16510"/>
                    </a:xfrm>
                    <a:prstGeom prst="rect">
                      <a:avLst/>
                    </a:prstGeom>
                    <a:noFill/>
                  </pic:spPr>
                </pic:pic>
              </a:graphicData>
            </a:graphic>
          </wp:anchor>
        </w:drawing>
      </w:r>
    </w:p>
    <w:p>
      <w:pPr>
        <w:spacing w:after="0" w:line="364" w:lineRule="exact"/>
        <w:rPr>
          <w:sz w:val="20"/>
          <w:szCs w:val="20"/>
          <w:color w:val="auto"/>
        </w:rPr>
      </w:pPr>
    </w:p>
    <w:p>
      <w:pPr>
        <w:ind w:left="1020" w:hanging="4"/>
        <w:spacing w:after="0" w:line="292" w:lineRule="auto"/>
        <w:tabs>
          <w:tab w:leader="none" w:pos="126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portion of the shares that vested were netted out to satisfy the tax obligations of the recipients. During the six months ended June 30, 2024, a total of 377,254 RSUs were canceled to satisfy tax obligations, resulting in net issuance of 377,251 Ordinary shares.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total release date fair value of RSUs was $20,702, during the six months ended June 30, 2024.</w:t>
      </w:r>
    </w:p>
    <w:p>
      <w:pPr>
        <w:spacing w:after="0" w:line="181" w:lineRule="exact"/>
        <w:rPr>
          <w:sz w:val="20"/>
          <w:szCs w:val="20"/>
          <w:color w:val="auto"/>
        </w:rPr>
      </w:pPr>
    </w:p>
    <w:p>
      <w:pPr>
        <w:ind w:left="1020"/>
        <w:spacing w:after="0" w:line="292" w:lineRule="auto"/>
        <w:rPr>
          <w:sz w:val="20"/>
          <w:szCs w:val="20"/>
          <w:color w:val="auto"/>
        </w:rPr>
      </w:pPr>
      <w:r>
        <w:rPr>
          <w:rFonts w:ascii="Times New Roman" w:cs="Times New Roman" w:eastAsia="Times New Roman" w:hAnsi="Times New Roman"/>
          <w:sz w:val="17"/>
          <w:szCs w:val="17"/>
          <w:color w:val="auto"/>
        </w:rPr>
        <w:t>As of June 30, 2024, unrecognized share-based compensation cost related to unvested RSUs was $131,612, which is expected to be recognized over a weighted-average period of 2.76 years.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SHAREHOLDERS’ EQUITY AND SHARE INCENTIVE PLANS (Cont.)</w:t>
      </w:r>
    </w:p>
    <w:p>
      <w:pPr>
        <w:spacing w:after="0" w:line="2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total share-based compensation expense related to all of the Company’s share-based awards recognized for the three and six months ended</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June 30, 2024 and 2023, was comprised as follows:</w:t>
      </w:r>
    </w:p>
    <w:p>
      <w:pPr>
        <w:spacing w:after="0" w:line="199" w:lineRule="exact"/>
        <w:rPr>
          <w:sz w:val="20"/>
          <w:szCs w:val="20"/>
          <w:color w:val="auto"/>
        </w:rPr>
      </w:pPr>
    </w:p>
    <w:tbl>
      <w:tblPr>
        <w:tblLayout w:type="fixed"/>
        <w:tblInd w:w="10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5"/>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1,039</w:t>
            </w:r>
          </w:p>
        </w:tc>
        <w:tc>
          <w:tcPr>
            <w:tcW w:w="42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8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12,025</w:t>
            </w: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8,686</w:t>
            </w:r>
          </w:p>
        </w:tc>
      </w:tr>
      <w:tr>
        <w:trPr>
          <w:trHeight w:val="214"/>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9,823</w:t>
            </w:r>
          </w:p>
        </w:tc>
      </w:tr>
      <w:tr>
        <w:trPr>
          <w:trHeight w:val="214"/>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32,617</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10:-</w:t>
        <w:tab/>
        <w:t>INCOME TAXES</w:t>
      </w:r>
    </w:p>
    <w:p>
      <w:pPr>
        <w:spacing w:after="0" w:line="222"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17"/>
          <w:szCs w:val="17"/>
          <w:color w:val="auto"/>
        </w:rPr>
        <w:t>The Company’s effective tax rate is highly dependent upon the geographic distribution of its worldwide earnings or losses and tax regulations. The Company’s effective tax rates were 35.2% and (8.6%) for the three months ended June 30, 2024 and 2023, respectively, and (6.8%) and (3.0%) for the six months ended June 30, 2024 and 2023, respectively. The negative effective tax rate results primarily from valuation allowance as well as tax expenses in foreign jurisdictions, partially offset by tax benefits associated with acquired intangible assets mainly in the US.</w:t>
      </w:r>
    </w:p>
    <w:p>
      <w:pPr>
        <w:spacing w:after="0" w:line="16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11:-</w:t>
        <w:tab/>
        <w:t>COMMITMENTS AND CONTINGENCIES</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Commercial Commitments</w:t>
      </w:r>
    </w:p>
    <w:p>
      <w:pPr>
        <w:spacing w:after="0" w:line="224"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17"/>
          <w:szCs w:val="17"/>
          <w:color w:val="auto"/>
        </w:rPr>
        <w:t>In the ordinary course of the business, the Company enters into agreements with certain digital properties, under which, in some cases it agrees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w:t>
      </w:r>
    </w:p>
    <w:p>
      <w:pPr>
        <w:spacing w:after="0" w:line="1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Non-cancelable Purchase Obligations</w:t>
      </w:r>
    </w:p>
    <w:p>
      <w:pPr>
        <w:spacing w:after="0" w:line="224" w:lineRule="exact"/>
        <w:rPr>
          <w:sz w:val="20"/>
          <w:szCs w:val="20"/>
          <w:color w:val="auto"/>
        </w:rPr>
      </w:pPr>
    </w:p>
    <w:p>
      <w:pPr>
        <w:jc w:val="both"/>
        <w:ind w:left="1020"/>
        <w:spacing w:after="0" w:line="285" w:lineRule="auto"/>
        <w:rPr>
          <w:sz w:val="20"/>
          <w:szCs w:val="20"/>
          <w:color w:val="auto"/>
        </w:rPr>
      </w:pPr>
      <w:r>
        <w:rPr>
          <w:rFonts w:ascii="Times New Roman" w:cs="Times New Roman" w:eastAsia="Times New Roman" w:hAnsi="Times New Roman"/>
          <w:sz w:val="17"/>
          <w:szCs w:val="17"/>
          <w:color w:val="auto"/>
        </w:rPr>
        <w:t>In the normal course of business, the Company enters into non-cancelable purchase commitments with various parties to purchase primarily software and IT related-based services. As of June 30, 2024, the Company had outstanding non-cancelable purchase obligations in the amount of $22,982.</w:t>
      </w:r>
    </w:p>
    <w:p>
      <w:pPr>
        <w:spacing w:after="0" w:line="3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24" w:lineRule="exact"/>
        <w:rPr>
          <w:sz w:val="20"/>
          <w:szCs w:val="20"/>
          <w:color w:val="auto"/>
        </w:rPr>
      </w:pPr>
    </w:p>
    <w:p>
      <w:pPr>
        <w:jc w:val="both"/>
        <w:ind w:left="1020"/>
        <w:spacing w:after="0" w:line="264" w:lineRule="auto"/>
        <w:rPr>
          <w:sz w:val="20"/>
          <w:szCs w:val="20"/>
          <w:color w:val="auto"/>
        </w:rPr>
      </w:pPr>
      <w:r>
        <w:rPr>
          <w:rFonts w:ascii="Times New Roman" w:cs="Times New Roman" w:eastAsia="Times New Roman" w:hAnsi="Times New Roman"/>
          <w:sz w:val="17"/>
          <w:szCs w:val="17"/>
          <w:color w:val="auto"/>
        </w:rPr>
        <w:t>In the ordinary course of business, the Company may be subject from time to time to various proceedings, lawsuits, disputes, or claims. The Company investigates these claims as they arise and records a provision, as necessary. Provisions are reviewed and adjusted to reflect the impact of negotiations, estimated settlements, legal rulings, advice of legal counsel and other information and events pertaining to a particular matter. Although claims are inherently unpredictable, the Company is currently not aware of any matters that, it believes would individually or taken together, have a material adverse effect on its business, financial position, results of operations, or cash flows.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TABOOLA.COM LTD.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12:-</w:t>
        <w:tab/>
        <w:t>RELATED PARTY TRANSACTIONS</w:t>
      </w:r>
    </w:p>
    <w:p>
      <w:pPr>
        <w:spacing w:after="0" w:line="222" w:lineRule="exact"/>
        <w:rPr>
          <w:sz w:val="20"/>
          <w:szCs w:val="20"/>
          <w:color w:val="auto"/>
        </w:rPr>
      </w:pPr>
    </w:p>
    <w:p>
      <w:pPr>
        <w:jc w:val="both"/>
        <w:ind w:left="1020"/>
        <w:spacing w:after="0" w:line="273" w:lineRule="auto"/>
        <w:rPr>
          <w:sz w:val="20"/>
          <w:szCs w:val="20"/>
          <w:color w:val="auto"/>
        </w:rPr>
      </w:pPr>
      <w:r>
        <w:rPr>
          <w:rFonts w:ascii="Times New Roman" w:cs="Times New Roman" w:eastAsia="Times New Roman" w:hAnsi="Times New Roman"/>
          <w:sz w:val="17"/>
          <w:szCs w:val="17"/>
          <w:color w:val="auto"/>
        </w:rPr>
        <w:t>The Company is a party to certain transaction-related agreements with Yahoo, pursuant to which the Company issued 39,525,691 Ordinary shares and 45,198,702 Non-voting Ordinary shares to Yahoo, and granting Yahoo the right to appoint one representative to the Company’s board of directors, resulting in Yahoo to become a principal shareholder effective the Transaction closing on January 17, 2023 (see Note 1b).</w:t>
      </w:r>
    </w:p>
    <w:p>
      <w:pPr>
        <w:spacing w:after="0" w:line="164"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In June 2024, the Company repurchased 988,296 of the Non-voting Ordinary shares at a price of $4.07 per share, based on the terms stipulated in the agreement, for an aggregate purchase price of $4,022 as part of the Buyback Program (see Note 9).</w:t>
      </w:r>
    </w:p>
    <w:p>
      <w:pPr>
        <w:spacing w:after="0" w:line="147" w:lineRule="exact"/>
        <w:rPr>
          <w:sz w:val="20"/>
          <w:szCs w:val="20"/>
          <w:color w:val="auto"/>
        </w:rPr>
      </w:pPr>
    </w:p>
    <w:p>
      <w:pPr>
        <w:jc w:val="both"/>
        <w:ind w:left="1020"/>
        <w:spacing w:after="0" w:line="260" w:lineRule="auto"/>
        <w:rPr>
          <w:sz w:val="20"/>
          <w:szCs w:val="20"/>
          <w:color w:val="auto"/>
        </w:rPr>
      </w:pPr>
      <w:r>
        <w:rPr>
          <w:rFonts w:ascii="Times New Roman" w:cs="Times New Roman" w:eastAsia="Times New Roman" w:hAnsi="Times New Roman"/>
          <w:sz w:val="17"/>
          <w:szCs w:val="17"/>
          <w:color w:val="auto"/>
        </w:rPr>
        <w:t>The Company and its affiliates are parties to several agreements in the ordinary course of business with Yahoo and its affiliates. Revenues from the related party are derived from Yahoo’s advertiser spend on our network, for which Yahoo is the billing entity. Traffic acquisition cost to the related party is compensation for placing Taboola’s platform on Yahoo’s digital property. In connection with these agreements, the Company recorded revenues from Yahoo in the amount of $60,302 and $7,190, for the three months ended June 30, 2024 and 2023, respectively, and in the amount of $112,426 and $14,304, for the six months ended June 30, 2024 and 2023, respectively. In addition, the Company recorded traffic acquisition costs related to Yahoo in the amount of $78,433 and $0, for the three months ended June 30, 2024 and 2023, respectively, and in the amount of $152,044 and $0, for the six months ended June 30, 2024 and 2023, respectively. Certain traffic acquisition costs for the three and six months ended June 30, 2024, noted herein, are unaffiliated with the Yahoo revenues recognized during the three and six months ended June 30, 2024.</w:t>
      </w:r>
    </w:p>
    <w:p>
      <w:pPr>
        <w:spacing w:after="0" w:line="175" w:lineRule="exact"/>
        <w:rPr>
          <w:sz w:val="20"/>
          <w:szCs w:val="20"/>
          <w:color w:val="auto"/>
        </w:rPr>
      </w:pPr>
    </w:p>
    <w:p>
      <w:pPr>
        <w:jc w:val="both"/>
        <w:ind w:left="1020"/>
        <w:spacing w:after="0" w:line="273" w:lineRule="auto"/>
        <w:rPr>
          <w:sz w:val="20"/>
          <w:szCs w:val="20"/>
          <w:color w:val="auto"/>
        </w:rPr>
      </w:pPr>
      <w:r>
        <w:rPr>
          <w:rFonts w:ascii="Times New Roman" w:cs="Times New Roman" w:eastAsia="Times New Roman" w:hAnsi="Times New Roman"/>
          <w:sz w:val="17"/>
          <w:szCs w:val="17"/>
          <w:color w:val="auto"/>
        </w:rPr>
        <w:t>As of June 30, 2024 and December 31, 2023, in regards to Yahoo, the Company’s balances of trade receivables were $43,232 and $12,297, respectively, and its balances of trade payables were $59,194 and $38,657, respectively, associated with the revenues presented on both a gross and net basis.</w:t>
      </w:r>
    </w:p>
    <w:p>
      <w:pPr>
        <w:spacing w:after="0" w:line="164"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17"/>
          <w:szCs w:val="17"/>
          <w:color w:val="auto"/>
        </w:rPr>
        <w:t>The Company and Yahoo, pursuant to the Omnibus Agreement entered into on November 28, 2022, each agreed to pay certain expenses in connection with the transaction and each party agreed to reimburse the other for some or all of these expenses. Under these arrangements, the Company recognized expenses, net of $502 and $2,623, for the three months ended June 30, 2024 and 2023, respectively, and of $1,025 and $2,623, for the six months ended June 30, 2024 and 2023, respectively.</w:t>
      </w:r>
    </w:p>
    <w:p>
      <w:pPr>
        <w:spacing w:after="0" w:line="16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13:-</w:t>
        <w:tab/>
        <w:t>GEOGRAPHIC INFORMATION</w:t>
      </w:r>
    </w:p>
    <w:p>
      <w:pPr>
        <w:spacing w:after="0" w:line="2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table represents total revenue by geographic area based on the Advertisers’ billing address: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4"/>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4"/>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10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r>
      <w:tr>
        <w:trPr>
          <w:trHeight w:val="214"/>
        </w:trPr>
        <w:tc>
          <w:tcPr>
            <w:tcW w:w="10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Israel</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26,857</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31,752</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58,322</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77,251</w:t>
            </w:r>
          </w:p>
        </w:tc>
        <w:tc>
          <w:tcPr>
            <w:tcW w:w="80" w:type="dxa"/>
            <w:vAlign w:val="bottom"/>
            <w:shd w:val="clear" w:color="auto" w:fill="CCEEFF"/>
          </w:tcPr>
          <w:p>
            <w:pPr>
              <w:spacing w:after="0"/>
              <w:rPr>
                <w:sz w:val="18"/>
                <w:szCs w:val="18"/>
                <w:color w:val="auto"/>
              </w:rPr>
            </w:pPr>
          </w:p>
        </w:tc>
      </w:tr>
      <w:tr>
        <w:trPr>
          <w:trHeight w:val="208"/>
        </w:trPr>
        <w:tc>
          <w:tcPr>
            <w:tcW w:w="10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398,232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242,295</w:t>
            </w:r>
          </w:p>
        </w:tc>
        <w:tc>
          <w:tcPr>
            <w:tcW w:w="80" w:type="dxa"/>
            <w:vAlign w:val="bottom"/>
          </w:tcPr>
          <w:p>
            <w:pPr>
              <w:spacing w:after="0"/>
              <w:rPr>
                <w:sz w:val="18"/>
                <w:szCs w:val="18"/>
                <w:color w:val="auto"/>
              </w:rPr>
            </w:pPr>
          </w:p>
        </w:tc>
      </w:tr>
      <w:tr>
        <w:trPr>
          <w:trHeight w:val="208"/>
        </w:trPr>
        <w:tc>
          <w:tcPr>
            <w:tcW w:w="10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36,732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31,594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62,969</w:t>
            </w:r>
          </w:p>
        </w:tc>
        <w:tc>
          <w:tcPr>
            <w:tcW w:w="80" w:type="dxa"/>
            <w:vAlign w:val="bottom"/>
            <w:shd w:val="clear" w:color="auto" w:fill="CCEEFF"/>
          </w:tcPr>
          <w:p>
            <w:pPr>
              <w:spacing w:after="0"/>
              <w:rPr>
                <w:sz w:val="18"/>
                <w:szCs w:val="18"/>
                <w:color w:val="auto"/>
              </w:rPr>
            </w:pPr>
          </w:p>
        </w:tc>
      </w:tr>
      <w:tr>
        <w:trPr>
          <w:trHeight w:val="208"/>
        </w:trPr>
        <w:tc>
          <w:tcPr>
            <w:tcW w:w="10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36,364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35,783</w:t>
            </w:r>
          </w:p>
        </w:tc>
        <w:tc>
          <w:tcPr>
            <w:tcW w:w="80" w:type="dxa"/>
            <w:vAlign w:val="bottom"/>
          </w:tcPr>
          <w:p>
            <w:pPr>
              <w:spacing w:after="0"/>
              <w:rPr>
                <w:sz w:val="18"/>
                <w:szCs w:val="18"/>
                <w:color w:val="auto"/>
              </w:rPr>
            </w:pPr>
          </w:p>
        </w:tc>
      </w:tr>
      <w:tr>
        <w:trPr>
          <w:trHeight w:val="214"/>
        </w:trPr>
        <w:tc>
          <w:tcPr>
            <w:tcW w:w="1000" w:type="dxa"/>
            <w:vAlign w:val="bottom"/>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 of the world</w:t>
            </w:r>
          </w:p>
        </w:tc>
        <w:tc>
          <w:tcPr>
            <w:tcW w:w="2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143,410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123,304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276,821</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241,392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4"/>
        </w:trPr>
        <w:tc>
          <w:tcPr>
            <w:tcW w:w="10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8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428,160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332,004</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842,168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659,690</w:t>
            </w:r>
          </w:p>
        </w:tc>
        <w:tc>
          <w:tcPr>
            <w:tcW w:w="80" w:type="dxa"/>
            <w:vAlign w:val="bottom"/>
          </w:tcPr>
          <w:p>
            <w:pPr>
              <w:spacing w:after="0"/>
              <w:rPr>
                <w:sz w:val="18"/>
                <w:szCs w:val="18"/>
                <w:color w:val="auto"/>
              </w:rPr>
            </w:pPr>
          </w:p>
        </w:tc>
      </w:tr>
      <w:tr>
        <w:trPr>
          <w:trHeight w:val="730"/>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00" w:type="dxa"/>
            <w:vAlign w:val="bottom"/>
          </w:tcPr>
          <w:p>
            <w:pPr>
              <w:jc w:val="right"/>
              <w:ind w:right="562"/>
              <w:spacing w:after="0"/>
              <w:rPr>
                <w:sz w:val="20"/>
                <w:szCs w:val="20"/>
                <w:color w:val="auto"/>
              </w:rPr>
            </w:pPr>
            <w:r>
              <w:rPr>
                <w:rFonts w:ascii="Times New Roman" w:cs="Times New Roman" w:eastAsia="Times New Roman" w:hAnsi="Times New Roman"/>
                <w:sz w:val="14"/>
                <w:szCs w:val="14"/>
                <w:color w:val="auto"/>
              </w:rPr>
              <w:t>- 23 -</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2"/>
        </w:trPr>
        <w:tc>
          <w:tcPr>
            <w:tcW w:w="10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740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NOTE 14:-</w:t>
        <w:tab/>
        <w:t>NET LOSS PER SHARE ATTRIBUTABLE TO ORDINARY SHAREHOLDERS</w:t>
      </w:r>
    </w:p>
    <w:p>
      <w:pPr>
        <w:spacing w:after="0" w:line="207" w:lineRule="exact"/>
        <w:rPr>
          <w:sz w:val="20"/>
          <w:szCs w:val="20"/>
          <w:color w:val="auto"/>
        </w:rPr>
      </w:pPr>
    </w:p>
    <w:tbl>
      <w:tblPr>
        <w:tblLayout w:type="fixed"/>
        <w:tblInd w:w="10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6"/>
          </w:tcPr>
          <w:p>
            <w:pPr>
              <w:ind w:left="1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6"/>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Non-voting</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17"/>
                <w:szCs w:val="17"/>
                <w:b w:val="1"/>
                <w:bCs w:val="1"/>
                <w:color w:val="auto"/>
              </w:rPr>
              <w:t>Non-voting</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Non-voting</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Non-voting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6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6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Numerator: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loss attributable</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 Ordinary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 basic</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(3,729)</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(27,288)</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(4,026)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(26,461)</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(3,988)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(55,138)</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(7,489)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Weighted-average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used in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computing net loss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 share attributable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 Ordinary</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shareholders, basic</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diluted</w:t>
            </w:r>
          </w:p>
        </w:tc>
        <w:tc>
          <w:tcPr>
            <w:tcW w:w="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297,660,641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44,905,471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8"/>
              </w:rPr>
              <w:t>306,386,357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9"/>
              </w:rPr>
              <w:t>45,198,702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8"/>
              </w:rPr>
              <w:t>298,953,005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9"/>
              </w:rPr>
              <w:t>45,050,457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301,537,937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9"/>
              </w:rPr>
              <w:t>40,953,520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Net loss per share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attributable to</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Ordinary and non-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voting Ordinary</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shareholders, basic</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(0.01)</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(0.09)</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(0.09)</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(0.18)</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1020"/>
        <w:spacing w:after="0" w:line="292" w:lineRule="auto"/>
        <w:rPr>
          <w:sz w:val="20"/>
          <w:szCs w:val="20"/>
          <w:color w:val="auto"/>
        </w:rPr>
      </w:pPr>
      <w:r>
        <w:rPr>
          <w:rFonts w:ascii="Times New Roman" w:cs="Times New Roman" w:eastAsia="Times New Roman" w:hAnsi="Times New Roman"/>
          <w:sz w:val="17"/>
          <w:szCs w:val="17"/>
          <w:color w:val="auto"/>
        </w:rPr>
        <w:t>The potential shares of Ordinary shares that were excluded from the computation of diluted net loss per share attributable to Ordinary shareholders for the periods presented because including them would have been anti-dilutive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46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340" w:type="dxa"/>
            <w:vAlign w:val="bottom"/>
            <w:gridSpan w:val="5"/>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4"/>
        </w:trPr>
        <w:tc>
          <w:tcPr>
            <w:tcW w:w="10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460" w:type="dxa"/>
            <w:vAlign w:val="bottom"/>
            <w:tcBorders>
              <w:bottom w:val="single" w:sz="8" w:color="auto"/>
            </w:tcBorders>
            <w:gridSpan w:val="3"/>
          </w:tcPr>
          <w:p>
            <w:pPr>
              <w:jc w:val="center"/>
              <w:ind w:left="7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gridSpan w:val="3"/>
          </w:tcPr>
          <w:p>
            <w:pPr>
              <w:jc w:val="center"/>
              <w:ind w:left="7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r>
      <w:tr>
        <w:trPr>
          <w:trHeight w:val="214"/>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12,349,990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12,349,990</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12,349,990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12,349,990</w:t>
            </w:r>
          </w:p>
        </w:tc>
        <w:tc>
          <w:tcPr>
            <w:tcW w:w="80" w:type="dxa"/>
            <w:vAlign w:val="bottom"/>
            <w:shd w:val="clear" w:color="auto" w:fill="CCEEFF"/>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RSUs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31,969,150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26,949,979</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29,351,972</w:t>
            </w: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26,949,979</w:t>
            </w:r>
          </w:p>
        </w:tc>
      </w:tr>
      <w:tr>
        <w:trPr>
          <w:trHeight w:val="208"/>
        </w:trPr>
        <w:tc>
          <w:tcPr>
            <w:tcW w:w="10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share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20,261,177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27,309,646</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20,988,867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27,309,646</w:t>
            </w:r>
          </w:p>
        </w:tc>
      </w:tr>
      <w:tr>
        <w:trPr>
          <w:trHeight w:val="189"/>
        </w:trPr>
        <w:tc>
          <w:tcPr>
            <w:tcW w:w="1020" w:type="dxa"/>
            <w:vAlign w:val="bottom"/>
          </w:tcPr>
          <w:p>
            <w:pPr>
              <w:spacing w:after="0"/>
              <w:rPr>
                <w:sz w:val="16"/>
                <w:szCs w:val="16"/>
                <w:color w:val="auto"/>
              </w:rPr>
            </w:pPr>
          </w:p>
        </w:tc>
        <w:tc>
          <w:tcPr>
            <w:tcW w:w="5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Issuable Ordinary Shares related to Business Combination under holdback</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2"/>
        </w:trPr>
        <w:tc>
          <w:tcPr>
            <w:tcW w:w="64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arrangement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581,392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1,744,192</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775,192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1,744,192</w:t>
            </w:r>
          </w:p>
        </w:tc>
      </w:tr>
      <w:tr>
        <w:trPr>
          <w:trHeight w:val="214"/>
        </w:trPr>
        <w:tc>
          <w:tcPr>
            <w:tcW w:w="10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65,161,709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68,353,807</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63,466,021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68,353,807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535"/>
        </w:trPr>
        <w:tc>
          <w:tcPr>
            <w:tcW w:w="6440" w:type="dxa"/>
            <w:vAlign w:val="bottom"/>
            <w:gridSpan w:val="2"/>
          </w:tcPr>
          <w:p>
            <w:pPr>
              <w:jc w:val="right"/>
              <w:ind w:right="573"/>
              <w:spacing w:after="0"/>
              <w:rPr>
                <w:sz w:val="20"/>
                <w:szCs w:val="20"/>
                <w:color w:val="auto"/>
              </w:rPr>
            </w:pPr>
            <w:r>
              <w:rPr>
                <w:rFonts w:ascii="Times New Roman" w:cs="Times New Roman" w:eastAsia="Times New Roman" w:hAnsi="Times New Roman"/>
                <w:sz w:val="14"/>
                <w:szCs w:val="14"/>
                <w:color w:val="auto"/>
              </w:rPr>
              <w:t>- 24 -</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
        </w:trPr>
        <w:tc>
          <w:tcPr>
            <w:tcW w:w="10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Taboola’s accompanying unaudited consolidated interim financial statements and the related notes included elsewhere in this Quarterly Report on Form 10-Q for the three and six months ended June 30, 2024 (the “Quarterly Report”) and audited consolidated financial statements and the related notes appearing in our Annual Report on Form 10-K for the year ended December 31, 2023 (the “2023 Form 10-K”) filed with the U.S. Securities and Exchange Commission (the “SEC”) on February 28, 2024. Some of the information contained in this discussion and analysis is set forth in our 2023 Form 10-K, including information with respect to Taboola’s plans and strategy for Taboola’s business, and includes forward-looking statements that involve risks and uncertainties. As a result of many factors, including those factors set forth in Part I, Item 1A “Risk Factors” in our 2023 Form 10-K and “Note Regarding Forward-Looking Statements” in our 2023 Form 10-K and elsewhere herein, Taboola’s actual results could differ materially from the results described in or implied by the forward-looking statements contained in the following discussion and analysis. Throughout this section, unless otherwise noted or the context requires otherwise, “we,” “us,” “our” and the “Company” refer to Taboola and its consolidated subsidiaries, and in references to monetary amounts, “dollars” and “$” refer to U.S. Dollars, and “NIS” refers to New Israeli Shekels.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Taboola is a technology company that powers recommendations across the Open Web with an artificial intelligence, or AI-based, algorithmic engine that we have developed since the Company began operations in 2007. Taboola has also expanded more directly into e-Commerce, allowing its partners with digital properties the ability to use its platforms to display advertising suited to the audiences of those partners’ web sites or other digital services.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think of ourselves as a search engine, but in reverse — instead of expecting people to search for information, we recommend information to people or enable our partners to use our technology. You’ve seen us before: we partner with websites, devices, and mobile apps, which we collectively refer to as digital properties, to recommend editorial content and advertisements on the Open Web, outside of the closed ecosystems of the walled gardens such as Facebook, Google, and Amazon.</w:t>
      </w:r>
    </w:p>
    <w:p>
      <w:pPr>
        <w:spacing w:after="0" w:line="3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Digital properties use our technology platforms to achieve their business goals, such as driving new audiences to their sites and apps, or increasing engagement on site — and we don’t charge them for these services. We also provide a meaningful monetization opportunity to digital properties by surfacing paid recommendations by Advertisers.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empower Advertisers to leverage our proprietary AI-powered recommendation platform to reach targeted audiences utilizing effective, native ad formats across digital properties. We generate revenues primarily when people (consumers) click on, purchase from or, in some cases, view the ads that appear within our partners’ digital experiences via our recommendation platform. Advertisers pay us for those clicks, purchases or impressions, and we share the resulting revenue with the digital properties who display those ads and generate those clicks and downstream consumer actions.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powerful recommendation platform was built to address a technology challenge of significant complexity: predicting which recommendations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In contrast, we base our recommendations on an extensive dataset of context and user behavior derived from the intersection of thousands of digital properties and millions of recommended items, including ads and editorial content.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and Trends Affecting our Performance</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We believe that our performance and future success depend on several factors that present significant opportunities for us but also pose risks and challenges, including those discussed below and those referred to in Part II, Item 1A, </w:t>
      </w:r>
      <w:r>
        <w:rPr>
          <w:rFonts w:ascii="Times New Roman" w:cs="Times New Roman" w:eastAsia="Times New Roman" w:hAnsi="Times New Roman"/>
          <w:sz w:val="17"/>
          <w:szCs w:val="17"/>
          <w:i w:val="1"/>
          <w:iCs w:val="1"/>
          <w:color w:val="auto"/>
        </w:rPr>
        <w:t>“Risk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and Macroeconomic Conditions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Global economic and geopolitical conditions have been increasingly volatile. Factors such as inflation, rising interest rates, supply chain disruptions and the wars in Israel and Ukraine negatively impacted advertising demand and our yields in 2022 in particular. Further, while the impacts of inflation have relatively stabilized over recent quarters, the higher equipment and labor costs needed to operate our business negatively impacted our business in 2022 and 2023 and caused us to enter 2024 with a lower revenue and Adjusted EBITDA run rate. We do not currently expect additional impact from these factors during 2024, though we continue to monitor macroeconomic conditions closely.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Maintaining and Growing Our Digital Property Partners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engage with a diverse network of digital property partners, substantially all of which have contracts with us containing either an evergreen term or an exclusive partnership with us for multi-year terms at inception. These agreements typically require that our code be integrated on the digital property web page because of the nature of providing both editorial and paid recommendations. This means that in the vast majority of our business, we do not bid for ad placements, as traditionally happens in the advertising technology space, but rather see all users that visit the pages on which we appear. Due to our multi-year exclusive contracts and high retention rates, our supply is relatively consistent and predictable. We had approximately 12,000, 15,000 and 16,000 digital property partners in the fourth quarters of 2023, 2022 and 2021, respectively. In 2023, we saw a decrease in the number of long-tail digital property partners on our network, partially due to our own efforts to clean up our network and reduce low performing networks. Despite the decrease in the number of digital property partners on the network, our overall volume of page views went up over 10% from Q4 2021 to Q4 2023, demonstrating that the decrease in the number of digital property partners in our network was driven by smaller digital property partners and more than offset by the addition of larger digital property partners.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Historically, we have had a strong record of growing the revenue generated from our digital property partners. We grow our digital property partner relationships in four ways. First, we grow the revenue from these partnerships by increasing our yield over time. We do this by improving our algorithms, expanding our Advertiser base and increasing the amount of data that helps target our ads. Second, we continuously innovate with new product offerings and features that increase revenue. Third, we innovate by launching new advertising formats. Fourth, we work closely with our digital property partners to find new placements and page types where we can help them drive more revenue.</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majority of our digital properties partners, we have two primary models for sharing revenue with digital property partners. The most common model is a straight revenue share model. In this model, we agree to pay our partner a percentage of the revenue that we generate from advertisements placed on their digital properties. The second model includes guarantees. Under this model, we pay our partners the greater of a fixed percentage of the revenue we generate and a guaranteed amount per thousand page views. In the past, we have and may continue to be required to make significant payments under these guarantees.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Growing Our Advertiser Client Base</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 large and growing network of Advertisers, across multiple verticals. We had approximately 17,000, 18,000 and 15,000 Advertiser clients working with us directly, or through advertising agencies, worldwide during the fourth quarters of 2023, 2022 and 2021, respectively. The decline from 2022 to 2023 was primarily driven by a channel partner that had a large number of small advertisers that they reduced in 2023. A large portion of our revenue comes from Advertisers with their own specific performance goals, such as obtaining subscribers for email newsletters or acquiring leads for product offerings. These performance Advertisers use our service when they obtain a sufficient return on ad spend to justify their ad spend. We grow the revenue from performance Advertisers in three ways. First, we improve the performance of our network by developing new product features, improving our algorithms and optimizing our supply. Second, we secure increased budgets from existing Advertisers by offering new ad formats and helping them achieve additional goals. Third, we grow our overall Advertiser base by bringing on new Advertisers that we have not worked with previously.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Improving Network Yield</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One way that we grow our revenue is by increasing the yield on our network, which is a general term for the revenue that we make per advertising placement. Because we generally fill close to 100% of advertising impressions available, yield is generally not affected by changing fill rates, but rather is impacted in four ways. First, we increase our yield by improving the algorithms that select the right ad for a particular user in a particular context. These algorithms are based on Deep Learning technology and are a key competitive advantage. Second, we continuously innovate and develop new product offerings and features for Advertisers, which help increase their success rates on our network and improve yield. Third, as we grow our Advertiser base and mix of Advertisers, including adding Advertisers able to pay higher rates, our yields increase because of increasing competitive pressure in our auction. Finally, we increase our yield by optimizing the way we work with digital properties, including changing formats and placements. Increasing yield drives higher revenues on all digital property partners. Increasing yield also generally increases margins for ex-TAC Gross Profit, a non-GAAP measure, for those digital property partners to whom we are paying guarantees. In periods of slower growth or periods of economic stress advertising demand may decline causing a decrease in yields despite our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and Research and Development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view research and development expenditures as investments that help grow our business over time. These investments, which are primarily in the form of employee salaries and related expenditures and hardware infrastructure, can be broken into two categories. This first category includes product innovations that extend the capabilities of our current product offerings and help us expand into completely new markets. This includes heavy investment in AI (specifically Deep Learning) in the form of server purchases and expenses for data scientists. This category of investment is important to maintain the growth of the business but can also generally be adjusted up or down based on management’s perception of the potential value of different investment options. The second category of investments are those that are necessary to maintain our core business. These investments include items such as purchasing servers and other infrastructure necessary to handle increasing loads of recommendations that need to be served, as well as the personnel necessary to maintain the value delivered to our customers and digital property partners, such as investments in code maintenance for our existing products. This type of investment scales at a slower rate than the growth of our core business.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Managing Seasonality</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global advertising industry has historically been characterized by seasonal trends that also apply to the digital advertising ecosystem in which we operate. In particular, Advertisers have historically spent relatively more in the fourth quarter of the calendar year to coincide with the year-end holiday shopping season, and relatively less in the first quarter. We expect these seasonality trends to continue, and our operating results will be affected by those trends with revenue and margins being seasonally strongest in the fourth quarter and seasonally weakest in the first quarter.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Privacy Trends and Government Regulation</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subject to U.S. and international laws and regulations regarding privacy, data protection, digital advertising and the collection of user data. In addition, large Internet and technology companies such as Google and Apple are making their own decisions as to how to protect consumer privacy, which impacts the entire digital ecosystem. Because we power editorial recommendations, digital properties typically embed our code directly on their web pages. This makes us less susceptible to impact by many of these regulations and industry trends because we are able to drop first party cookies. In addition, because of this integration on our partners’ pages, we have rich contextual information to use to further refine the targeting of our recommendations.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Yahoo Partnership</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November 2022, we announced we had entered into a 30-year exclusive commercial agreement with Yahoo, under which we will power native advertising across all of Yahoo’s digital properties, expanding our native advertising offering. In January 2023 we closed on the various related agreements, including the issuance of 39,525,691 Ordinary shares and 45,198,702 Non-voting Ordinary shares to Yahoo. For further information see Note 1b and Note 12 of Notes to the Unaudited Consolidated Interim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and Operating Metrics</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regularly monitor a number of metrics in order to measure our current performance and project our future performance. These metrics aid us in developing and refining our growth strategies and making strategic decisions.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6"/>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(dollars in thousands, except per share data)</w:t>
            </w: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428,160</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332,004</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842,168</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659,690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0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114,778</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97,057</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223,731</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186,649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(4,291)</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(31,314)</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(30,449)</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(62,627)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EPS diluted (1)</w:t>
            </w:r>
          </w:p>
        </w:tc>
        <w:tc>
          <w:tcPr>
            <w:tcW w:w="10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(0.01)</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(0.09)</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(0.09)</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Ratio of net loss to gross profit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Cash flow provided by operating activities</w:t>
            </w:r>
          </w:p>
        </w:tc>
        <w:tc>
          <w:tcPr>
            <w:tcW w:w="10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38,791</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11,598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72,624</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29,122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short-term deposits and investments</w:t>
            </w:r>
          </w:p>
        </w:tc>
        <w:tc>
          <w:tcPr>
            <w:tcW w:w="10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182,198</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246,851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182,198</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246,851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Non-GAAP Financial Data (2)</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ex-TAC Gross Profit</w:t>
            </w:r>
          </w:p>
        </w:tc>
        <w:tc>
          <w:tcPr>
            <w:tcW w:w="10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149,540</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123,134</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288,428</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238,874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0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37,231</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15,661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60,720</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25,783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Non-GAAP Net Income (Loss)</w:t>
            </w:r>
          </w:p>
        </w:tc>
        <w:tc>
          <w:tcPr>
            <w:tcW w:w="10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23,010</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(1,406)</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26,842</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(5,507)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Ratio of Adjusted EBITDA to ex-TAC Gross Profit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Free Cash Flow</w:t>
            </w:r>
          </w:p>
        </w:tc>
        <w:tc>
          <w:tcPr>
            <w:tcW w:w="10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26,158</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7,770</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54,402</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18,944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214312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16510"/>
                    </a:xfrm>
                    <a:prstGeom prst="rect">
                      <a:avLst/>
                    </a:prstGeom>
                    <a:noFill/>
                  </pic:spPr>
                </pic:pic>
              </a:graphicData>
            </a:graphic>
          </wp:anchor>
        </w:drawing>
      </w:r>
    </w:p>
    <w:p>
      <w:pPr>
        <w:spacing w:after="0" w:line="384" w:lineRule="exact"/>
        <w:rPr>
          <w:sz w:val="20"/>
          <w:szCs w:val="20"/>
          <w:color w:val="auto"/>
        </w:rPr>
      </w:pPr>
    </w:p>
    <w:p>
      <w:pPr>
        <w:ind w:left="400" w:hanging="396"/>
        <w:spacing w:after="0" w:line="266" w:lineRule="auto"/>
        <w:tabs>
          <w:tab w:leader="none" w:pos="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weighted-average shares used in the computation of the diluted EPS for the three months ended June 30, 2024 and 2023 are 342,566,112 and 351,585,059, respectively, and for the six months ended June 30, 2024 and 2023 are 344,003,462 and 342,491,457, respectively.</w:t>
      </w:r>
    </w:p>
    <w:p>
      <w:pPr>
        <w:jc w:val="both"/>
        <w:ind w:left="4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weighted-average shares for the three months ended June 30, 2024 and 2023 includes 297,660,641 and 306,386,357 Ordinary shares and, 44,905,471 and 45,198,702 Non-voting Ordinary shares, respectively, and for the six months ended June 30, 2024 and 2023 includes 298,953,005 and 301,537,937 Ordinary shares and, 45,050,457 and 40,953,520 Non-voting Ordinary shares, respectively.</w:t>
      </w:r>
    </w:p>
    <w:p>
      <w:pPr>
        <w:spacing w:after="0" w:line="2" w:lineRule="exact"/>
        <w:rPr>
          <w:rFonts w:ascii="Times New Roman" w:cs="Times New Roman" w:eastAsia="Times New Roman" w:hAnsi="Times New Roman"/>
          <w:sz w:val="17"/>
          <w:szCs w:val="17"/>
          <w:color w:val="auto"/>
        </w:rPr>
      </w:pPr>
    </w:p>
    <w:p>
      <w:pPr>
        <w:ind w:left="400" w:hanging="396"/>
        <w:spacing w:after="0"/>
        <w:tabs>
          <w:tab w:leader="none" w:pos="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to “Non-GAAP Financial Measures” below for an explanation and reconciliation to GAAP metrics.</w:t>
      </w:r>
    </w:p>
    <w:p>
      <w:pPr>
        <w:spacing w:after="0" w:line="379" w:lineRule="exact"/>
        <w:rPr>
          <w:rFonts w:ascii="Times New Roman" w:cs="Times New Roman" w:eastAsia="Times New Roman" w:hAnsi="Times New Roman"/>
          <w:sz w:val="17"/>
          <w:szCs w:val="17"/>
          <w:color w:val="auto"/>
        </w:rPr>
      </w:pPr>
    </w:p>
    <w:p>
      <w:pPr>
        <w:ind w:left="5560" w:hanging="86"/>
        <w:spacing w:after="0"/>
        <w:tabs>
          <w:tab w:leader="none" w:pos="55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presenting the following non-GAAP financial measures because we use them, among other things, as key measures for our management and board of directors in managing our business and evaluating our performance. We believe they also provide supplemental information that may be useful to investors. The use of these measures may improve comparability of our results over time by adjusting for items that may vary from period to period or not be representative of our ongoing operations.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non-GAAP measures are subject to significant limitations, including those identified below. In addition, other companies may use similarly titled measures but calculate them differently, which reduces their usefulness as comparative measures. Non-GAAP measures should not be considered in isolation or as a substitute for GAAP measures. They should be considered as supplementary information in addition to GAAP operating, liquidity and financial performance measures.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ex-TAC Gross Profit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calculate ex-TAC Gross Profit as gross profit adjusted to add back other cost of revenues.</w:t>
      </w: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that ex-TAC Gross Profit is useful because traffic acquisition cost, or TAC, is what we must pay digital properties to obtain the right to place advertising on their websites, and we believe focusing on ex-TAC Gross Profit better reflects the profitability of our business. We use ex-TAC Gross Profit as part of our business planning, for example in decisions regarding the timing and amount of investments in areas such as infrastructure.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Limitations on the use of ex-TAC Gross Profit include the following:</w:t>
      </w:r>
    </w:p>
    <w:p>
      <w:pPr>
        <w:spacing w:after="0" w:line="220" w:lineRule="exact"/>
        <w:rPr>
          <w:sz w:val="20"/>
          <w:szCs w:val="20"/>
          <w:color w:val="auto"/>
        </w:rPr>
      </w:pPr>
    </w:p>
    <w:p>
      <w:pPr>
        <w:ind w:left="620" w:hanging="30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Traffic acquisition cost is a significant component of our cost of revenues but is not the only component; and</w:t>
      </w:r>
    </w:p>
    <w:p>
      <w:pPr>
        <w:spacing w:after="0" w:line="30" w:lineRule="exact"/>
        <w:rPr>
          <w:rFonts w:ascii="Times New Roman" w:cs="Times New Roman" w:eastAsia="Times New Roman" w:hAnsi="Times New Roman"/>
          <w:sz w:val="17"/>
          <w:szCs w:val="17"/>
          <w:color w:val="auto"/>
        </w:rPr>
      </w:pPr>
    </w:p>
    <w:p>
      <w:pPr>
        <w:ind w:left="620" w:hanging="305"/>
        <w:spacing w:after="0" w:line="269"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ex-TAC Gross Profit is not comparable to our gross profit and by definition ex-TAC Gross Profit presented for any period will be higher than our gross profit for that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revenues and gross profit to ex-TAC Gross Profit: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428,160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332,004</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842,168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659,690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Traffic acquisition cost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278,620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208,870</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553,740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420,816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cost of revenues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26,077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64,697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52,225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114,778</w:t>
            </w:r>
          </w:p>
        </w:tc>
        <w:tc>
          <w:tcPr>
            <w:tcW w:w="24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97,057</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223,731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186,649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back: Other cost of revenues</w:t>
            </w:r>
          </w:p>
        </w:tc>
        <w:tc>
          <w:tcPr>
            <w:tcW w:w="2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34,762</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64,697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ex-TAC Gross Profit</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149,540</w:t>
            </w:r>
          </w:p>
        </w:tc>
        <w:tc>
          <w:tcPr>
            <w:tcW w:w="24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123,134</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288,428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238,874</w:t>
            </w: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80" w:type="dxa"/>
            <w:vAlign w:val="bottom"/>
          </w:tcPr>
          <w:p>
            <w:pPr>
              <w:jc w:val="right"/>
              <w:ind w:right="118"/>
              <w:spacing w:after="0"/>
              <w:rPr>
                <w:sz w:val="20"/>
                <w:szCs w:val="20"/>
                <w:color w:val="auto"/>
              </w:rPr>
            </w:pPr>
            <w:r>
              <w:rPr>
                <w:rFonts w:ascii="Times New Roman" w:cs="Times New Roman" w:eastAsia="Times New Roman" w:hAnsi="Times New Roman"/>
                <w:sz w:val="14"/>
                <w:szCs w:val="14"/>
                <w:color w:val="auto"/>
              </w:rPr>
              <w:t>- 29 -</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Ratio of Adjusted EBITDA to ex-TAC Gross Profit</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calculate Adjusted EBITDA as net income (loss) before finance income (expenses), net, income tax expenses, depreciation and amortization, further adjusted to exclude share-based compensation including Connexity holdback compensation expenses and other noteworthy income and expense items such as M&amp;A costs and restructuring costs which may vary from period-to-period.</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Adjusted EBITDA is useful because it allows us and others to measure our performance without regard to items such as share-based compensation expense, depreciation and amortization, and interest expense and other items that can vary substantially depending on our financing and capital structure, and the method by which assets are acquired. We use Adjusted EBITDA and GAAP financial measures for planning purposes, including the preparation of our annual operating budget, as a measure of performance and the effectiveness of our business strategies, and in communications with our board of directors. We may also use Adjusted EBITDA as a metric for determining payment of cash or other incentive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Limitations on the use of Adjusted EBITDA include the following:</w:t>
      </w:r>
    </w:p>
    <w:p>
      <w:pPr>
        <w:spacing w:after="0" w:line="220" w:lineRule="exact"/>
        <w:rPr>
          <w:sz w:val="20"/>
          <w:szCs w:val="20"/>
          <w:color w:val="auto"/>
        </w:rPr>
      </w:pPr>
    </w:p>
    <w:p>
      <w:pPr>
        <w:ind w:left="620" w:hanging="305"/>
        <w:spacing w:after="0" w:line="266"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expense is a non-cash charge, the assets being depreciated may have to be replaced in the future, and Adjusted EBITDA does not reflect cash capital expenditure requirements for such replacements or for new capital expenditure requirements;</w:t>
      </w:r>
    </w:p>
    <w:p>
      <w:pPr>
        <w:ind w:left="620" w:hanging="305"/>
        <w:spacing w:after="0" w:line="254"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excludes share-based compensation expense, which has been, and will continue to be for the foreseeable future, a significant recurring expense for our business and an important part of our compensation strategy;</w:t>
      </w:r>
    </w:p>
    <w:p>
      <w:pPr>
        <w:spacing w:after="0" w:line="1"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to the extent applicable for a period presented: (1) changes in, or cash requirements for, our working capital needs;</w:t>
      </w:r>
    </w:p>
    <w:p>
      <w:pPr>
        <w:spacing w:after="0" w:line="12" w:lineRule="exact"/>
        <w:rPr>
          <w:rFonts w:ascii="Times New Roman" w:cs="Times New Roman" w:eastAsia="Times New Roman" w:hAnsi="Times New Roman"/>
          <w:sz w:val="17"/>
          <w:szCs w:val="17"/>
          <w:color w:val="auto"/>
        </w:rPr>
      </w:pPr>
    </w:p>
    <w:p>
      <w:pPr>
        <w:ind w:left="620" w:firstLine="7"/>
        <w:spacing w:after="0" w:line="254" w:lineRule="auto"/>
        <w:tabs>
          <w:tab w:leader="none" w:pos="87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or the cash requirements necessary to service interest or if applicable principal payments on debt, which reduces cash available to us; or (3) tax payments that may represent a reduction in cash available to us; and</w:t>
      </w:r>
    </w:p>
    <w:p>
      <w:pPr>
        <w:spacing w:after="0" w:line="1" w:lineRule="exact"/>
        <w:rPr>
          <w:rFonts w:ascii="Times New Roman" w:cs="Times New Roman" w:eastAsia="Times New Roman" w:hAnsi="Times New Roman"/>
          <w:sz w:val="17"/>
          <w:szCs w:val="17"/>
          <w:color w:val="auto"/>
        </w:rPr>
      </w:pPr>
    </w:p>
    <w:p>
      <w:pPr>
        <w:ind w:left="620" w:hanging="305"/>
        <w:spacing w:after="0" w:line="269"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net income (loss) to Adjusted EBITDA: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right"/>
              <w:ind w:right="660"/>
              <w:spacing w:after="0"/>
              <w:rPr>
                <w:sz w:val="20"/>
                <w:szCs w:val="20"/>
                <w:color w:val="auto"/>
              </w:rPr>
            </w:pPr>
            <w:r>
              <w:rPr>
                <w:rFonts w:ascii="Times New Roman" w:cs="Times New Roman" w:eastAsia="Times New Roman" w:hAnsi="Times New Roman"/>
                <w:sz w:val="17"/>
                <w:szCs w:val="17"/>
                <w:color w:val="auto"/>
              </w:rPr>
              <w:t>(dollars in thousands)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9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(4,291)</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(31,314)</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(30,449)</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(62,627)</w:t>
            </w:r>
          </w:p>
        </w:tc>
      </w:tr>
      <w:tr>
        <w:trPr>
          <w:trHeight w:val="208"/>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Adjusted to exclude the following:</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expenses (income), net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(1,004)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3,827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6,981</w:t>
            </w:r>
          </w:p>
        </w:tc>
      </w:tr>
      <w:tr>
        <w:trPr>
          <w:trHeight w:val="208"/>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expenses (benefit)</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(2,336)</w:t>
            </w: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2,487</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1,848</w:t>
            </w:r>
          </w:p>
        </w:tc>
      </w:tr>
      <w:tr>
        <w:trPr>
          <w:trHeight w:val="20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22,792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51,183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45,393</w:t>
            </w:r>
          </w:p>
        </w:tc>
      </w:tr>
      <w:tr>
        <w:trPr>
          <w:trHeight w:val="208"/>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13,890</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29,415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27,417</w:t>
            </w:r>
          </w:p>
        </w:tc>
      </w:tr>
      <w:tr>
        <w:trPr>
          <w:trHeight w:val="20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Holdback compensation expenses (1)</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2,645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5,200</w:t>
            </w:r>
          </w:p>
        </w:tc>
      </w:tr>
      <w:tr>
        <w:trPr>
          <w:trHeight w:val="214"/>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Other costs (2)</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1,334</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1,571</w:t>
            </w:r>
          </w:p>
        </w:tc>
      </w:tr>
      <w:tr>
        <w:trPr>
          <w:trHeight w:val="214"/>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37,231</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60,720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189865</wp:posOffset>
            </wp:positionV>
            <wp:extent cx="214312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3125" cy="16510"/>
                    </a:xfrm>
                    <a:prstGeom prst="rect">
                      <a:avLst/>
                    </a:prstGeom>
                    <a:noFill/>
                  </pic:spPr>
                </pic:pic>
              </a:graphicData>
            </a:graphic>
          </wp:anchor>
        </w:drawing>
      </w:r>
    </w:p>
    <w:p>
      <w:pPr>
        <w:spacing w:after="0" w:line="377" w:lineRule="exact"/>
        <w:rPr>
          <w:sz w:val="20"/>
          <w:szCs w:val="20"/>
          <w:color w:val="auto"/>
        </w:rPr>
      </w:pPr>
    </w:p>
    <w:p>
      <w:pPr>
        <w:ind w:left="400" w:hanging="396"/>
        <w:spacing w:after="0"/>
        <w:tabs>
          <w:tab w:leader="none" w:pos="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share-based compensation due to holdback of Ordinary shares issuable under compensatory arrangements relating to Connexity acquisition.</w:t>
      </w:r>
    </w:p>
    <w:p>
      <w:pPr>
        <w:spacing w:after="0" w:line="30" w:lineRule="exact"/>
        <w:rPr>
          <w:rFonts w:ascii="Times New Roman" w:cs="Times New Roman" w:eastAsia="Times New Roman" w:hAnsi="Times New Roman"/>
          <w:sz w:val="17"/>
          <w:szCs w:val="17"/>
          <w:color w:val="auto"/>
        </w:rPr>
      </w:pPr>
    </w:p>
    <w:p>
      <w:pPr>
        <w:ind w:left="400" w:hanging="396"/>
        <w:spacing w:after="0" w:line="269" w:lineRule="auto"/>
        <w:tabs>
          <w:tab w:leader="none" w:pos="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three and six months ended June 30, 2024 and June 30, 2023 included one-time professional service costs and one-time costs related to the Commercial agreement, respectively.</w:t>
      </w:r>
    </w:p>
    <w:p>
      <w:pPr>
        <w:spacing w:after="0" w:line="331" w:lineRule="exact"/>
        <w:rPr>
          <w:rFonts w:ascii="Times New Roman" w:cs="Times New Roman" w:eastAsia="Times New Roman" w:hAnsi="Times New Roman"/>
          <w:sz w:val="17"/>
          <w:szCs w:val="17"/>
          <w:color w:val="auto"/>
        </w:rPr>
      </w:pPr>
    </w:p>
    <w:p>
      <w:pPr>
        <w:ind w:left="5560" w:hanging="86"/>
        <w:spacing w:after="0"/>
        <w:tabs>
          <w:tab w:leader="none" w:pos="5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calculate Ratio of Adjusted EBITDA to ex-TAC Gross Profit as Adjusted EBITDA divided by ex-TAC Gross Profit.</w:t>
      </w:r>
    </w:p>
    <w:p>
      <w:pPr>
        <w:spacing w:after="0" w:line="2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believe that the Ratio of Adjusted EBITDA to ex-TAC Gross Profit is useful because TAC is what we must pay digital properties to obtain the right to place advertising on their websites, and we believe focusing on ex-TAC Gross Profit better reflects the profitability of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ratio of net loss to gross profit and Ratio of Adjusted EBITDA to ex-TAC Gross Profit: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(dollars</w:t>
            </w: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thousands)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114,778</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97,057</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223,731</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186,649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(4,291)</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(31,314)</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(30,449)</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(62,627)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Ratio of net loss to gross profit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ex-TAC Gross Profit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149,540</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123,134</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288,428</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238,874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37,231</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15,661</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60,720</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25,783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Ratio of Adjusted EBITDA margin to ex-TAC Gross Profit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Net Income (Loss)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calculate Non-GAAP Net Income (Loss) as net income (loss) adjusted to exclude revaluation of our Warrants liability, share-based compensation expense including Connexity holdback compensation expenses, M&amp;A costs and amortization of acquired intangible assets, foreign currency exchange rate gains (losses), net, and other noteworthy items that change from period to period and related tax effects.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believe that Non-GAAP Net Income (Loss) is useful because it allows us and others to measure our operating performance and trends without regard to items such as the revaluation of our Warrants liability, share-based compensation expense, cash and non-cash M&amp;A costs including amortization of acquired intangible assets, foreign currency exchange rate (gains) losses, net and other noteworthy items that change from period to period and related tax effects. These items can vary substantially depending on our share price, acquisition activity, the method by which assets are acquired and other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Limitations on the use of Non-GAAP Net Income (Loss) include the following:</w:t>
      </w:r>
    </w:p>
    <w:p>
      <w:pPr>
        <w:spacing w:after="0" w:line="220" w:lineRule="exact"/>
        <w:rPr>
          <w:sz w:val="20"/>
          <w:szCs w:val="20"/>
          <w:color w:val="auto"/>
        </w:rPr>
      </w:pPr>
    </w:p>
    <w:p>
      <w:pPr>
        <w:ind w:left="620" w:hanging="305"/>
        <w:spacing w:after="0" w:line="266"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Net Income (Loss) excludes share-based compensation expense, which has been, and will continue to be for the foreseeable future, a significant recurring expense for our business and an important part of our compensation strategy;</w:t>
      </w:r>
    </w:p>
    <w:p>
      <w:pPr>
        <w:ind w:left="620" w:hanging="305"/>
        <w:spacing w:after="0" w:line="254"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Net Income (Loss) will generally be more favorable than our net income (loss) for the same period due to the nature of the items being excluded from its calculation; and</w:t>
      </w:r>
    </w:p>
    <w:p>
      <w:pPr>
        <w:spacing w:after="0" w:line="1"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Net Income (Loss) is a performance measure and should not be used as a measure of liquidity.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net income (loss) to Non-GAAP Net Income (Loss) for the periods shown: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right"/>
              <w:ind w:right="660"/>
              <w:spacing w:after="0"/>
              <w:rPr>
                <w:sz w:val="20"/>
                <w:szCs w:val="20"/>
                <w:color w:val="auto"/>
              </w:rPr>
            </w:pPr>
            <w:r>
              <w:rPr>
                <w:rFonts w:ascii="Times New Roman" w:cs="Times New Roman" w:eastAsia="Times New Roman" w:hAnsi="Times New Roman"/>
                <w:sz w:val="17"/>
                <w:szCs w:val="17"/>
                <w:color w:val="auto"/>
              </w:rPr>
              <w:t>(dollars in thousands)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(4,291)</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(31,314)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(30,449)</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(62,627)</w:t>
            </w: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acquired intangibles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15,962</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31,689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31,931</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13,890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29,415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27,417</w:t>
            </w: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Holdback compensation expenses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2,645</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5,200</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costs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1,334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1,571</w:t>
            </w: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Revaluation of Warrants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(3,926)</w:t>
            </w: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702</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(3,887)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(974)</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exchange rate losses (gains) (3)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(663)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(234)</w:t>
            </w: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Income tax effects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(3,874)</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(3,962)</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(7,300)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(7,791)</w:t>
            </w:r>
          </w:p>
        </w:tc>
      </w:tr>
      <w:tr>
        <w:trPr>
          <w:trHeight w:val="214"/>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Net Income (Loss)</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23,010</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189865</wp:posOffset>
            </wp:positionV>
            <wp:extent cx="214312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16510"/>
                    </a:xfrm>
                    <a:prstGeom prst="rect">
                      <a:avLst/>
                    </a:prstGeom>
                    <a:noFill/>
                  </pic:spPr>
                </pic:pic>
              </a:graphicData>
            </a:graphic>
          </wp:anchor>
        </w:drawing>
      </w:r>
    </w:p>
    <w:p>
      <w:pPr>
        <w:spacing w:after="0" w:line="377" w:lineRule="exact"/>
        <w:rPr>
          <w:sz w:val="20"/>
          <w:szCs w:val="20"/>
          <w:color w:val="auto"/>
        </w:rPr>
      </w:pPr>
    </w:p>
    <w:p>
      <w:pPr>
        <w:ind w:left="400" w:hanging="396"/>
        <w:spacing w:after="0"/>
        <w:tabs>
          <w:tab w:leader="none" w:pos="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share-based compensation due to holdback of Ordinary shares issuable under compensatory arrangements relating to Connexity acquisition.</w:t>
      </w:r>
    </w:p>
    <w:p>
      <w:pPr>
        <w:spacing w:after="0" w:line="30" w:lineRule="exact"/>
        <w:rPr>
          <w:rFonts w:ascii="Times New Roman" w:cs="Times New Roman" w:eastAsia="Times New Roman" w:hAnsi="Times New Roman"/>
          <w:sz w:val="17"/>
          <w:szCs w:val="17"/>
          <w:color w:val="auto"/>
        </w:rPr>
      </w:pPr>
    </w:p>
    <w:p>
      <w:pPr>
        <w:ind w:left="400" w:hanging="396"/>
        <w:spacing w:after="0" w:line="254" w:lineRule="auto"/>
        <w:tabs>
          <w:tab w:leader="none" w:pos="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three and six months ended June 30, 2024 and June 30, 2023 included one-time professional service costs and one-time costs related to the Commercial agreement, respectively.</w:t>
      </w:r>
    </w:p>
    <w:p>
      <w:pPr>
        <w:spacing w:after="0" w:line="1" w:lineRule="exact"/>
        <w:rPr>
          <w:rFonts w:ascii="Times New Roman" w:cs="Times New Roman" w:eastAsia="Times New Roman" w:hAnsi="Times New Roman"/>
          <w:sz w:val="17"/>
          <w:szCs w:val="17"/>
          <w:color w:val="auto"/>
        </w:rPr>
      </w:pPr>
    </w:p>
    <w:p>
      <w:pPr>
        <w:ind w:left="400" w:hanging="396"/>
        <w:spacing w:after="0" w:line="269" w:lineRule="auto"/>
        <w:tabs>
          <w:tab w:leader="none" w:pos="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foreign currency exchange rate gains or losses related to the remeasurement of monetary assets and liabilities to the Company’s functional currency using exchange rates in effect at the end of the reporting period.</w:t>
      </w:r>
    </w:p>
    <w:p>
      <w:pPr>
        <w:sectPr>
          <w:pgSz w:w="11900" w:h="16838" w:orient="portrait"/>
          <w:cols w:equalWidth="0" w:num="1">
            <w:col w:w="11240"/>
          </w:cols>
          <w:pgMar w:left="320" w:top="115" w:right="3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713740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calculate Free Cash Flow as Net cash flow provided by operating activities minus purchases of property, plant and equipment, including capitalized internal-use software.</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that Free Cash Flow is useful to provide management and others with information about the amount of cash generated from our operations that can be used for strategic initiatives, including investing in our business, making strategic acquisitions, and strengthening our balance sheet. We expect our Free Cash Flow to fluctuate in future periods as we invest in our business to support our plans for growth.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Limitations on the use of Free Cash Flow include the following:</w:t>
      </w:r>
    </w:p>
    <w:p>
      <w:pPr>
        <w:spacing w:after="0" w:line="220" w:lineRule="exact"/>
        <w:rPr>
          <w:sz w:val="20"/>
          <w:szCs w:val="20"/>
          <w:color w:val="auto"/>
        </w:rPr>
      </w:pPr>
    </w:p>
    <w:p>
      <w:pPr>
        <w:ind w:left="620" w:hanging="305"/>
        <w:spacing w:after="0" w:line="266"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should not be inferred that the entire Free Cash Flow amount is available for discretionary expenditures. For example, cash is still required to satisfy other working capital needs, including short-term investment policy, restricted cash, repayment of loan and intangible assets;</w:t>
      </w:r>
    </w:p>
    <w:p>
      <w:pPr>
        <w:ind w:left="620" w:hanging="305"/>
        <w:spacing w:after="0" w:line="254"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 Cash Flow has limitations as an analytical tool, and it should not be considered in isolation or as a substitute for analysis of other GAAP financial measures, such as net cash provided by operating activities; and</w:t>
      </w:r>
    </w:p>
    <w:p>
      <w:pPr>
        <w:spacing w:after="0" w:line="1"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metric does not reflect our future contractual commitments.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4"/>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right"/>
              <w:ind w:right="660"/>
              <w:spacing w:after="0"/>
              <w:rPr>
                <w:sz w:val="20"/>
                <w:szCs w:val="20"/>
                <w:color w:val="auto"/>
              </w:rPr>
            </w:pPr>
            <w:r>
              <w:rPr>
                <w:rFonts w:ascii="Times New Roman" w:cs="Times New Roman" w:eastAsia="Times New Roman" w:hAnsi="Times New Roman"/>
                <w:sz w:val="17"/>
                <w:szCs w:val="17"/>
                <w:color w:val="auto"/>
              </w:rPr>
              <w:t>(dollars in thousands)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38,791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11,598</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72,624</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29,122</w:t>
            </w:r>
          </w:p>
        </w:tc>
      </w:tr>
      <w:tr>
        <w:trPr>
          <w:trHeight w:val="214"/>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and equipment, including capitalized internal-use software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(12,633)</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(3,828)</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(18,222)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(10,178)</w:t>
            </w:r>
          </w:p>
        </w:tc>
      </w:tr>
      <w:tr>
        <w:trPr>
          <w:trHeight w:val="214"/>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Free Cash Flow</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26,158</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548"/>
        </w:trPr>
        <w:tc>
          <w:tcPr>
            <w:tcW w:w="58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- 32 -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20" w:type="dxa"/>
            <w:vAlign w:val="bottom"/>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cost of revenue primarily includes traffic acquisition cost and also includes other cost of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Traffic acquisition cost</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Traffic acquisition cost, or TAC, consists primarily of cost related to digital property compensation for placing our platform on their digital property and cost for advertising impressions purchased from real-time advertising exchanges and other third parties. Traffic acquisition cost also includes up-front payments, incentive payments, or bonuses paid to the digital property partners, which are amortized over the shorter of respective contractual terms and the economic benefit period of the digital property arrangement. For the majority of our digital properties partners, we have two primary compensation models for digital properties. The most common model is a revenue share model. In this model, we agree to pay a percentage of our revenue generated from advertisements placed on the digital properties. The second model includes guarantees. Under this model, we pay the greater of a percentage of the revenue generated or a committed guaranteed amount per thousand page views (“Minimum guarantee model”). Actual compensation is settled on a monthly basis. Expenses under both the revenue share model as well as the Minimum guarantee model are recorded as incurred, based on actual revenues generated by us at the respective month.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cost of revenues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Other cost of revenues includes data center and related costs, depreciation expense related to hardware supporting our platform, amortization expense related to capitalized internal-use software and acquired technology, digital and services taxes, content cost, personnel costs, and allocated facilities costs. Personnel costs include salaries, bonuses, share-based compensation, and employee benefit costs, and are primarily attributable to our operations group, which supports our platform and our Advertisers.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Gross profit, calculated as revenues less cost of revenues, has been, and will continue to be, affected by various factors, including fluctuations in the amount and mix of revenue and the amount and timing of investments to expand our digital properties partners and Advertisers base. We hope to increase both our Gross profit in absolute dollars and as a percentage of revenue through enhanced operational efficiency and economies of scale.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Research and development expenses consist primarily of personnel costs, including salaries, bonuses, share-based compensation and employee benefits costs, allocated facilities costs, professional services and depreciation. We expect research and development expenses to increase in future periods to support our growth, including continuing to invest in optimization, accuracy and reliability of our platform and other technology improvements to support and drive efficiency in our operations. These expenses may vary from period to period as a percentage of revenue, depending primarily upon when we choose to make more significant investments.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Sales and marketing expenses consist of payroll and other personnel related costs, including salaries, share-based compensation, employee benefits, and travel for our sales and marketing departments, advertising and promotion, rent and depreciation and amortization expenses, particularly related to the acquired intangibles. We expect to increase selling and marketing expenses to support the overall growth in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General and administrative expenses consist of payroll and other personnel related costs, including salaries, share-based compensation, employee benefits and expenses for executive management, legal, finance and others. In addition, general and administrative expenses include fees for professional services and occupancy costs. We expect our general and administrative expense to increase as we scale up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income (expenses), net</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Finance income (expenses), net, primarily consists of interest income (expense) including amortization of loan and credit facility issuance costs, Warrants liability fair value adjustments, gains (losses) from foreign exchange fluctuations and bank fees.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(expenses)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statutory corporate tax rate in Israel was 23% for the six months ended June 30, 2024 and 2023, although we are entitled to certain tax benefits under Israeli law.</w:t>
      </w:r>
    </w:p>
    <w:p>
      <w:pPr>
        <w:spacing w:after="0" w:line="200" w:lineRule="exact"/>
        <w:rPr>
          <w:sz w:val="20"/>
          <w:szCs w:val="20"/>
          <w:color w:val="auto"/>
        </w:rPr>
      </w:pPr>
    </w:p>
    <w:p>
      <w:pPr>
        <w:spacing w:after="0" w:line="20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Pursuant to the Israeli Law for Encouragement of Capital Investments-1959 (the “Investments Law”) and its various amendments, under which we have been granted “Privileged Enterprise” status, we were granted a tax exemption status for the years 2018 and 2019.</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2021 and subsequent tax years, we adopted the “Preferred Technology Enterprises” (“PTE”) Incentives Regime (Amendment 73 to the Investment Law) granting a 12% tax rate in central Israel on income deriving from benefited intangible assets, subject to a number of conditions being fulfilled, including a minimal amount or ratio of annual research and development expenditure and 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17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June 30, 2024, we have an accumulated tax loss carry-forward of approximately $65.0 million in Israel. The tax loss can be offset indefinitely. Non-Israeli subsidiaries are taxed according to the tax laws in their respective jurisdictions.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w w:val="96"/>
              </w:rPr>
              <w:t>Table of Contents</w:t>
            </w:r>
          </w:p>
        </w:tc>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provides consolidated statements of loss data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428,160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Traffic acquisition cost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208,870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cost of revenues</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34,762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26,077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cost of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313,382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114,778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97,057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33,288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34,001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64,837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61,198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24,284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26,858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122,409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(7,631)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income (expenses),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(3,827)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(28,827)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(2,487)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(4,291)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(31,314)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June 30, 2024 and 2023</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Revenues increased by $96.2 million, or 29.0%, for the three months ended June 30, 2024 compared to the three months ended June 30, 2023. New digital property partners contributed approximately $103.7 million of new Revenues on a 12-month run rate basis calculated based on their first full month on the network, a majority of which is related to Yahoo supply. Existing digital property partners, including the growth of new digital property partners (beyond the revenue contribution determined based on the run-rate revenue generated by the partners when they are first on-boarded) decreased by approximately $7.5 million. This decrease was primarily driven by lower advertiser rates on existing digital property partners due to spend being served on new Yahoo supply added to the network.</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increased by $17.7 million, or 18.3%, for the three months ended June 30, 2024 compared to the three months ended June 30, 2023.</w:t>
      </w:r>
    </w:p>
    <w:p>
      <w:pPr>
        <w:spacing w:after="0" w:line="2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Ex-TAC Gross Profit, a non-GAAP measure, increased by $26.4 million, or 21.4%, for the three months ended June 30, 2024 compared to the three months ended June 30, 2023, primarily due to new digital property partners, a majority of which is related to Yahoo supply.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cost of revenues increased by $78.4 million, or 33.4%, for the three months ended June 30, 2024 compared to the three months ended June 30,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Traffic acquisition cost increased by $69.8 million, or 33.4%, for the three months ended June 30, 2024 compared to the three months ended June 30, 2023.</w:t>
      </w:r>
    </w:p>
    <w:p>
      <w:pPr>
        <w:spacing w:after="0" w:line="2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Traffic acquisition cost increased at a rate higher than revenue primarily due to a mix shift to lower margin digital properties and decreased yield on digital properties with guarantee obligations.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cost of guarantees (total payments due under guarantee arrangements in excess of amounts the Company would otherwise be required to pay under revenue sharing arrangements) as a percentage of traffic acquisition costs were approximately 18% and 20% for the three months ended June 30, 2024 and June 30, 2023, respectively.</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Other cost of revenues increased by $8.7 million, or 33.3%, for the three months ended June 30, 2024 compared to the three months ended June 30, 2023, primarily as a result of a $4.7 million increase in data, content, communication and IT related expenses, $2.5 million increase in digital service tax expenses mostly due to the adoption of new legislation in certain jurisdictions and a $1.4 million increase in depreciation expenses related to new product innovation.</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Research and development expenses decreased by $0.7 million, or 2.1%, for the three months ended June 30, 2024 compared to the three months ended June 30, 2023, primarily attributable to $1.2 million decrease in employee related costs, partially offset by $0.6 million increase in depreciation expenses.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Sales and marketing expenses increased by $3.6 million, or 5.9%, for the three months ended June 30, 2024 compared to the three months ended June 30, 2023, primarily attributable to $3.1 million increase in employee and subcontractor headcount and related costs, including share-based compensation expenses, supporting our growth.</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decreased by $2.6 million, or 9.6%, for the three months ended June 30, 2024 compared to the three months ended June 30, 2023, a result of a $1.7 million decrease in insurance expenses in connection with the Yahoo arrangement, and $1.1 million decrease in credit losses expenses, partially offset by an increase of $1.1 million in depreciation expenses.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Finance income (expenses), net increased by $4.8 million for the three months ended June 30, 2024 compared to the three months ended June 30, 2023, mainly attributable to $3.9 million Warrants liability devaluation in the three months ended June 30, 2024, compared to revaluation of $0.7 million in the three months ended June 30, 2023 and a $1.1 million decrease in interest expense due to the repayments of a portion of the long-term loan in 2023 partially offset by $1.0 million decrease in foreign currency exchange rate gains (losses), net.</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Income tax benefit (expenses) increased by $4.8 million for the three months ended June 30, 2024 compared to the three months ended June 30, 2023. Our effective tax rate is affected primarily by tax rates in foreign jurisdictions and the relative amounts of income we earn in those jurisdictions, as well as non-deductible expenses, such as share-based compensation, and changes in our valuation allowance.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w w:val="96"/>
              </w:rPr>
              <w:t>Table of Contents</w:t>
            </w:r>
          </w:p>
        </w:tc>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provides consolidated statements of loss data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842,168</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Traffic acquisition cost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553,740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420,816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cost of revenues</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64,697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52,225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cost of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618,437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186,649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69,537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65,986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121,767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47,613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52,694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249,595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(25,864)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(53,798)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expenses, net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(6,981)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(28,498)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(60,779)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(1,848)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(30,449)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(62,627)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six months ended June 30, 2024 and 2023</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Revenues increased by $182.5 million, or 27.7%, for the six months ended June 30, 2024 compared to the six months ended June 30, 2023. New digital property partners contributed approximately $246.9 million of new Revenues on a 12-month run rate basis calculated based on their first full month on the network, a majority of which is related to Yahoo supply. Existing digital property partners, including the growth of new digital property partners (beyond the revenue contribution determined based on the run-rate revenue generated by the partners when they are first on-boarded) decreased by approximately $64.4 million. This decrease was primarily driven by lower advertiser rates on existing digital property partners due to spend being served on new Yahoo supply added to the network.</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increased by $37.1 million, or 19.9%, for the six months ended June 30, 2024 compared to the six months ended June 30, 2023.</w:t>
      </w:r>
    </w:p>
    <w:p>
      <w:pPr>
        <w:spacing w:after="0" w:line="2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Ex-TAC Gross Profit, a non-GAAP measure, increased by $49.6 million, or 20.7%, for the six months ended June 30, 2024 compared to the six months ended June 30, 2023, primarily due to new digital property partners, a majority of which is related to Yahoo supply.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cost of revenues increased by $145.4 million, or 30.7%, for the six months ended June 30, 2024 compared to the six months ended June 30,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Traffic acquisition cost increased by $132.9 million, or 31.6%, for the six months ended June 30, 2024 compared to the six months ended June 30, 2023.</w:t>
      </w:r>
    </w:p>
    <w:p>
      <w:pPr>
        <w:spacing w:after="0" w:line="2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Traffic acquisition cost increased at a rate higher than revenue primarily due to a mix shift to lower margin digital properties and decreased yield on digital properties with guarantee obligations.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cost of guarantees (total payments due under guarantee arrangements in excess of amounts the Company would otherwise be required to pay under revenue sharing arrangements) as a percentage of traffic acquisition costs were approximately 19% and 20% for the six months ended June 30, 2024 and June 30, 2023, respectively.</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Other cost of revenues increased by $12.5 million, or 23.9%, for the six months ended June 30, 2024 compared to the six months ended June 30, 2023, primarily as a result of a $5.1 million increase in data, content, communication and IT related expenses, $3.9 million increase in depreciation expenses related to new product innovation and $2.9 million increase in digital service tax expenses due to the recent adoption of legislation in certain jurisdictions.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Research and development expenses increased by $3.6 million, or 5.4%, for the six months ended June 30, 2024 compared to the six months ended June 30, 2023, primarily attributable to $3.1 million increase in employee and subcontractor headcount and related costs, including share-based compensation expenses, reflecting our continued effort to enhance our product offerings and a $0.9 million increase in depreciation expenses.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Sales and marketing expenses increased by $10.7 million, or 8.8%, for the six months ended June 30, 2024 compared to the six months ended June 30, 2023, primarily attributable to $8.2 million increase in employee and subcontractor headcount and related costs, including share-based compensation expenses, supporting our growth, and $1.5 million in other marketing activities.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expenses decreased by $5.1 million, or 9.6%, for the six months ended June 30, 2024 compared to the six months ended June 30, 2023, a result of a decrease of $2.2 million in insurance expenses in connection with the Yahoo arrangement, a decrease of $2.0 million in credit losses expenses and a decrease of $1.9 million in employee and subcontractors related costs, including share-based compensation expenses, and, partially offset by an increase of $1.1 million in depreciation expenses.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Finance expenses, net decreased by $4.3 million for the six months ended June 30, 2024 compared to the six months ended June 30, 2023, mainly attributable to $3.0 million decrease in interest expense due to the voluntary repayments of a portion of the long-term loan in 2023, $2.9 million Warrants liability devaluation, partially offset by a $1.6 million increase in foreign currency exchange rate losses.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expenses increased by $0.1 million for the six months ended June 30, 2024 compared to the six months ended June 30, 2023.</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primary cash needs are for working capital, personnel costs, contractual obligations, including payments to digital property partners, office leases and software and information technology costs, capital expenditures for servers and capitalized software development, payment of interest and required principal payments on our long-term loan and other commitments. We fund these cash needs primarily from cash generated from operations, as well as from cash and cash equivalents on our balance sheet when required. For the six months ended June 30, 2024 and 2023, we generated cash from operations of $72.6 million and $29.1 million, respectively.</w:t>
      </w:r>
    </w:p>
    <w:p>
      <w:pPr>
        <w:spacing w:after="0" w:line="3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part of our growth strategy, we have made and expect to continue to make significant investments in research and development and in our technology platform. We also plan to selectively consider possible future acquisitions that are attractive opportunities we deem strategic and value-enhancing. To fund our growth, depending on the magnitude and timing of our growth investments and the size and structure of any possible future acquisition, we may supplement our available cash from operations with issuances of equity or debt securities and/or make other borrowings, which could be material.</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June 30, 2024 and December 31, 2023, we had $182.2 million and $176.1 million of cash and cash equivalents, respectively, and $5.5 million and $5.7 million in short and long-term restricted deposits, respectively, used, mainly, as security for our lease commitments and $5.7 million of short-term investments as of December 31, 2023. As of June 30, 2024 we did not hold short-term investments. Cash and cash equivalents consist of cash in banks and highly liquid marketable securities investments and money market funds, with an original maturity of three months or less at the date of purchase and are readily convertible to known amounts of cash. Short-term investments generally consist of bank deposits, U.S. government treasuries, commercial paper, corporate debt securities, and U.S. agency bonds.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this, together with net proceeds from our engagements with Advertisers and digital property partners, will provide us with sufficient liquidity to meet our working capital and capital expenditure needs for at least the next 12 months. In the future, we may be required to obtain additional equity or debt financing in order to support our continued capital expenditures and operations. In the event that additional financing is required from outside sources, we may not be able to raise it on terms acceptable to us or at all. If we are unable to raise additional capital or generate cash flows necessary to expand our operations and invest in new technologies, this could reduce our ability to compete successfully and harm our business, growth, and results of operations.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August 9, 2022 we entered into an incremental revolving credit facility amendment to our existing senior secured credit agreement (the “Amended Credit Agreement”). The Amended Credit Agreement provides for borrowings in an aggregate principal amount of up to $90 million (the “Revolving Facility”). The proceeds of the Revolving Facility can be used to finance working capital needs and general corporate purposes. Borrowings under the Revolving Facility are subject to customary borrowing conditions and will bear interest at a variable annual rate based on Term SOFR or Base Rate plus a fixed margin. The Amended Credit Agreement also contains customary representations, covenants and events of default as well as a financial covenant, which places a limit on our allowable net leverage ratio. As of June 30, 2024, we had no outstanding borrowings under the Revolving Facility.</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June 30, 2024, our outstanding principal amount of debt under our long-term loan was $152.7 million with the remaining principal amount due at maturity on September 1, 2028.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Buyback Program</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board of directors authorized a share buyback program for the repurchase of our outstanding Ordinary shares, which commenced in June 2023 and does not have an expiration date (the “Buyback Program”). In 2023, our board of directors authorized up to $80.0 million of buybacks under the Buyback Program. In February 2024, our board of directors authorized up to $100.0 million for use under the Buyback Program, including any remaining authority from the 2023 board of directors authorization, subject to satisfying required conditions under the Israeli Companies Law and the Companies Regulations (Reliefs for Corporations, Which Securities Are Listed on Foreign Stock Exchanges), 2000. As permitted by the Buyback Program, share repurchases may be made from time to time, in privately negotiated transactions or in the open market, including through trading plans intended to comply with Rule 10b5-1, at the discretion of our management and as permitted by securities laws and other legal requirements, including Rule 10b-18 of the Exchange Act. The Buyback Program does not obligate the Company to repurchase any specific number of shares and the number of shares repurchased may depend upon market and economic conditions and other factors. The Buyback Program may be discontinued, modified or suspended at any time.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six months ended June 30, 2024, we repurchased 12.5 million of our shares, consisting of 11.5 million Ordinary shares and 1.0 million Non-voting Ordinary shares at an average price of $4.32 per share (excluding broker and transaction fees of $0.3 million). As of June 30, 2024 the Company had remaining authorization from our board of directors to repurchase Ordinary shares up to an aggregate amount of $65.6 million, subject to satisfying required conditions under the Israeli Companies Law and the Companies Regulations. See Part II, Item 2. Unregistered Sales of Equity Securities and Use of Proceeds, and Note 9 and Note 12 of Notes to the Unaudited Consolidated Interim Financial Statements.</w:t>
      </w:r>
    </w:p>
    <w:p>
      <w:pPr>
        <w:spacing w:after="0" w:line="17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Our future capital requirements and the adequacy of available funds will depend on many factors, including the risks and uncertainties set forth in our 2023 Form 10-K under Item 1A. “Risk Factors,” and in our subsequent filings with the SEC.</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6660" w:type="dxa"/>
            <w:vAlign w:val="bottom"/>
            <w:gridSpan w:val="3"/>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Cash Flow Data:</w:t>
            </w: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2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72,624</w:t>
            </w:r>
          </w:p>
        </w:tc>
        <w:tc>
          <w:tcPr>
            <w:tcW w:w="4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29,122</w:t>
            </w:r>
          </w:p>
        </w:tc>
      </w:tr>
      <w:tr>
        <w:trPr>
          <w:trHeight w:val="208"/>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45,126</w:t>
            </w:r>
          </w:p>
        </w:tc>
      </w:tr>
      <w:tr>
        <w:trPr>
          <w:trHeight w:val="208"/>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(52,580)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(35,310)</w:t>
            </w:r>
          </w:p>
        </w:tc>
      </w:tr>
      <w:tr>
        <w:trPr>
          <w:trHeight w:val="214"/>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Exchange rate differences on balances of cash and cash equivalents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(236)</w:t>
            </w:r>
          </w:p>
        </w:tc>
      </w:tr>
      <w:tr>
        <w:trPr>
          <w:trHeight w:val="214"/>
        </w:trPr>
        <w:tc>
          <w:tcPr>
            <w:tcW w:w="20" w:type="dxa"/>
            <w:vAlign w:val="bottom"/>
          </w:tcPr>
          <w:p>
            <w:pPr>
              <w:spacing w:after="0"/>
              <w:rPr>
                <w:sz w:val="18"/>
                <w:szCs w:val="18"/>
                <w:color w:val="auto"/>
              </w:rPr>
            </w:pPr>
          </w:p>
        </w:tc>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cash and cash equivalents</w:t>
            </w:r>
          </w:p>
        </w:tc>
        <w:tc>
          <w:tcPr>
            <w:tcW w:w="20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38,702</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color w:val="auto"/>
        </w:rPr>
        <w:t>During the six months ended June 30, 2024 net cash provided by operating activities was $72.6 million, an increase of $43.5 million, compared to $29.1 million for the same period in 2023. The $72.6 million was related to our net loss of $30.4 million adjusted by non-cash charges of $83.6 million and positive changes in working capital of $19.5 million.</w:t>
      </w:r>
    </w:p>
    <w:p>
      <w:pPr>
        <w:spacing w:after="0" w:line="16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7"/>
          <w:szCs w:val="17"/>
          <w:color w:val="auto"/>
        </w:rPr>
        <w:t>The $83.6 million of non-cash charges consisted of depreciation and amortization of $51.2 million and share-based compensation expense related to vested equity awards of $34.7 million, partially offset by decrease of $3.9 million due to revaluation of Warrants liability.</w:t>
      </w:r>
    </w:p>
    <w:p>
      <w:pPr>
        <w:spacing w:after="0" w:line="14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$19.5 million increase in cash resulting from changes in working capital primarily consisted of a $24.6 million decrease in trade receivables, net, a $15.0 million decrease in prepaid expenses and other assets, partially offset by a $11.9 million decrease in trade payables and a $7.9 million decrease in deferred taxes, net.</w:t>
      </w:r>
    </w:p>
    <w:p>
      <w:pPr>
        <w:spacing w:after="0" w:line="3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Net cash provided by operating activities of $29.1 million for the six months ended June 30, 2023 was related to our net loss of $62.7 million adjusted by non-cash charges of $77.6 million and changes in working capital of $14.1 million.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$77.6 million of non-cash charges primarily consisted of depreciation and amortization of $45.4 million and share-based compensation expense related to vested equity awards of $32.6 million.</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$14.1 million increase in cash resulting from changes in working capital primarily consisted of a $39.3 million decrease in trade receivables, net and $8.6 million decrease of in prepaid expenses and other current assets and long-term prepaid expenses, partially offset by $29.7 million decrease in trade payables and $6.5 million decrease in deferred taxes, net.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six months ended June 30, 2024 net cash used in investing activities was $13.2 million, a decrease of $58.3 million, compared to $45.1 million in net cash provided in the same period in 2023. Net cash used in investing activities for the six months ended June 30, 2024 primarily consisted of $18.2 million purchase of property and equipment, including capitalized internal-use software partially offset by $5.8 million proceeds from maturities of short-term investments.</w:t>
      </w:r>
    </w:p>
    <w:p>
      <w:pPr>
        <w:spacing w:after="0" w:line="3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Net cash provided by investing activities of $45.1 million for the six months ended June 30, 2023 primarily consisted of $77.6 million proceeds from maturities of short-term investments partially offset by $22.0 million purchase of short-term investments and $10.2 million purchase of property and equipment, including capitalized internal-use software.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During the six months ended June 30, 2024 net cash used in financing activities was $52.6 million, an increase of $17.3 million, compared to $35.3 million net cash used in the same period in 2023. Net cash used in financing activities for the six months ended June 30, 2024 primarily consisted of $54.5 million repurchase of Ordinary shares and $1.7 million payment of tax withholding for share-based compensation expenses, partially offset by $4.7 million proceeds received from exercise of options and vested RSUs.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Net cash used in financing activities of $35.3 million for the six months ended June 30, 2023, consisted of $31.5 million repayment of the current portion of long-term loan and $4.4 million repurchase of Ordinary shares and $1.9 million payment of tax withholding for share-based compensation, partially offset by $2.5 million proceeds received from share option exercises and vested RSUs.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following table discloses aggregate information about material contractual obligations and the periods in which they are due as of June 30, 2024. Future events could cause actual payments to differ from these estimates.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b w:val="1"/>
                <w:bCs w:val="1"/>
                <w:color w:val="auto"/>
              </w:rPr>
              <w:t>Contractual Obligations by Period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Thereafter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(dollars in</w:t>
            </w:r>
          </w:p>
        </w:tc>
        <w:tc>
          <w:tcPr>
            <w:tcW w:w="240" w:type="dxa"/>
            <w:vAlign w:val="bottom"/>
            <w:gridSpan w:val="2"/>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Debt Obligations (1)</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152,735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18,069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13,949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9,624</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Non-cancellable purchase obligations (3)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Total Contractual Obligations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27,632</w:t>
            </w:r>
          </w:p>
        </w:tc>
        <w:tc>
          <w:tcPr>
            <w:tcW w:w="24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22,210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16,115</w:t>
            </w:r>
          </w:p>
        </w:tc>
        <w:tc>
          <w:tcPr>
            <w:tcW w:w="12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9,968</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158,328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8,264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178879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195" w:lineRule="exact"/>
        <w:rPr>
          <w:sz w:val="20"/>
          <w:szCs w:val="20"/>
          <w:color w:val="auto"/>
        </w:rPr>
      </w:pPr>
    </w:p>
    <w:p>
      <w:pPr>
        <w:ind w:left="620" w:hanging="305"/>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our voluntary prepayments, we have no remaining obligations to make quarterly amortization payments under our long-term loan.</w:t>
      </w:r>
    </w:p>
    <w:p>
      <w:pPr>
        <w:spacing w:after="0" w:line="30"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future minimum lease commitments under non-cancellable operating lease agreements.</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Primarily represents non-cancelable amounts for contractual commitments in respect of software and information technology.</w:t>
      </w:r>
    </w:p>
    <w:p>
      <w:pPr>
        <w:spacing w:after="0" w:line="379" w:lineRule="exact"/>
        <w:rPr>
          <w:rFonts w:ascii="Times New Roman" w:cs="Times New Roman" w:eastAsia="Times New Roman" w:hAnsi="Times New Roman"/>
          <w:sz w:val="17"/>
          <w:szCs w:val="17"/>
          <w:color w:val="auto"/>
        </w:rPr>
      </w:pPr>
    </w:p>
    <w:p>
      <w:pPr>
        <w:ind w:left="5560" w:hanging="86"/>
        <w:spacing w:after="0"/>
        <w:tabs>
          <w:tab w:leader="none" w:pos="556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The table above does not reflect any reduction for prepaid obligations as of June 30, 2024.</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 of June 30, 2024, we have a provision related to unrecognized tax benefit liabilities totaling $9.1 million and other provisions related to severance pay and contribution plans, which have been excluded from the table above as we do not believe it is practicable to make reliable estimates of the periods in which payments for these obligations will be made.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Commercial Commitments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ordinary course of our business, we enter into agreements with certain digital properties, under which, in some cases we agree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 These contracts are not included in the table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During the period covered by this report, there were no material recent accounting pronouncements impacting our accounting policies that are not already discussed in our 2023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discussion and analysis of financial condition results of operations are based upon our consolidated interim financial statements included elsewhere in this report. The preparation of our consolidated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critical accounting policies are those that materi</w:t>
      </w:r>
      <w:r>
        <w:rPr>
          <w:rFonts w:ascii="Times New Roman" w:cs="Times New Roman" w:eastAsia="Times New Roman" w:hAnsi="Times New Roman"/>
          <w:sz w:val="17"/>
          <w:szCs w:val="17"/>
          <w:color w:val="212529"/>
        </w:rPr>
        <w:t>ally affect our consolidated financial statements and involve difficult, subjective or complex judgments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management. There have been no material changes to our critical accounting policies and estimates of and for the year ended December 31, 2023, included in our </w:t>
      </w:r>
      <w:r>
        <w:rPr>
          <w:rFonts w:ascii="Times New Roman" w:cs="Times New Roman" w:eastAsia="Times New Roman" w:hAnsi="Times New Roman"/>
          <w:sz w:val="17"/>
          <w:szCs w:val="17"/>
          <w:color w:val="000000"/>
        </w:rPr>
        <w:t>2023 Form 10-K</w:t>
      </w:r>
      <w:r>
        <w:rPr>
          <w:rFonts w:ascii="Times New Roman" w:cs="Times New Roman" w:eastAsia="Times New Roman" w:hAnsi="Times New Roman"/>
          <w:sz w:val="17"/>
          <w:szCs w:val="17"/>
          <w:color w:val="212529"/>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3.  Quantitative and Qualitative Disclosures About Market Risk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 10% increase or decrease of the NIS, Euro, British pound sterling, or the Japanese yen against the U.S. dollar would have impacted the consolidated statements of loss as follows: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43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9"/>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38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Operating loss impact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8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8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8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+10%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-10%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NIS/USD</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EUR/USD</w:t>
            </w:r>
          </w:p>
        </w:tc>
        <w:tc>
          <w:tcPr>
            <w:tcW w:w="18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2,005</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(2,005)</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169</w:t>
            </w:r>
          </w:p>
        </w:tc>
        <w:tc>
          <w:tcPr>
            <w:tcW w:w="3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(169)</w:t>
            </w:r>
          </w:p>
        </w:tc>
      </w:tr>
      <w:tr>
        <w:trPr>
          <w:trHeight w:val="208"/>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GBP/USD</w:t>
            </w:r>
          </w:p>
        </w:tc>
        <w:tc>
          <w:tcPr>
            <w:tcW w:w="18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(1,252)</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1,252</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(104)</w:t>
            </w:r>
          </w:p>
        </w:tc>
        <w:tc>
          <w:tcPr>
            <w:tcW w:w="3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w:t>
            </w:r>
          </w:p>
        </w:tc>
      </w:tr>
      <w:tr>
        <w:trPr>
          <w:trHeight w:val="226"/>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JPY/USD</w:t>
            </w:r>
          </w:p>
        </w:tc>
        <w:tc>
          <w:tcPr>
            <w:tcW w:w="18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476</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(476)</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312</w:t>
            </w:r>
          </w:p>
        </w:tc>
        <w:tc>
          <w:tcPr>
            <w:tcW w:w="3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(312)</w:t>
            </w:r>
          </w:p>
        </w:tc>
      </w:tr>
    </w:tbl>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To reduce the impact of foreign exchange risks associated with forecasted future cash flows related to payroll expenses and other personnel related costs denominated in NIS and their volatility, we have established a hedging program and use derivative financial instruments, specifically foreign currency forward contracts, call and put options, to manage exposure to foreign currency risks. These derivative instruments are designated as cash flow hedges.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rate risk is the risk that the value or yield of fixed-income investments may decline if interest rates change.</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cash, cash equivalents, and short-term investments are held mainly for working capital purposes. The primary objectives of our investment activities are the preservation of capital and the fulfillment of liquidity needs. We do not enter into investments for trading or speculative purposes. Such interest-earning instruments carry a degree of interest rate risk. Changes in interest rates affect the interest earned on our cash and cash equivalents and short-term investments, and the market value of those securities.</w:t>
      </w:r>
    </w:p>
    <w:p>
      <w:pPr>
        <w:spacing w:after="0" w:line="1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June 30, 2024, we had approximately $152.7 million of outstanding borrowings under our long-term loan with a variable interest rate. See Liquidity and Capital Resources for information regarding our incremental revolving credit facility amendment.</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Fluctuations in interest rates may impact the level of interest expense recorded on future borrowings. We do not enter into derivative financial instruments, including interest rate swaps, to effectively hedge the effect of interest rate changes or for speculative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impacts of inflation have resulted in higher equipment and labor costs, consistent with its impact on the general economy. If our costs, in particular labor, sales and marketing, information system, technology and utilities costs, were to become subject to significant inflationary pressures, we might not be able to effectively mitigate such higher costs. Our inability or failure to do so could adversely affect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Credit risk with respect to accounts receivable is generally not significant, as we routinely assess the creditworthiness of our partners and Advertisers. Historically, we generally have not experienced any material losses related to receivables from Advertisers. We do not require collateral. Due to these factors, no additional credit risk beyond amounts provided for collection losses is believed by management to be probable in our accounts receivable.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June 30, 2024, we had a single customer representing 15.3% of the trade receivables balance. For the three and six months ended June 30, 2024, we had a single customer accounted for 14.1% and 13.3%, respectively, of total revenues. As of December 31, 2023, no single customer represented 10% or more of trade receivables. No single customer accounted for more than 10% of total revenue for the three and six months ended June 30, 2023. See Notes 2 and 12 of Notes to the Unaudited Consolidated Interim Financial Statements.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June 30, 2024, we maintained cash balances primarily in banks in the United States, the United Kingdom and Israel.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Historically we have not experienced losses related to these balances and believe our credit risk in this area is reasonable. As of June 30, 2024, we maintained cash balances with U.S. and United Kingdom banks that significantly exceed FDIC and FSCS insurance limits and expect we will continue to do so. We regularly monitor bank financial strength and other factors in determining where to maintain cash deposits but may not be able to fully mitigate the risk of possible bank failures.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2024 the Company did not hold short-term investments.</w:t>
      </w: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However, failure of one or more of these financial institutions is possible and could result in losses.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maintain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June 30, 2024. Based upon that evaluation, our Chief Executive Officer and Chief Financial Officer concluded that, as of June 30, 2024, our disclosure controls and procedures were effective to accomplish their objectives at the reasonable assurance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From time to time we are a party to various litigation matters incidental to the conduct of our business. We are not presently party to any legal proceedings the resolution of which we believe would have a material adverse effect on our consolidated business prospects, financial condition, liquidity, results of operation, cash flows or capital levels.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Investing in our Ordinary shares involves a high degree of risk. We describe risks associated with our business in Part I, Item 1A: "Risk Factors" of our 2023 Form 10-K. Each of the risks described in those Risk Factors may be relevant to decisions regarding an investment in or ownership of our Ordinary shares. The occurrence of any such risks could have a significant adverse effect on our reputation, business, financial condition, revenue, results of operations, growth, or ability to accomplish our strategic objectives, and could cause the trading price of our Ordinary shares to decline. You should carefully consider such risks and the other information contained in this report, including our condensed consolidated interim financial statements and related notes and Management's Discussion and Analysis of Financial Condition and Results of Operations, before making investment decisions related to our Ordinary shares.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There are no additional material changes to the Risk Factors in our 2023 Form 10-K of which we are currently aware; but our Risk Factors cannot anticipate and fully address all possible risks of investing in our Ordinary shares, the risks of investing in our Ordinary shares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Ordinary shares repurchased pursuant to our Ordinary share buyback program for the three months ended June 30,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(c) Total Number</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 Total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Purchased as Part</w:t>
            </w:r>
          </w:p>
        </w:tc>
        <w:tc>
          <w:tcPr>
            <w:tcW w:w="80" w:type="dxa"/>
            <w:vAlign w:val="bottom"/>
          </w:tcPr>
          <w:p>
            <w:pPr>
              <w:spacing w:after="0"/>
              <w:rPr>
                <w:sz w:val="18"/>
                <w:szCs w:val="18"/>
                <w:color w:val="auto"/>
              </w:rPr>
            </w:pPr>
          </w:p>
        </w:tc>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 Approximate Dollar</w:t>
            </w:r>
          </w:p>
        </w:tc>
      </w:tr>
      <w:tr>
        <w:trPr>
          <w:trHeight w:val="208"/>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(b) Average</w:t>
            </w:r>
          </w:p>
        </w:tc>
        <w:tc>
          <w:tcPr>
            <w:tcW w:w="10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of Publicly</w:t>
            </w:r>
          </w:p>
        </w:tc>
        <w:tc>
          <w:tcPr>
            <w:tcW w:w="204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Value of Shares that May</w:t>
            </w:r>
          </w:p>
        </w:tc>
      </w:tr>
      <w:tr>
        <w:trPr>
          <w:trHeight w:val="198"/>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Price Paid Per</w:t>
            </w:r>
          </w:p>
        </w:tc>
        <w:tc>
          <w:tcPr>
            <w:tcW w:w="10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Announced</w:t>
            </w:r>
          </w:p>
        </w:tc>
        <w:tc>
          <w:tcPr>
            <w:tcW w:w="80" w:type="dxa"/>
            <w:vAlign w:val="bottom"/>
          </w:tcPr>
          <w:p>
            <w:pPr>
              <w:spacing w:after="0"/>
              <w:rPr>
                <w:sz w:val="17"/>
                <w:szCs w:val="17"/>
                <w:color w:val="auto"/>
              </w:rPr>
            </w:pPr>
          </w:p>
        </w:tc>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Yet Be Purchased Under</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0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Repurchased</w:t>
            </w:r>
          </w:p>
        </w:tc>
        <w:tc>
          <w:tcPr>
            <w:tcW w:w="100" w:type="dxa"/>
            <w:vAlign w:val="bottom"/>
          </w:tcPr>
          <w:p>
            <w:pPr>
              <w:spacing w:after="0"/>
              <w:rPr>
                <w:sz w:val="21"/>
                <w:szCs w:val="21"/>
                <w:color w:val="auto"/>
              </w:rPr>
            </w:pPr>
          </w:p>
        </w:tc>
        <w:tc>
          <w:tcPr>
            <w:tcW w:w="11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17"/>
                <w:szCs w:val="17"/>
                <w:b w:val="1"/>
                <w:bCs w:val="1"/>
                <w:color w:val="auto"/>
                <w:w w:val="94"/>
              </w:rPr>
              <w:t xml:space="preserve">Share </w:t>
            </w:r>
            <w:r>
              <w:rPr>
                <w:rFonts w:ascii="Times New Roman" w:cs="Times New Roman" w:eastAsia="Times New Roman" w:hAnsi="Times New Roman"/>
                <w:sz w:val="27"/>
                <w:szCs w:val="27"/>
                <w:b w:val="1"/>
                <w:bCs w:val="1"/>
                <w:color w:val="auto"/>
                <w:w w:val="94"/>
                <w:vertAlign w:val="superscript"/>
              </w:rPr>
              <w:t>(1)</w:t>
            </w:r>
          </w:p>
        </w:tc>
        <w:tc>
          <w:tcPr>
            <w:tcW w:w="10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Program</w:t>
            </w:r>
          </w:p>
        </w:tc>
        <w:tc>
          <w:tcPr>
            <w:tcW w:w="80" w:type="dxa"/>
            <w:vAlign w:val="bottom"/>
          </w:tcPr>
          <w:p>
            <w:pPr>
              <w:spacing w:after="0"/>
              <w:rPr>
                <w:sz w:val="21"/>
                <w:szCs w:val="21"/>
                <w:color w:val="auto"/>
              </w:rPr>
            </w:pPr>
          </w:p>
        </w:tc>
        <w:tc>
          <w:tcPr>
            <w:tcW w:w="196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17"/>
                <w:szCs w:val="17"/>
                <w:b w:val="1"/>
                <w:bCs w:val="1"/>
                <w:color w:val="auto"/>
                <w:w w:val="99"/>
              </w:rPr>
              <w:t xml:space="preserve">the Plan or Program </w:t>
            </w:r>
            <w:r>
              <w:rPr>
                <w:rFonts w:ascii="Times New Roman" w:cs="Times New Roman" w:eastAsia="Times New Roman" w:hAnsi="Times New Roman"/>
                <w:sz w:val="27"/>
                <w:szCs w:val="27"/>
                <w:b w:val="1"/>
                <w:bCs w:val="1"/>
                <w:color w:val="auto"/>
                <w:w w:val="99"/>
                <w:vertAlign w:val="superscript"/>
              </w:rPr>
              <w:t>(2)</w:t>
            </w:r>
          </w:p>
        </w:tc>
      </w:tr>
      <w:tr>
        <w:trPr>
          <w:trHeight w:val="208"/>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April 1 - April 30, 2024</w:t>
            </w:r>
          </w:p>
        </w:tc>
        <w:tc>
          <w:tcPr>
            <w:tcW w:w="1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3,266,520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3,266,520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78,581,509</w:t>
            </w:r>
          </w:p>
        </w:tc>
        <w:tc>
          <w:tcPr>
            <w:tcW w:w="100" w:type="dxa"/>
            <w:vAlign w:val="bottom"/>
            <w:shd w:val="clear" w:color="auto" w:fill="CCEEFF"/>
          </w:tcPr>
          <w:p>
            <w:pPr>
              <w:spacing w:after="0"/>
              <w:rPr>
                <w:sz w:val="18"/>
                <w:szCs w:val="18"/>
                <w:color w:val="auto"/>
              </w:rPr>
            </w:pPr>
          </w:p>
        </w:tc>
      </w:tr>
      <w:tr>
        <w:trPr>
          <w:trHeight w:val="208"/>
        </w:trPr>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May 1 - May 31,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2,056,893</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4.38</w:t>
            </w: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2,056,893</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69,579,077</w:t>
            </w:r>
          </w:p>
        </w:tc>
      </w:tr>
      <w:tr>
        <w:trPr>
          <w:trHeight w:val="20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1 - June 30, 2024</w:t>
            </w:r>
          </w:p>
        </w:tc>
        <w:tc>
          <w:tcPr>
            <w:tcW w:w="1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988,296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4.07</w:t>
            </w:r>
          </w:p>
        </w:tc>
        <w:tc>
          <w:tcPr>
            <w:tcW w:w="1680" w:type="dxa"/>
            <w:vAlign w:val="bottom"/>
            <w:gridSpan w:val="3"/>
            <w:shd w:val="clear" w:color="auto" w:fill="CCEEFF"/>
          </w:tcPr>
          <w:p>
            <w:pPr>
              <w:jc w:val="right"/>
              <w:ind w:right="80"/>
              <w:spacing w:after="0" w:line="207" w:lineRule="exact"/>
              <w:rPr>
                <w:sz w:val="20"/>
                <w:szCs w:val="20"/>
                <w:color w:val="auto"/>
              </w:rPr>
            </w:pPr>
            <w:r>
              <w:rPr>
                <w:rFonts w:ascii="Times New Roman" w:cs="Times New Roman" w:eastAsia="Times New Roman" w:hAnsi="Times New Roman"/>
                <w:sz w:val="15"/>
                <w:szCs w:val="15"/>
                <w:color w:val="auto"/>
              </w:rPr>
              <w:t>988,296</w:t>
            </w:r>
            <w:r>
              <w:rPr>
                <w:rFonts w:ascii="Times New Roman" w:cs="Times New Roman" w:eastAsia="Times New Roman" w:hAnsi="Times New Roman"/>
                <w:sz w:val="24"/>
                <w:szCs w:val="24"/>
                <w:color w:val="auto"/>
                <w:vertAlign w:val="superscript"/>
              </w:rPr>
              <w:t>(3)</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65,556,713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189865</wp:posOffset>
            </wp:positionV>
            <wp:extent cx="178879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377" w:lineRule="exact"/>
        <w:rPr>
          <w:sz w:val="20"/>
          <w:szCs w:val="20"/>
          <w:color w:val="auto"/>
        </w:rPr>
      </w:pPr>
    </w:p>
    <w:p>
      <w:pPr>
        <w:ind w:left="620" w:hanging="616"/>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broker and transaction fees.</w:t>
      </w:r>
    </w:p>
    <w:p>
      <w:pPr>
        <w:spacing w:after="0" w:line="30" w:lineRule="exact"/>
        <w:rPr>
          <w:rFonts w:ascii="Times New Roman" w:cs="Times New Roman" w:eastAsia="Times New Roman" w:hAnsi="Times New Roman"/>
          <w:sz w:val="17"/>
          <w:szCs w:val="17"/>
          <w:color w:val="auto"/>
        </w:rPr>
      </w:pPr>
    </w:p>
    <w:p>
      <w:pPr>
        <w:jc w:val="both"/>
        <w:ind w:left="620" w:hanging="616"/>
        <w:spacing w:after="0" w:line="254"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authorized a share buyback program of our outstanding Ordinary shares, which commenced in June 2023 and does not have an expiration date (the “Buyback Program”). In 2023, our board of directors authorized up to $80.0 million of buybacks under the Buyback Program. In February 2024, our board of directors authorized up to $100.0 million for use under the Buyback Program, including any remaining authority from the 2023 board of directors authorization, subject to satisfying required conditions under the Israeli Companies Law and the Companies Regulations (Reliefs for Corporations, Which Securities Are Listed on Foreign Stock Exchanges) 2000. The Buyback Program permits us to purchase our Ordinary shares from time to time in the open market, including through trading plans intended to comply with Rule 10b5-1 under the Exchange Act, in privately negotiated transactions or otherwise. The timing and amount of any share buybacks will be subject to market conditions and other factors determined by the Company. The Company may suspend, modify or discontinue the program at any time in its sole discretion without prior notice.</w:t>
      </w:r>
    </w:p>
    <w:p>
      <w:pPr>
        <w:spacing w:after="0" w:line="6"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Non-voting Ordinary shares. See Note 12 of Notes to the Unaudited Consolidated Interim Financial Statements.</w:t>
      </w:r>
    </w:p>
    <w:p>
      <w:pPr>
        <w:spacing w:after="0" w:line="366" w:lineRule="exact"/>
        <w:rPr>
          <w:rFonts w:ascii="Times New Roman" w:cs="Times New Roman" w:eastAsia="Times New Roman" w:hAnsi="Times New Roman"/>
          <w:sz w:val="17"/>
          <w:szCs w:val="17"/>
          <w:color w:val="auto"/>
        </w:rPr>
      </w:pPr>
    </w:p>
    <w:p>
      <w:pPr>
        <w:ind w:left="5560" w:hanging="86"/>
        <w:spacing w:after="0"/>
        <w:tabs>
          <w:tab w:leader="none" w:pos="55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trading plan is intended to satisfy the affirmative defense conditions of Rule 10b5-1(c).</w:t>
      </w:r>
    </w:p>
    <w:p>
      <w:pPr>
        <w:spacing w:after="0" w:line="22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On May 23, 2024 Lior Golan, Chief Technology Officer, adopted a 10b5-1 trading plan providing for the potential sale of up to 1,017,498 Ordinary shares of the Company. The duration of the plan is until the earlier of February 28, 2025 or the completion of all transactions subject to the plan.</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1280" w:type="dxa"/>
            <w:vAlign w:val="bottom"/>
            <w:tcBorders>
              <w:top w:val="single" w:sz="8" w:color="auto"/>
              <w:left w:val="single" w:sz="8" w:color="auto"/>
              <w:bottom w:val="single" w:sz="8" w:color="auto"/>
              <w:right w:val="single" w:sz="8" w:color="auto"/>
            </w:tcBorders>
            <w:gridSpan w:val="4"/>
          </w:tcPr>
          <w:p>
            <w:pPr>
              <w:ind w:left="14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960" w:type="dxa"/>
            <w:vAlign w:val="bottom"/>
            <w:tcBorders>
              <w:top w:val="single" w:sz="8" w:color="auto"/>
              <w:bottom w:val="single" w:sz="8" w:color="auto"/>
              <w:right w:val="single" w:sz="8" w:color="auto"/>
            </w:tcBorders>
          </w:tcPr>
          <w:p>
            <w:pPr>
              <w:ind w:left="4280"/>
              <w:spacing w:after="0"/>
              <w:rPr>
                <w:sz w:val="20"/>
                <w:szCs w:val="20"/>
                <w:color w:val="auto"/>
              </w:rPr>
            </w:pPr>
            <w:r>
              <w:rPr>
                <w:rFonts w:ascii="Times New Roman" w:cs="Times New Roman" w:eastAsia="Times New Roman" w:hAnsi="Times New Roman"/>
                <w:sz w:val="17"/>
                <w:szCs w:val="17"/>
                <w:b w:val="1"/>
                <w:bCs w:val="1"/>
                <w:color w:val="auto"/>
              </w:rPr>
              <w:t>Exhibit Description</w:t>
            </w:r>
          </w:p>
        </w:tc>
      </w:tr>
      <w:tr>
        <w:trPr>
          <w:trHeight w:val="214"/>
        </w:trPr>
        <w:tc>
          <w:tcPr>
            <w:tcW w:w="1280" w:type="dxa"/>
            <w:vAlign w:val="bottom"/>
            <w:tcBorders>
              <w:left w:val="single" w:sz="8" w:color="auto"/>
              <w:bottom w:val="single" w:sz="8" w:color="auto"/>
              <w:right w:val="single" w:sz="8" w:color="auto"/>
            </w:tcBorders>
            <w:gridSpan w:val="4"/>
            <w:shd w:val="clear" w:color="auto" w:fill="CCEEFF"/>
          </w:tcPr>
          <w:p>
            <w:pPr>
              <w:ind w:left="140"/>
              <w:spacing w:after="0" w:line="169" w:lineRule="exact"/>
              <w:rPr>
                <w:sz w:val="20"/>
                <w:szCs w:val="20"/>
                <w:color w:val="auto"/>
              </w:rPr>
            </w:pPr>
            <w:r>
              <w:rPr>
                <w:rFonts w:ascii="Times New Roman" w:cs="Times New Roman" w:eastAsia="Times New Roman" w:hAnsi="Times New Roman"/>
                <w:sz w:val="17"/>
                <w:szCs w:val="17"/>
                <w:color w:val="0000EE"/>
              </w:rPr>
              <w:t>10.1</w:t>
            </w:r>
          </w:p>
        </w:tc>
        <w:tc>
          <w:tcPr>
            <w:tcW w:w="9960" w:type="dxa"/>
            <w:vAlign w:val="bottom"/>
            <w:tcBorders>
              <w:bottom w:val="single" w:sz="8" w:color="auto"/>
              <w:right w:val="single" w:sz="8" w:color="auto"/>
            </w:tcBorders>
            <w:shd w:val="clear" w:color="auto" w:fill="CCEEFF"/>
          </w:tcPr>
          <w:p>
            <w:pPr>
              <w:ind w:left="80"/>
              <w:spacing w:after="0" w:line="169" w:lineRule="exact"/>
              <w:rPr>
                <w:sz w:val="20"/>
                <w:szCs w:val="20"/>
                <w:color w:val="auto"/>
              </w:rPr>
            </w:pPr>
            <w:r>
              <w:rPr>
                <w:rFonts w:ascii="Times New Roman" w:cs="Times New Roman" w:eastAsia="Times New Roman" w:hAnsi="Times New Roman"/>
                <w:sz w:val="17"/>
                <w:szCs w:val="17"/>
                <w:color w:val="auto"/>
              </w:rPr>
              <w:t>Compensation Package for the Board of Directors, amended as of May 28, 2024</w:t>
            </w:r>
          </w:p>
        </w:tc>
      </w:tr>
      <w:tr>
        <w:trPr>
          <w:trHeight w:val="169"/>
        </w:trPr>
        <w:tc>
          <w:tcPr>
            <w:tcW w:w="1280" w:type="dxa"/>
            <w:vAlign w:val="bottom"/>
            <w:tcBorders>
              <w:left w:val="single" w:sz="8" w:color="auto"/>
              <w:right w:val="single" w:sz="8" w:color="auto"/>
            </w:tcBorders>
            <w:gridSpan w:val="4"/>
          </w:tcPr>
          <w:p>
            <w:pPr>
              <w:ind w:left="140"/>
              <w:spacing w:after="0" w:line="169" w:lineRule="exact"/>
              <w:rPr>
                <w:sz w:val="20"/>
                <w:szCs w:val="20"/>
                <w:color w:val="auto"/>
              </w:rPr>
            </w:pPr>
            <w:r>
              <w:rPr>
                <w:rFonts w:ascii="Times New Roman" w:cs="Times New Roman" w:eastAsia="Times New Roman" w:hAnsi="Times New Roman"/>
                <w:sz w:val="17"/>
                <w:szCs w:val="17"/>
                <w:color w:val="0000EE"/>
              </w:rPr>
              <w:t>31.1</w:t>
            </w:r>
          </w:p>
        </w:tc>
        <w:tc>
          <w:tcPr>
            <w:tcW w:w="996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7"/>
                <w:szCs w:val="17"/>
                <w:color w:val="auto"/>
              </w:rPr>
              <w:t>Rule 13a-14(a)/15d-14(a) Certification of Chief Executive Officer</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960" w:type="dxa"/>
            <w:vAlign w:val="bottom"/>
            <w:tcBorders>
              <w:bottom w:val="single" w:sz="8" w:color="auto"/>
              <w:right w:val="single" w:sz="8" w:color="auto"/>
            </w:tcBorders>
          </w:tcPr>
          <w:p>
            <w:pPr>
              <w:spacing w:after="0"/>
              <w:rPr>
                <w:sz w:val="2"/>
                <w:szCs w:val="2"/>
                <w:color w:val="auto"/>
              </w:rPr>
            </w:pPr>
          </w:p>
        </w:tc>
      </w:tr>
      <w:tr>
        <w:trPr>
          <w:trHeight w:val="214"/>
        </w:trPr>
        <w:tc>
          <w:tcPr>
            <w:tcW w:w="1280" w:type="dxa"/>
            <w:vAlign w:val="bottom"/>
            <w:tcBorders>
              <w:left w:val="single" w:sz="8" w:color="auto"/>
              <w:bottom w:val="single" w:sz="8" w:color="auto"/>
              <w:right w:val="single" w:sz="8" w:color="auto"/>
            </w:tcBorders>
            <w:gridSpan w:val="4"/>
            <w:shd w:val="clear" w:color="auto" w:fill="CCEEFF"/>
          </w:tcPr>
          <w:p>
            <w:pPr>
              <w:ind w:left="140"/>
              <w:spacing w:after="0" w:line="169" w:lineRule="exact"/>
              <w:rPr>
                <w:sz w:val="20"/>
                <w:szCs w:val="20"/>
                <w:color w:val="auto"/>
              </w:rPr>
            </w:pPr>
            <w:r>
              <w:rPr>
                <w:rFonts w:ascii="Times New Roman" w:cs="Times New Roman" w:eastAsia="Times New Roman" w:hAnsi="Times New Roman"/>
                <w:sz w:val="17"/>
                <w:szCs w:val="17"/>
                <w:color w:val="0000EE"/>
              </w:rPr>
              <w:t>31.2</w:t>
            </w:r>
          </w:p>
        </w:tc>
        <w:tc>
          <w:tcPr>
            <w:tcW w:w="9960" w:type="dxa"/>
            <w:vAlign w:val="bottom"/>
            <w:tcBorders>
              <w:bottom w:val="single" w:sz="8" w:color="auto"/>
              <w:right w:val="single" w:sz="8" w:color="auto"/>
            </w:tcBorders>
            <w:shd w:val="clear" w:color="auto" w:fill="CCEEFF"/>
          </w:tcPr>
          <w:p>
            <w:pPr>
              <w:ind w:left="80"/>
              <w:spacing w:after="0" w:line="169" w:lineRule="exact"/>
              <w:rPr>
                <w:sz w:val="20"/>
                <w:szCs w:val="20"/>
                <w:color w:val="auto"/>
              </w:rPr>
            </w:pPr>
            <w:r>
              <w:rPr>
                <w:rFonts w:ascii="Times New Roman" w:cs="Times New Roman" w:eastAsia="Times New Roman" w:hAnsi="Times New Roman"/>
                <w:sz w:val="17"/>
                <w:szCs w:val="17"/>
                <w:color w:val="auto"/>
              </w:rPr>
              <w:t>Rule 13a-14(a)/15d-14(a) Certification of Chief Financial Officer</w:t>
            </w:r>
          </w:p>
        </w:tc>
      </w:tr>
      <w:tr>
        <w:trPr>
          <w:trHeight w:val="169"/>
        </w:trPr>
        <w:tc>
          <w:tcPr>
            <w:tcW w:w="300" w:type="dxa"/>
            <w:vAlign w:val="bottom"/>
            <w:tcBorders>
              <w:left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7"/>
                <w:szCs w:val="17"/>
                <w:color w:val="0000EE"/>
                <w:w w:val="82"/>
              </w:rPr>
              <w:t>32</w:t>
            </w:r>
          </w:p>
        </w:tc>
        <w:tc>
          <w:tcPr>
            <w:tcW w:w="14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996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7"/>
                <w:szCs w:val="17"/>
                <w:color w:val="auto"/>
              </w:rPr>
              <w:t>Section 1350 Certifications</w:t>
            </w:r>
          </w:p>
        </w:tc>
      </w:tr>
      <w:tr>
        <w:trPr>
          <w:trHeight w:val="25"/>
        </w:trPr>
        <w:tc>
          <w:tcPr>
            <w:tcW w:w="140" w:type="dxa"/>
            <w:vAlign w:val="bottom"/>
            <w:tcBorders>
              <w:left w:val="single" w:sz="8" w:color="auto"/>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960" w:type="dxa"/>
            <w:vAlign w:val="bottom"/>
            <w:tcBorders>
              <w:bottom w:val="single" w:sz="8" w:color="auto"/>
              <w:right w:val="single" w:sz="8" w:color="auto"/>
            </w:tcBorders>
          </w:tcPr>
          <w:p>
            <w:pPr>
              <w:spacing w:after="0"/>
              <w:rPr>
                <w:sz w:val="2"/>
                <w:szCs w:val="2"/>
                <w:color w:val="auto"/>
              </w:rPr>
            </w:pPr>
          </w:p>
        </w:tc>
      </w:tr>
      <w:tr>
        <w:trPr>
          <w:trHeight w:val="189"/>
        </w:trPr>
        <w:tc>
          <w:tcPr>
            <w:tcW w:w="1280" w:type="dxa"/>
            <w:vAlign w:val="bottom"/>
            <w:tcBorders>
              <w:left w:val="single" w:sz="8" w:color="auto"/>
              <w:right w:val="single" w:sz="8" w:color="auto"/>
            </w:tcBorders>
            <w:gridSpan w:val="4"/>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101.INS</w:t>
            </w:r>
          </w:p>
        </w:tc>
        <w:tc>
          <w:tcPr>
            <w:tcW w:w="996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 XBRL tags are embedded</w:t>
            </w:r>
          </w:p>
        </w:tc>
      </w:tr>
      <w:tr>
        <w:trPr>
          <w:trHeight w:val="232"/>
        </w:trPr>
        <w:tc>
          <w:tcPr>
            <w:tcW w:w="140" w:type="dxa"/>
            <w:vAlign w:val="bottom"/>
            <w:tcBorders>
              <w:left w:val="single" w:sz="8" w:color="auto"/>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99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14"/>
        </w:trPr>
        <w:tc>
          <w:tcPr>
            <w:tcW w:w="1280" w:type="dxa"/>
            <w:vAlign w:val="bottom"/>
            <w:tcBorders>
              <w:left w:val="single" w:sz="8" w:color="auto"/>
              <w:bottom w:val="single" w:sz="8" w:color="auto"/>
              <w:right w:val="single" w:sz="8" w:color="auto"/>
            </w:tcBorders>
            <w:gridSpan w:val="4"/>
          </w:tcPr>
          <w:p>
            <w:pPr>
              <w:ind w:left="140"/>
              <w:spacing w:after="0"/>
              <w:rPr>
                <w:sz w:val="20"/>
                <w:szCs w:val="20"/>
                <w:color w:val="auto"/>
              </w:rPr>
            </w:pPr>
            <w:r>
              <w:rPr>
                <w:rFonts w:ascii="Times New Roman" w:cs="Times New Roman" w:eastAsia="Times New Roman" w:hAnsi="Times New Roman"/>
                <w:sz w:val="17"/>
                <w:szCs w:val="17"/>
                <w:color w:val="auto"/>
              </w:rPr>
              <w:t>101.SCH</w:t>
            </w:r>
          </w:p>
        </w:tc>
        <w:tc>
          <w:tcPr>
            <w:tcW w:w="99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14"/>
        </w:trPr>
        <w:tc>
          <w:tcPr>
            <w:tcW w:w="1280" w:type="dxa"/>
            <w:vAlign w:val="bottom"/>
            <w:tcBorders>
              <w:left w:val="single" w:sz="8" w:color="auto"/>
              <w:bottom w:val="single" w:sz="8" w:color="auto"/>
              <w:right w:val="single" w:sz="8" w:color="auto"/>
            </w:tcBorders>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101.CAL</w:t>
            </w:r>
          </w:p>
        </w:tc>
        <w:tc>
          <w:tcPr>
            <w:tcW w:w="99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14"/>
        </w:trPr>
        <w:tc>
          <w:tcPr>
            <w:tcW w:w="1280" w:type="dxa"/>
            <w:vAlign w:val="bottom"/>
            <w:tcBorders>
              <w:left w:val="single" w:sz="8" w:color="auto"/>
              <w:bottom w:val="single" w:sz="8" w:color="auto"/>
              <w:right w:val="single" w:sz="8" w:color="auto"/>
            </w:tcBorders>
            <w:gridSpan w:val="4"/>
          </w:tcPr>
          <w:p>
            <w:pPr>
              <w:ind w:left="140"/>
              <w:spacing w:after="0"/>
              <w:rPr>
                <w:sz w:val="20"/>
                <w:szCs w:val="20"/>
                <w:color w:val="auto"/>
              </w:rPr>
            </w:pPr>
            <w:r>
              <w:rPr>
                <w:rFonts w:ascii="Times New Roman" w:cs="Times New Roman" w:eastAsia="Times New Roman" w:hAnsi="Times New Roman"/>
                <w:sz w:val="17"/>
                <w:szCs w:val="17"/>
                <w:color w:val="auto"/>
              </w:rPr>
              <w:t>101.DEF</w:t>
            </w:r>
          </w:p>
        </w:tc>
        <w:tc>
          <w:tcPr>
            <w:tcW w:w="99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14"/>
        </w:trPr>
        <w:tc>
          <w:tcPr>
            <w:tcW w:w="1280" w:type="dxa"/>
            <w:vAlign w:val="bottom"/>
            <w:tcBorders>
              <w:left w:val="single" w:sz="8" w:color="auto"/>
              <w:bottom w:val="single" w:sz="8" w:color="auto"/>
              <w:right w:val="single" w:sz="8" w:color="auto"/>
            </w:tcBorders>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101.LAB</w:t>
            </w:r>
          </w:p>
        </w:tc>
        <w:tc>
          <w:tcPr>
            <w:tcW w:w="99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r>
      <w:tr>
        <w:trPr>
          <w:trHeight w:val="214"/>
        </w:trPr>
        <w:tc>
          <w:tcPr>
            <w:tcW w:w="1280" w:type="dxa"/>
            <w:vAlign w:val="bottom"/>
            <w:tcBorders>
              <w:left w:val="single" w:sz="8" w:color="auto"/>
              <w:bottom w:val="single" w:sz="8" w:color="auto"/>
              <w:right w:val="single" w:sz="8" w:color="auto"/>
            </w:tcBorders>
            <w:gridSpan w:val="4"/>
          </w:tcPr>
          <w:p>
            <w:pPr>
              <w:ind w:left="140"/>
              <w:spacing w:after="0"/>
              <w:rPr>
                <w:sz w:val="20"/>
                <w:szCs w:val="20"/>
                <w:color w:val="auto"/>
              </w:rPr>
            </w:pPr>
            <w:r>
              <w:rPr>
                <w:rFonts w:ascii="Times New Roman" w:cs="Times New Roman" w:eastAsia="Times New Roman" w:hAnsi="Times New Roman"/>
                <w:sz w:val="17"/>
                <w:szCs w:val="17"/>
                <w:color w:val="auto"/>
              </w:rPr>
              <w:t>101.PRE</w:t>
            </w:r>
          </w:p>
        </w:tc>
        <w:tc>
          <w:tcPr>
            <w:tcW w:w="99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14"/>
        </w:trPr>
        <w:tc>
          <w:tcPr>
            <w:tcW w:w="440" w:type="dxa"/>
            <w:vAlign w:val="bottom"/>
            <w:tcBorders>
              <w:left w:val="single" w:sz="8" w:color="auto"/>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104</w:t>
            </w: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99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r>
        <w:trPr>
          <w:trHeight w:val="548"/>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960" w:type="dxa"/>
            <w:vAlign w:val="bottom"/>
          </w:tcPr>
          <w:p>
            <w:pPr>
              <w:ind w:left="4200"/>
              <w:spacing w:after="0"/>
              <w:rPr>
                <w:sz w:val="20"/>
                <w:szCs w:val="20"/>
                <w:color w:val="auto"/>
              </w:rPr>
            </w:pPr>
            <w:r>
              <w:rPr>
                <w:rFonts w:ascii="Times New Roman" w:cs="Times New Roman" w:eastAsia="Times New Roman" w:hAnsi="Times New Roman"/>
                <w:sz w:val="14"/>
                <w:szCs w:val="14"/>
                <w:color w:val="auto"/>
              </w:rPr>
              <w:t>- 47 -</w:t>
            </w:r>
          </w:p>
        </w:tc>
      </w:tr>
      <w:tr>
        <w:trPr>
          <w:trHeight w:val="42"/>
        </w:trPr>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9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2" w:lineRule="exact"/>
        <w:rPr>
          <w:sz w:val="20"/>
          <w:szCs w:val="20"/>
          <w:color w:val="auto"/>
        </w:rPr>
      </w:pPr>
    </w:p>
    <w:p>
      <w:pPr>
        <w:ind w:firstLine="467"/>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Quarterly Report on Form 10-Q to be signed on its behalf by the undersigned, thereunto duly authorized, in New York, New York, on this 7th day of August 2024.</w:t>
      </w:r>
    </w:p>
    <w:p>
      <w:pPr>
        <w:spacing w:after="0" w:line="14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  /s/ Stephen C. Walker</w:t>
      </w:r>
    </w:p>
    <w:p>
      <w:pPr>
        <w:spacing w:after="0" w:line="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Name: Stephen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-120015</wp:posOffset>
            </wp:positionV>
            <wp:extent cx="107124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71245" cy="1651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13740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10.1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Package for the Taboola.com Ltd. Board of Directors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as of May 28,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Non-Employee Director Compensation</w:t>
      </w:r>
    </w:p>
    <w:p>
      <w:pPr>
        <w:spacing w:after="0" w:line="220" w:lineRule="exact"/>
        <w:rPr>
          <w:sz w:val="20"/>
          <w:szCs w:val="20"/>
          <w:color w:val="auto"/>
        </w:rPr>
      </w:pPr>
    </w:p>
    <w:tbl>
      <w:tblPr>
        <w:tblLayout w:type="fixed"/>
        <w:tblInd w:w="1710" w:type="dxa"/>
        <w:tblCellMar>
          <w:top w:w="0" w:type="dxa"/>
          <w:left w:w="0" w:type="dxa"/>
          <w:bottom w:w="0" w:type="dxa"/>
          <w:right w:w="0" w:type="dxa"/>
        </w:tblCellMar>
      </w:tblPr>
      <w:tr>
        <w:trPr>
          <w:trHeight w:val="254"/>
        </w:trPr>
        <w:tc>
          <w:tcPr>
            <w:tcW w:w="4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Compensation Element</w:t>
            </w:r>
          </w:p>
        </w:tc>
        <w:tc>
          <w:tcPr>
            <w:tcW w:w="2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193"/>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r>
      <w:tr>
        <w:trPr>
          <w:trHeight w:val="228"/>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Board Annual Cash Retainer</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$40,000</w:t>
            </w:r>
          </w:p>
        </w:tc>
      </w:tr>
      <w:tr>
        <w:trPr>
          <w:trHeight w:val="193"/>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r>
      <w:tr>
        <w:trPr>
          <w:trHeight w:val="228"/>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Initial Equity Award (for new directors)</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$360,000</w:t>
            </w:r>
          </w:p>
        </w:tc>
      </w:tr>
      <w:tr>
        <w:trPr>
          <w:trHeight w:val="193"/>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r>
      <w:tr>
        <w:trPr>
          <w:trHeight w:val="228"/>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Annual RSU Award</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$190,000</w:t>
            </w:r>
          </w:p>
        </w:tc>
      </w:tr>
      <w:tr>
        <w:trPr>
          <w:trHeight w:val="193"/>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r>
      <w:tr>
        <w:trPr>
          <w:trHeight w:val="187"/>
        </w:trPr>
        <w:tc>
          <w:tcPr>
            <w:tcW w:w="4940" w:type="dxa"/>
            <w:vAlign w:val="bottom"/>
            <w:tcBorders>
              <w:left w:val="single" w:sz="8" w:color="auto"/>
              <w:right w:val="single" w:sz="8" w:color="auto"/>
            </w:tcBorders>
          </w:tcPr>
          <w:p>
            <w:pPr>
              <w:ind w:left="100"/>
              <w:spacing w:after="0" w:line="187" w:lineRule="exact"/>
              <w:rPr>
                <w:sz w:val="20"/>
                <w:szCs w:val="20"/>
                <w:color w:val="auto"/>
              </w:rPr>
            </w:pPr>
            <w:r>
              <w:rPr>
                <w:rFonts w:ascii="Times New Roman" w:cs="Times New Roman" w:eastAsia="Times New Roman" w:hAnsi="Times New Roman"/>
                <w:sz w:val="17"/>
                <w:szCs w:val="17"/>
                <w:b w:val="1"/>
                <w:bCs w:val="1"/>
                <w:color w:val="auto"/>
              </w:rPr>
              <w:t>Total Board Comp</w:t>
            </w:r>
          </w:p>
        </w:tc>
        <w:tc>
          <w:tcPr>
            <w:tcW w:w="2920" w:type="dxa"/>
            <w:vAlign w:val="bottom"/>
            <w:tcBorders>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7"/>
                <w:szCs w:val="17"/>
                <w:color w:val="auto"/>
              </w:rPr>
              <w:t>$230,000</w:t>
            </w:r>
          </w:p>
        </w:tc>
      </w:tr>
      <w:tr>
        <w:trPr>
          <w:trHeight w:val="228"/>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(Sum of: Annual Cash Retainer + Annual Equity Award)</w:t>
            </w:r>
          </w:p>
        </w:tc>
        <w:tc>
          <w:tcPr>
            <w:tcW w:w="2920" w:type="dxa"/>
            <w:vAlign w:val="bottom"/>
            <w:tcBorders>
              <w:right w:val="single" w:sz="8" w:color="auto"/>
            </w:tcBorders>
          </w:tcPr>
          <w:p>
            <w:pPr>
              <w:spacing w:after="0"/>
              <w:rPr>
                <w:sz w:val="19"/>
                <w:szCs w:val="19"/>
                <w:color w:val="auto"/>
              </w:rPr>
            </w:pPr>
          </w:p>
        </w:tc>
      </w:tr>
      <w:tr>
        <w:trPr>
          <w:trHeight w:val="214"/>
        </w:trPr>
        <w:tc>
          <w:tcPr>
            <w:tcW w:w="494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r>
      <w:tr>
        <w:trPr>
          <w:trHeight w:val="187"/>
        </w:trPr>
        <w:tc>
          <w:tcPr>
            <w:tcW w:w="4940" w:type="dxa"/>
            <w:vAlign w:val="bottom"/>
            <w:tcBorders>
              <w:left w:val="single" w:sz="8" w:color="auto"/>
              <w:right w:val="single" w:sz="8" w:color="auto"/>
            </w:tcBorders>
          </w:tcPr>
          <w:p>
            <w:pPr>
              <w:ind w:left="100"/>
              <w:spacing w:after="0" w:line="187" w:lineRule="exact"/>
              <w:rPr>
                <w:sz w:val="20"/>
                <w:szCs w:val="20"/>
                <w:color w:val="auto"/>
              </w:rPr>
            </w:pPr>
            <w:r>
              <w:rPr>
                <w:rFonts w:ascii="Times New Roman" w:cs="Times New Roman" w:eastAsia="Times New Roman" w:hAnsi="Times New Roman"/>
                <w:sz w:val="17"/>
                <w:szCs w:val="17"/>
                <w:b w:val="1"/>
                <w:bCs w:val="1"/>
                <w:color w:val="auto"/>
              </w:rPr>
              <w:t>Audit Committee Chair</w:t>
            </w:r>
          </w:p>
        </w:tc>
        <w:tc>
          <w:tcPr>
            <w:tcW w:w="2920" w:type="dxa"/>
            <w:vAlign w:val="bottom"/>
            <w:tcBorders>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7"/>
                <w:szCs w:val="17"/>
                <w:color w:val="auto"/>
              </w:rPr>
              <w:t>$20,000</w:t>
            </w:r>
          </w:p>
        </w:tc>
      </w:tr>
      <w:tr>
        <w:trPr>
          <w:trHeight w:val="228"/>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Audit Committee Member</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$10,000</w:t>
            </w:r>
          </w:p>
        </w:tc>
      </w:tr>
      <w:tr>
        <w:trPr>
          <w:trHeight w:val="214"/>
        </w:trPr>
        <w:tc>
          <w:tcPr>
            <w:tcW w:w="494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r>
      <w:tr>
        <w:trPr>
          <w:trHeight w:val="187"/>
        </w:trPr>
        <w:tc>
          <w:tcPr>
            <w:tcW w:w="4940" w:type="dxa"/>
            <w:vAlign w:val="bottom"/>
            <w:tcBorders>
              <w:left w:val="single" w:sz="8" w:color="auto"/>
              <w:right w:val="single" w:sz="8" w:color="auto"/>
            </w:tcBorders>
          </w:tcPr>
          <w:p>
            <w:pPr>
              <w:ind w:left="100"/>
              <w:spacing w:after="0" w:line="187" w:lineRule="exact"/>
              <w:rPr>
                <w:sz w:val="20"/>
                <w:szCs w:val="20"/>
                <w:color w:val="auto"/>
              </w:rPr>
            </w:pPr>
            <w:r>
              <w:rPr>
                <w:rFonts w:ascii="Times New Roman" w:cs="Times New Roman" w:eastAsia="Times New Roman" w:hAnsi="Times New Roman"/>
                <w:sz w:val="17"/>
                <w:szCs w:val="17"/>
                <w:b w:val="1"/>
                <w:bCs w:val="1"/>
                <w:color w:val="auto"/>
              </w:rPr>
              <w:t>Comp Committee Chair</w:t>
            </w:r>
          </w:p>
        </w:tc>
        <w:tc>
          <w:tcPr>
            <w:tcW w:w="2920" w:type="dxa"/>
            <w:vAlign w:val="bottom"/>
            <w:tcBorders>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7"/>
                <w:szCs w:val="17"/>
                <w:color w:val="auto"/>
              </w:rPr>
              <w:t>$15,000</w:t>
            </w:r>
          </w:p>
        </w:tc>
      </w:tr>
      <w:tr>
        <w:trPr>
          <w:trHeight w:val="228"/>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Comp Committee Member</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$7,500</w:t>
            </w:r>
          </w:p>
        </w:tc>
      </w:tr>
      <w:tr>
        <w:trPr>
          <w:trHeight w:val="214"/>
        </w:trPr>
        <w:tc>
          <w:tcPr>
            <w:tcW w:w="494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r>
      <w:tr>
        <w:trPr>
          <w:trHeight w:val="187"/>
        </w:trPr>
        <w:tc>
          <w:tcPr>
            <w:tcW w:w="4940" w:type="dxa"/>
            <w:vAlign w:val="bottom"/>
            <w:tcBorders>
              <w:left w:val="single" w:sz="8" w:color="auto"/>
              <w:right w:val="single" w:sz="8" w:color="auto"/>
            </w:tcBorders>
          </w:tcPr>
          <w:p>
            <w:pPr>
              <w:ind w:left="100"/>
              <w:spacing w:after="0" w:line="187" w:lineRule="exact"/>
              <w:rPr>
                <w:sz w:val="20"/>
                <w:szCs w:val="20"/>
                <w:color w:val="auto"/>
              </w:rPr>
            </w:pPr>
            <w:r>
              <w:rPr>
                <w:rFonts w:ascii="Times New Roman" w:cs="Times New Roman" w:eastAsia="Times New Roman" w:hAnsi="Times New Roman"/>
                <w:sz w:val="17"/>
                <w:szCs w:val="17"/>
                <w:b w:val="1"/>
                <w:bCs w:val="1"/>
                <w:color w:val="auto"/>
              </w:rPr>
              <w:t>Nom/Gov. or other Committee Chair</w:t>
            </w:r>
          </w:p>
        </w:tc>
        <w:tc>
          <w:tcPr>
            <w:tcW w:w="2920" w:type="dxa"/>
            <w:vAlign w:val="bottom"/>
            <w:tcBorders>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7"/>
                <w:szCs w:val="17"/>
                <w:color w:val="auto"/>
              </w:rPr>
              <w:t>$8,000</w:t>
            </w:r>
          </w:p>
        </w:tc>
      </w:tr>
      <w:tr>
        <w:trPr>
          <w:trHeight w:val="228"/>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Nom/Gov. or other Committee Member</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$4,000</w:t>
            </w:r>
          </w:p>
        </w:tc>
      </w:tr>
      <w:tr>
        <w:trPr>
          <w:trHeight w:val="214"/>
        </w:trPr>
        <w:tc>
          <w:tcPr>
            <w:tcW w:w="494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r>
      <w:tr>
        <w:trPr>
          <w:trHeight w:val="228"/>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Additional Premium for Board Chair</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$100,000</w:t>
            </w:r>
          </w:p>
        </w:tc>
      </w:tr>
      <w:tr>
        <w:trPr>
          <w:trHeight w:val="193"/>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r>
      <w:tr>
        <w:trPr>
          <w:trHeight w:val="189"/>
        </w:trPr>
        <w:tc>
          <w:tcPr>
            <w:tcW w:w="4940" w:type="dxa"/>
            <w:vAlign w:val="bottom"/>
            <w:tcBorders>
              <w:left w:val="single" w:sz="8" w:color="auto"/>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b w:val="1"/>
                <w:bCs w:val="1"/>
                <w:color w:val="auto"/>
              </w:rPr>
              <w:t>Stock Ownership Guidelines</w:t>
            </w:r>
          </w:p>
        </w:tc>
        <w:tc>
          <w:tcPr>
            <w:tcW w:w="29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7"/>
                <w:szCs w:val="17"/>
                <w:color w:val="auto"/>
              </w:rPr>
              <w:t>4x annual cash retainer</w:t>
            </w:r>
          </w:p>
        </w:tc>
      </w:tr>
      <w:tr>
        <w:trPr>
          <w:trHeight w:val="232"/>
        </w:trPr>
        <w:tc>
          <w:tcPr>
            <w:tcW w:w="4940" w:type="dxa"/>
            <w:vAlign w:val="bottom"/>
            <w:tcBorders>
              <w:left w:val="single" w:sz="8" w:color="auto"/>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Time to achieve: 5 years</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Benefits to Non-Employee Directors and Employee Directors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Taboola.com Ltd. (“Company”) may offer benefits, in addition to the benefits covered by Company policies, comparable to customary market practices to members of the Board of Directors, including employee directors (“Board”), in connection with the performance of their duties and as it relates to employee directors as determined by the Board in a particular instance, such as, but not limited to: ground transportation, safety, security and protection measures (including at household premises and for family members), cellular and landline phone benefits, company car and travel benefits, business travel including a daily stipend when traveling and other business related expenses, insurances, other benefits (such as newspaper subscriptions, academic and professional studies), etc; provided, however, that such additional benefits shall be determined in accordance with Company procedures and not to exceed $150,000 per annum in the aggregate (before tax gross up) for all persons receiving such additional benefits. The Board shall determine from time to time whether one or more of its members shall receive such additional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304165</wp:posOffset>
            </wp:positionV>
            <wp:extent cx="713740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31.1</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Adam Singolda, certify that:</w:t>
      </w:r>
    </w:p>
    <w:p>
      <w:pPr>
        <w:spacing w:after="0" w:line="220" w:lineRule="exact"/>
        <w:rPr>
          <w:sz w:val="20"/>
          <w:szCs w:val="20"/>
          <w:color w:val="auto"/>
        </w:rPr>
      </w:pPr>
    </w:p>
    <w:p>
      <w:pPr>
        <w:ind w:left="180" w:hanging="176"/>
        <w:spacing w:after="0"/>
        <w:tabs>
          <w:tab w:leader="none" w:pos="1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Taboola.com Ltd.;</w:t>
      </w:r>
    </w:p>
    <w:p>
      <w:pPr>
        <w:spacing w:after="0" w:line="219" w:lineRule="exact"/>
        <w:rPr>
          <w:rFonts w:ascii="Times New Roman" w:cs="Times New Roman" w:eastAsia="Times New Roman" w:hAnsi="Times New Roman"/>
          <w:sz w:val="17"/>
          <w:szCs w:val="17"/>
          <w:color w:val="auto"/>
        </w:rPr>
      </w:pPr>
    </w:p>
    <w:p>
      <w:pPr>
        <w:ind w:right="220" w:firstLine="4"/>
        <w:spacing w:after="0" w:line="292" w:lineRule="auto"/>
        <w:tabs>
          <w:tab w:leader="none" w:pos="17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sz w:val="20"/>
          <w:szCs w:val="20"/>
          <w:color w:val="auto"/>
        </w:rPr>
      </w:pPr>
    </w:p>
    <w:p>
      <w:pPr>
        <w:jc w:val="both"/>
        <w:ind w:right="200"/>
        <w:spacing w:after="0" w:line="273" w:lineRule="auto"/>
        <w:rPr>
          <w:sz w:val="20"/>
          <w:szCs w:val="20"/>
          <w:color w:val="auto"/>
        </w:rPr>
      </w:pPr>
      <w:r>
        <w:rPr>
          <w:rFonts w:ascii="Times New Roman" w:cs="Times New Roman" w:eastAsia="Times New Roman" w:hAnsi="Times New Roman"/>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sz w:val="20"/>
          <w:szCs w:val="20"/>
          <w:color w:val="auto"/>
        </w:rPr>
      </w:pPr>
    </w:p>
    <w:p>
      <w:pPr>
        <w:ind w:left="620" w:right="60" w:firstLine="7"/>
        <w:spacing w:after="0" w:line="273" w:lineRule="auto"/>
        <w:tabs>
          <w:tab w:leader="none" w:pos="85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ind w:left="620" w:right="40" w:firstLine="7"/>
        <w:spacing w:after="0" w:line="273" w:lineRule="auto"/>
        <w:tabs>
          <w:tab w:leader="none" w:pos="86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620" w:right="100" w:firstLine="7"/>
        <w:spacing w:after="0" w:line="292" w:lineRule="auto"/>
        <w:tabs>
          <w:tab w:leader="none" w:pos="85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ind w:left="620" w:right="520" w:firstLine="7"/>
        <w:spacing w:after="0" w:line="292" w:lineRule="auto"/>
        <w:tabs>
          <w:tab w:leader="none" w:pos="86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7" w:lineRule="exact"/>
        <w:rPr>
          <w:rFonts w:ascii="Times New Roman" w:cs="Times New Roman" w:eastAsia="Times New Roman" w:hAnsi="Times New Roman"/>
          <w:sz w:val="17"/>
          <w:szCs w:val="17"/>
          <w:color w:val="auto"/>
        </w:rPr>
      </w:pPr>
    </w:p>
    <w:p>
      <w:pPr>
        <w:ind w:right="80" w:firstLine="4"/>
        <w:spacing w:after="0" w:line="292" w:lineRule="auto"/>
        <w:tabs>
          <w:tab w:leader="none" w:pos="17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620" w:right="40" w:firstLine="7"/>
        <w:spacing w:after="0" w:line="292" w:lineRule="auto"/>
        <w:tabs>
          <w:tab w:leader="none" w:pos="85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620" w:right="60" w:firstLine="7"/>
        <w:spacing w:after="0" w:line="292" w:lineRule="auto"/>
        <w:tabs>
          <w:tab w:leader="none" w:pos="86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7, 2024</w:t>
            </w:r>
          </w:p>
        </w:tc>
        <w:tc>
          <w:tcPr>
            <w:tcW w:w="7680" w:type="dxa"/>
            <w:vAlign w:val="bottom"/>
            <w:gridSpan w:val="3"/>
          </w:tcPr>
          <w:p>
            <w:pPr>
              <w:ind w:left="2080"/>
              <w:spacing w:after="0"/>
              <w:rPr>
                <w:sz w:val="20"/>
                <w:szCs w:val="20"/>
                <w:color w:val="auto"/>
              </w:rPr>
            </w:pPr>
            <w:r>
              <w:rPr>
                <w:rFonts w:ascii="Times New Roman" w:cs="Times New Roman" w:eastAsia="Times New Roman" w:hAnsi="Times New Roman"/>
                <w:sz w:val="17"/>
                <w:szCs w:val="17"/>
                <w:color w:val="auto"/>
              </w:rPr>
              <w:t>By: /s/ Adam Singolda</w:t>
            </w:r>
          </w:p>
        </w:tc>
      </w:tr>
      <w:tr>
        <w:trPr>
          <w:trHeight w:val="208"/>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Adam Singolda</w:t>
            </w:r>
          </w:p>
        </w:tc>
        <w:tc>
          <w:tcPr>
            <w:tcW w:w="4000" w:type="dxa"/>
            <w:vAlign w:val="bottom"/>
          </w:tcPr>
          <w:p>
            <w:pPr>
              <w:spacing w:after="0"/>
              <w:rPr>
                <w:sz w:val="18"/>
                <w:szCs w:val="18"/>
                <w:color w:val="auto"/>
              </w:rPr>
            </w:pPr>
          </w:p>
        </w:tc>
      </w:tr>
      <w:tr>
        <w:trPr>
          <w:trHeight w:val="206"/>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8"/>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r>
      <w:tr>
        <w:trPr>
          <w:trHeight w:val="499"/>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31.2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Stephen Walker, certify that:</w:t>
      </w:r>
    </w:p>
    <w:p>
      <w:pPr>
        <w:spacing w:after="0" w:line="220" w:lineRule="exact"/>
        <w:rPr>
          <w:sz w:val="20"/>
          <w:szCs w:val="20"/>
          <w:color w:val="auto"/>
        </w:rPr>
      </w:pPr>
    </w:p>
    <w:p>
      <w:pPr>
        <w:ind w:left="180" w:hanging="176"/>
        <w:spacing w:after="0"/>
        <w:tabs>
          <w:tab w:leader="none" w:pos="1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Taboola.com Ltd.;</w:t>
      </w:r>
    </w:p>
    <w:p>
      <w:pPr>
        <w:spacing w:after="0" w:line="219" w:lineRule="exact"/>
        <w:rPr>
          <w:rFonts w:ascii="Times New Roman" w:cs="Times New Roman" w:eastAsia="Times New Roman" w:hAnsi="Times New Roman"/>
          <w:sz w:val="17"/>
          <w:szCs w:val="17"/>
          <w:color w:val="auto"/>
        </w:rPr>
      </w:pPr>
    </w:p>
    <w:p>
      <w:pPr>
        <w:ind w:right="220" w:firstLine="4"/>
        <w:spacing w:after="0" w:line="292" w:lineRule="auto"/>
        <w:tabs>
          <w:tab w:leader="none" w:pos="17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right="160" w:firstLine="4"/>
        <w:spacing w:after="0" w:line="273" w:lineRule="auto"/>
        <w:tabs>
          <w:tab w:leader="none" w:pos="17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780" w:right="140" w:firstLine="3"/>
        <w:spacing w:after="0" w:line="273" w:lineRule="auto"/>
        <w:tabs>
          <w:tab w:leader="none" w:pos="101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ind w:left="780" w:right="340" w:firstLine="3"/>
        <w:spacing w:after="0" w:line="273" w:lineRule="auto"/>
        <w:tabs>
          <w:tab w:leader="none" w:pos="102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780" w:right="900" w:firstLine="3"/>
        <w:spacing w:after="0" w:line="292" w:lineRule="auto"/>
        <w:tabs>
          <w:tab w:leader="none" w:pos="101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ind w:left="780" w:right="360" w:firstLine="3"/>
        <w:spacing w:after="0" w:line="292" w:lineRule="auto"/>
        <w:tabs>
          <w:tab w:leader="none" w:pos="102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7" w:lineRule="exact"/>
        <w:rPr>
          <w:rFonts w:ascii="Times New Roman" w:cs="Times New Roman" w:eastAsia="Times New Roman" w:hAnsi="Times New Roman"/>
          <w:sz w:val="17"/>
          <w:szCs w:val="17"/>
          <w:color w:val="auto"/>
        </w:rPr>
      </w:pPr>
    </w:p>
    <w:p>
      <w:pPr>
        <w:ind w:right="80" w:firstLine="4"/>
        <w:spacing w:after="0" w:line="292" w:lineRule="auto"/>
        <w:tabs>
          <w:tab w:leader="none" w:pos="17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780" w:right="320" w:firstLine="3"/>
        <w:spacing w:after="0" w:line="292" w:lineRule="auto"/>
        <w:tabs>
          <w:tab w:leader="none" w:pos="101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780" w:right="260" w:firstLine="3"/>
        <w:spacing w:after="0" w:line="292" w:lineRule="auto"/>
        <w:tabs>
          <w:tab w:leader="none" w:pos="102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7, 2024</w:t>
            </w:r>
          </w:p>
        </w:tc>
        <w:tc>
          <w:tcPr>
            <w:tcW w:w="7680" w:type="dxa"/>
            <w:vAlign w:val="bottom"/>
            <w:gridSpan w:val="3"/>
          </w:tcPr>
          <w:p>
            <w:pPr>
              <w:ind w:left="2080"/>
              <w:spacing w:after="0"/>
              <w:rPr>
                <w:sz w:val="20"/>
                <w:szCs w:val="20"/>
                <w:color w:val="auto"/>
              </w:rPr>
            </w:pPr>
            <w:r>
              <w:rPr>
                <w:rFonts w:ascii="Times New Roman" w:cs="Times New Roman" w:eastAsia="Times New Roman" w:hAnsi="Times New Roman"/>
                <w:sz w:val="17"/>
                <w:szCs w:val="17"/>
                <w:color w:val="auto"/>
              </w:rPr>
              <w:t>By: /s/ Stephen Walker</w:t>
            </w:r>
          </w:p>
        </w:tc>
      </w:tr>
      <w:tr>
        <w:trPr>
          <w:trHeight w:val="208"/>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Stephen Walker</w:t>
            </w:r>
          </w:p>
        </w:tc>
        <w:tc>
          <w:tcPr>
            <w:tcW w:w="3980" w:type="dxa"/>
            <w:vAlign w:val="bottom"/>
          </w:tcPr>
          <w:p>
            <w:pPr>
              <w:spacing w:after="0"/>
              <w:rPr>
                <w:sz w:val="18"/>
                <w:szCs w:val="18"/>
                <w:color w:val="auto"/>
              </w:rPr>
            </w:pPr>
          </w:p>
        </w:tc>
      </w:tr>
      <w:tr>
        <w:trPr>
          <w:trHeight w:val="206"/>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8"/>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r>
      <w:tr>
        <w:trPr>
          <w:trHeight w:val="499"/>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2"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§1350</w:t>
      </w:r>
    </w:p>
    <w:p>
      <w:pPr>
        <w:spacing w:after="0" w:line="201" w:lineRule="exact"/>
        <w:rPr>
          <w:sz w:val="20"/>
          <w:szCs w:val="20"/>
          <w:color w:val="auto"/>
        </w:rPr>
      </w:pPr>
    </w:p>
    <w:p>
      <w:pPr>
        <w:jc w:val="both"/>
        <w:ind w:left="100" w:right="100" w:firstLine="623"/>
        <w:spacing w:after="0" w:line="264" w:lineRule="auto"/>
        <w:rPr>
          <w:sz w:val="20"/>
          <w:szCs w:val="20"/>
          <w:color w:val="auto"/>
        </w:rPr>
      </w:pPr>
      <w:r>
        <w:rPr>
          <w:rFonts w:ascii="Times New Roman" w:cs="Times New Roman" w:eastAsia="Times New Roman" w:hAnsi="Times New Roman"/>
          <w:sz w:val="17"/>
          <w:szCs w:val="17"/>
          <w:color w:val="auto"/>
        </w:rPr>
        <w:t>Solely for the purposes of complying with 18 U.S.C. § 1350, as adopted pursuant to § 906 of the Sarbanes-Oxley Act of 2002, we, the undersigned Chief Executive Officer and Chief Financial Officer of Taboola.com Ltd. (the “Company”), hereby certify, based on our knowledge, that the Quarterly Report on Form 10-Q of the Company for the quarter ended June 30, 2024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7, 2024</w:t>
      </w:r>
    </w:p>
    <w:p>
      <w:pPr>
        <w:spacing w:after="0" w:line="31" w:lineRule="exact"/>
        <w:rPr>
          <w:sz w:val="20"/>
          <w:szCs w:val="20"/>
          <w:color w:val="auto"/>
        </w:rPr>
      </w:pPr>
    </w:p>
    <w:p>
      <w:pPr>
        <w:ind w:left="5540"/>
        <w:spacing w:after="0"/>
        <w:tabs>
          <w:tab w:leader="none" w:pos="59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Adam Singolda</w:t>
      </w:r>
    </w:p>
    <w:p>
      <w:pPr>
        <w:spacing w:after="0" w:line="1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Adam Singolda</w:t>
      </w:r>
    </w:p>
    <w:p>
      <w:pPr>
        <w:spacing w:after="0" w:line="1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left="5540"/>
        <w:spacing w:after="0"/>
        <w:tabs>
          <w:tab w:leader="none" w:pos="59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Stephen Walker</w:t>
      </w:r>
    </w:p>
    <w:p>
      <w:pPr>
        <w:spacing w:after="0" w:line="3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Stephen Walker</w:t>
      </w:r>
    </w:p>
    <w:p>
      <w:pPr>
        <w:spacing w:after="0" w:line="1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320675</wp:posOffset>
            </wp:positionV>
            <wp:extent cx="713740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sectPr>
      <w:pgSz w:w="11900" w:h="16838" w:orient="portrait"/>
      <w:cols w:equalWidth="0" w:num="1">
        <w:col w:w="11240"/>
      </w:cols>
      <w:pgMar w:left="320" w:top="2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lowerLetter"/>
      <w:start w:val="1"/>
    </w:lvl>
    <w:lvl w:ilvl="1">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lowerLetter"/>
      <w:start w:val="1"/>
    </w:lvl>
    <w:lvl w:ilvl="1">
      <w:lvlJc w:val="left"/>
      <w:lvlText w:val="-"/>
      <w:numFmt w:val="bullet"/>
      <w:start w:val="1"/>
    </w:lvl>
  </w:abstractNum>
  <w:abstractNum w:abstractNumId="11">
    <w:nsid w:val="257130A3"/>
    <w:multiLevelType w:val="hybridMultilevel"/>
    <w:lvl w:ilvl="0">
      <w:lvlJc w:val="left"/>
      <w:lvlText w:val="%1."/>
      <w:numFmt w:val="lowerLetter"/>
      <w:start w:val="2"/>
    </w:lvl>
  </w:abstractNum>
  <w:abstractNum w:abstractNumId="12">
    <w:nsid w:val="62BBD95A"/>
    <w:multiLevelType w:val="hybridMultilevel"/>
    <w:lvl w:ilvl="0">
      <w:lvlJc w:val="left"/>
      <w:lvlText w:val="%1."/>
      <w:numFmt w:val="lowerLetter"/>
      <w:start w:val="3"/>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lvl w:ilvl="1">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lvl w:ilvl="1">
      <w:lvlJc w:val="left"/>
      <w:lvlText w:val="(%2)"/>
      <w:numFmt w:val="decimal"/>
      <w:start w:val="2"/>
    </w:lvl>
  </w:abstractNum>
  <w:abstractNum w:abstractNumId="17">
    <w:nsid w:val="2443A858"/>
    <w:multiLevelType w:val="hybridMultilevel"/>
    <w:lvl w:ilvl="0">
      <w:lvlJc w:val="left"/>
      <w:lvlText w:val="(%1)"/>
      <w:numFmt w:val="decimal"/>
      <w:start w:val="1"/>
    </w:lvl>
    <w:lvl w:ilvl="1">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lvl w:ilvl="1">
      <w:lvlJc w:val="left"/>
      <w:lvlText w:val="-"/>
      <w:numFmt w:val="bullet"/>
      <w:start w:val="1"/>
    </w:lvl>
  </w:abstractNum>
  <w:abstractNum w:abstractNumId="22">
    <w:nsid w:val="79838CB2"/>
    <w:multiLevelType w:val="hybridMultilevel"/>
    <w:lvl w:ilvl="0">
      <w:lvlJc w:val="left"/>
      <w:lvlText w:val="(%1)"/>
      <w:numFmt w:val="decimal"/>
      <w:start w:val="1"/>
    </w:lvl>
    <w:lvl w:ilvl="1">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5"/>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2024-08-07T05:22:19Z</dcterms:created>
  <dcterms:modified xsi:type="dcterms:W3CDTF">2024-08-07T05:22:19Z</dcterms:modified>
</cp:coreProperties>
</file>