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Sundjaja Kristy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 MADISON SQ W 7TH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Taboola.com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TBLA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6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gridSpan w:val="6"/>
          </w:tcPr>
          <w:p>
            <w:pPr>
              <w:ind w:left="4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 Securities</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 Reported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 (Instr. 3</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6"/>
                <w:szCs w:val="6"/>
                <w:color w:val="auto"/>
              </w:rPr>
            </w:pPr>
          </w:p>
        </w:tc>
        <w:tc>
          <w:tcPr>
            <w:tcW w:w="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05/16/2026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w w:val="82"/>
              </w:rPr>
              <w:t>F</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50,416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4.99</w:t>
            </w:r>
          </w:p>
        </w:tc>
        <w:tc>
          <w:tcPr>
            <w:tcW w:w="1520" w:type="dxa"/>
            <w:vAlign w:val="bottom"/>
            <w:tcBorders>
              <w:bottom w:val="single" w:sz="8" w:color="2C2C2C"/>
            </w:tcBorders>
            <w:gridSpan w:val="3"/>
          </w:tcPr>
          <w:p>
            <w:pPr>
              <w:ind w:left="60"/>
              <w:spacing w:after="0" w:line="320" w:lineRule="exact"/>
              <w:rPr>
                <w:sz w:val="20"/>
                <w:szCs w:val="20"/>
                <w:color w:val="auto"/>
              </w:rPr>
            </w:pPr>
            <w:r>
              <w:rPr>
                <w:rFonts w:ascii="Times New Roman" w:cs="Times New Roman" w:eastAsia="Times New Roman" w:hAnsi="Times New Roman"/>
                <w:sz w:val="34"/>
                <w:szCs w:val="34"/>
                <w:color w:val="0000FF"/>
                <w:w w:val="92"/>
                <w:vertAlign w:val="subscript"/>
              </w:rPr>
              <w:t>1,490,942</w:t>
            </w:r>
            <w:r>
              <w:rPr>
                <w:rFonts w:ascii="Times New Roman" w:cs="Times New Roman" w:eastAsia="Times New Roman" w:hAnsi="Times New Roman"/>
                <w:sz w:val="11"/>
                <w:szCs w:val="11"/>
                <w:color w:val="008000"/>
                <w:w w:val="92"/>
              </w:rPr>
              <w:t>(2)(3)(4)(5)(6)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to satisfy tax withholding obligations in connection with the vesting of previously awarded Restricted Share Units ("RSUs"). No shares were sold.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474,210 ordinary shares.</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62,054 RSUs which shall vest in equal quarterly installments through 2027,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126,391 RSUs which shall vest in equal quarterly installments through 2028,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283,388 RSUs which shall vest in equal quarterly installments through 2029, subject to the Reporting Person's provision of service to the Issuer on each vesting date. Each RSU represents the right to receive one ordinary share upon vesting and settlement.</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544,899 RSUs which shall vest in equal quarterly installments through 2030, subject to the Reporting Person's provision of service to the Issuer on each vesting date. Each RSU represents the right to receive one ordinary share upon vesting and settlement.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John Ferrantino,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710" TargetMode="External"/><Relationship Id="rId14" Type="http://schemas.openxmlformats.org/officeDocument/2006/relationships/hyperlink" Target="http://www.sec.gov/cgi-bin/browse-edgar?action=getcompany&amp;CIK=0001840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2026-05-19T15:12:47Z</dcterms:created>
  <dcterms:modified xsi:type="dcterms:W3CDTF">2026-05-19T15:12:47Z</dcterms:modified>
</cp:coreProperties>
</file>