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ectPr>
          <w:pgSz w:w="11900" w:h="16838" w:orient="portrait"/>
          <w:cols w:equalWidth="0" w:num="1">
            <w:col w:w="11240"/>
          </w:cols>
          <w:pgMar w:left="320" w:top="272" w:right="339" w:bottom="0" w:gutter="0" w:footer="0" w:header="0"/>
        </w:sectPr>
      </w:pPr>
    </w:p>
    <w:p>
      <w:pPr>
        <w:spacing w:after="0" w:line="200" w:lineRule="exact"/>
        <w:rPr>
          <w:sz w:val="24"/>
          <w:szCs w:val="24"/>
          <w:color w:val="auto"/>
        </w:rPr>
      </w:pPr>
    </w:p>
    <w:p>
      <w:pPr>
        <w:spacing w:after="0" w:line="297" w:lineRule="exact"/>
        <w:rPr>
          <w:sz w:val="24"/>
          <w:szCs w:val="24"/>
          <w:color w:val="auto"/>
        </w:rPr>
      </w:pPr>
    </w:p>
    <w:p>
      <w:pP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color w:val="auto"/>
        </w:rPr>
        <w:t>PURSUANT TO SECTION 13 OR 15(d) OF THE SECURITIES EXCHANGE ACT OF 1934</w:t>
      </w:r>
    </w:p>
    <w:p>
      <w:pPr>
        <w:spacing w:after="0" w:line="3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color w:val="auto"/>
        </w:rPr>
        <w:t>For the fiscal year ended December 31, 2024</w:t>
      </w:r>
    </w:p>
    <w:p>
      <w:pPr>
        <w:spacing w:after="0" w:line="32" w:lineRule="exact"/>
        <w:rPr>
          <w:sz w:val="24"/>
          <w:szCs w:val="24"/>
          <w:color w:val="auto"/>
        </w:rPr>
      </w:pPr>
    </w:p>
    <w:p>
      <w:pPr>
        <w:sectPr>
          <w:pgSz w:w="11900" w:h="16838" w:orient="portrait"/>
          <w:cols w:equalWidth="0" w:num="2">
            <w:col w:w="2120" w:space="720"/>
            <w:col w:w="8400"/>
          </w:cols>
          <w:pgMar w:left="320" w:top="272" w:right="339" w:bottom="0" w:gutter="0" w:footer="0" w:header="0"/>
          <w:type w:val="continuous"/>
        </w:sectPr>
      </w:pPr>
    </w:p>
    <w:p>
      <w:pPr>
        <w:ind w:left="2200" w:hanging="1969"/>
        <w:spacing w:after="0"/>
        <w:tabs>
          <w:tab w:leader="none" w:pos="2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w:t>
      </w:r>
    </w:p>
    <w:p>
      <w:pPr>
        <w:spacing w:after="0" w:line="50" w:lineRule="exact"/>
        <w:rPr>
          <w:rFonts w:ascii="MS PGothic" w:cs="MS PGothic" w:eastAsia="MS PGothic" w:hAnsi="MS PGothic"/>
          <w:sz w:val="16"/>
          <w:szCs w:val="16"/>
          <w:color w:val="auto"/>
        </w:rPr>
      </w:pPr>
    </w:p>
    <w:p>
      <w:pPr>
        <w:ind w:left="37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1934 For the transition period from ___________ to ___________</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58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001-40566</w:t>
            </w:r>
          </w:p>
        </w:tc>
        <w:tc>
          <w:tcPr>
            <w:tcW w:w="3620" w:type="dxa"/>
            <w:vAlign w:val="bottom"/>
          </w:tcPr>
          <w:p>
            <w:pPr>
              <w:spacing w:after="0"/>
              <w:rPr>
                <w:sz w:val="17"/>
                <w:szCs w:val="17"/>
                <w:color w:val="auto"/>
              </w:rPr>
            </w:pPr>
          </w:p>
        </w:tc>
      </w:tr>
      <w:tr>
        <w:trPr>
          <w:trHeight w:val="783"/>
        </w:trPr>
        <w:tc>
          <w:tcPr>
            <w:tcW w:w="35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30"/>
                <w:szCs w:val="30"/>
                <w:b w:val="1"/>
                <w:bCs w:val="1"/>
                <w:color w:val="auto"/>
                <w:w w:val="97"/>
              </w:rPr>
              <w:t>TABOOLA.COM LTD.</w:t>
            </w:r>
          </w:p>
        </w:tc>
        <w:tc>
          <w:tcPr>
            <w:tcW w:w="3620" w:type="dxa"/>
            <w:vAlign w:val="bottom"/>
          </w:tcPr>
          <w:p>
            <w:pPr>
              <w:spacing w:after="0"/>
              <w:rPr>
                <w:sz w:val="24"/>
                <w:szCs w:val="24"/>
                <w:color w:val="auto"/>
              </w:rPr>
            </w:pPr>
          </w:p>
        </w:tc>
      </w:tr>
      <w:tr>
        <w:trPr>
          <w:trHeight w:val="202"/>
        </w:trPr>
        <w:tc>
          <w:tcPr>
            <w:tcW w:w="358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620" w:type="dxa"/>
            <w:vAlign w:val="bottom"/>
          </w:tcPr>
          <w:p>
            <w:pPr>
              <w:spacing w:after="0"/>
              <w:rPr>
                <w:sz w:val="17"/>
                <w:szCs w:val="17"/>
                <w:color w:val="auto"/>
              </w:rPr>
            </w:pPr>
          </w:p>
        </w:tc>
      </w:tr>
      <w:tr>
        <w:trPr>
          <w:trHeight w:val="715"/>
        </w:trPr>
        <w:tc>
          <w:tcPr>
            <w:tcW w:w="35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Israel</w:t>
            </w:r>
          </w:p>
        </w:tc>
        <w:tc>
          <w:tcPr>
            <w:tcW w:w="4040" w:type="dxa"/>
            <w:vAlign w:val="bottom"/>
          </w:tcPr>
          <w:p>
            <w:pPr>
              <w:spacing w:after="0"/>
              <w:rPr>
                <w:sz w:val="24"/>
                <w:szCs w:val="24"/>
                <w:color w:val="auto"/>
              </w:rPr>
            </w:pPr>
          </w:p>
        </w:tc>
        <w:tc>
          <w:tcPr>
            <w:tcW w:w="3620" w:type="dxa"/>
            <w:vAlign w:val="bottom"/>
          </w:tcPr>
          <w:p>
            <w:pPr>
              <w:jc w:val="center"/>
              <w:ind w:right="364"/>
              <w:spacing w:after="0"/>
              <w:rPr>
                <w:sz w:val="20"/>
                <w:szCs w:val="20"/>
                <w:color w:val="auto"/>
              </w:rPr>
            </w:pPr>
            <w:r>
              <w:rPr>
                <w:rFonts w:ascii="Times New Roman" w:cs="Times New Roman" w:eastAsia="Times New Roman" w:hAnsi="Times New Roman"/>
                <w:sz w:val="15"/>
                <w:szCs w:val="15"/>
                <w:color w:val="auto"/>
              </w:rPr>
              <w:t>Not Applicable</w:t>
            </w:r>
          </w:p>
        </w:tc>
      </w:tr>
      <w:tr>
        <w:trPr>
          <w:trHeight w:val="230"/>
        </w:trPr>
        <w:tc>
          <w:tcPr>
            <w:tcW w:w="3580" w:type="dxa"/>
            <w:vAlign w:val="bottom"/>
          </w:tcPr>
          <w:p>
            <w:pPr>
              <w:jc w:val="center"/>
              <w:ind w:left="983"/>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4040" w:type="dxa"/>
            <w:vAlign w:val="bottom"/>
          </w:tcPr>
          <w:p>
            <w:pPr>
              <w:spacing w:after="0"/>
              <w:rPr>
                <w:sz w:val="19"/>
                <w:szCs w:val="19"/>
                <w:color w:val="auto"/>
              </w:rPr>
            </w:pPr>
          </w:p>
        </w:tc>
        <w:tc>
          <w:tcPr>
            <w:tcW w:w="3620" w:type="dxa"/>
            <w:vAlign w:val="bottom"/>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30"/>
        </w:trPr>
        <w:tc>
          <w:tcPr>
            <w:tcW w:w="3580" w:type="dxa"/>
            <w:vAlign w:val="bottom"/>
          </w:tcPr>
          <w:p>
            <w:pPr>
              <w:jc w:val="center"/>
              <w:ind w:left="983"/>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4040" w:type="dxa"/>
            <w:vAlign w:val="bottom"/>
          </w:tcPr>
          <w:p>
            <w:pPr>
              <w:spacing w:after="0"/>
              <w:rPr>
                <w:sz w:val="19"/>
                <w:szCs w:val="19"/>
                <w:color w:val="auto"/>
              </w:rPr>
            </w:pPr>
          </w:p>
        </w:tc>
        <w:tc>
          <w:tcPr>
            <w:tcW w:w="3620" w:type="dxa"/>
            <w:vAlign w:val="bottom"/>
          </w:tcPr>
          <w:p>
            <w:pPr>
              <w:jc w:val="center"/>
              <w:ind w:right="344"/>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r>
        <w:trPr>
          <w:trHeight w:val="230"/>
        </w:trPr>
        <w:tc>
          <w:tcPr>
            <w:tcW w:w="3580" w:type="dxa"/>
            <w:vAlign w:val="bottom"/>
          </w:tcPr>
          <w:p>
            <w:pPr>
              <w:jc w:val="center"/>
              <w:ind w:left="983"/>
              <w:spacing w:after="0"/>
              <w:rPr>
                <w:sz w:val="20"/>
                <w:szCs w:val="20"/>
                <w:color w:val="auto"/>
              </w:rPr>
            </w:pPr>
            <w:r>
              <w:rPr>
                <w:rFonts w:ascii="Times New Roman" w:cs="Times New Roman" w:eastAsia="Times New Roman" w:hAnsi="Times New Roman"/>
                <w:sz w:val="15"/>
                <w:szCs w:val="15"/>
                <w:color w:val="auto"/>
              </w:rPr>
              <w:t>16 Madison Square West</w:t>
            </w:r>
          </w:p>
        </w:tc>
        <w:tc>
          <w:tcPr>
            <w:tcW w:w="404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229"/>
        </w:trPr>
        <w:tc>
          <w:tcPr>
            <w:tcW w:w="3580" w:type="dxa"/>
            <w:vAlign w:val="bottom"/>
          </w:tcPr>
          <w:p>
            <w:pPr>
              <w:jc w:val="center"/>
              <w:ind w:left="983"/>
              <w:spacing w:after="0"/>
              <w:rPr>
                <w:sz w:val="20"/>
                <w:szCs w:val="20"/>
                <w:color w:val="auto"/>
              </w:rPr>
            </w:pPr>
            <w:r>
              <w:rPr>
                <w:rFonts w:ascii="Times New Roman" w:cs="Times New Roman" w:eastAsia="Times New Roman" w:hAnsi="Times New Roman"/>
                <w:sz w:val="15"/>
                <w:szCs w:val="15"/>
                <w:color w:val="auto"/>
              </w:rPr>
              <w:t>7th Floor</w:t>
            </w:r>
          </w:p>
        </w:tc>
        <w:tc>
          <w:tcPr>
            <w:tcW w:w="404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232"/>
        </w:trPr>
        <w:tc>
          <w:tcPr>
            <w:tcW w:w="3580" w:type="dxa"/>
            <w:vAlign w:val="bottom"/>
          </w:tcPr>
          <w:p>
            <w:pPr>
              <w:jc w:val="center"/>
              <w:ind w:left="1003"/>
              <w:spacing w:after="0"/>
              <w:rPr>
                <w:sz w:val="20"/>
                <w:szCs w:val="20"/>
                <w:color w:val="auto"/>
              </w:rPr>
            </w:pPr>
            <w:r>
              <w:rPr>
                <w:rFonts w:ascii="Times New Roman" w:cs="Times New Roman" w:eastAsia="Times New Roman" w:hAnsi="Times New Roman"/>
                <w:sz w:val="16"/>
                <w:szCs w:val="16"/>
                <w:color w:val="auto"/>
              </w:rPr>
              <w:t>New York</w:t>
            </w: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 xml:space="preserve"> NY</w:t>
            </w:r>
          </w:p>
        </w:tc>
        <w:tc>
          <w:tcPr>
            <w:tcW w:w="4040" w:type="dxa"/>
            <w:vAlign w:val="bottom"/>
          </w:tcPr>
          <w:p>
            <w:pPr>
              <w:spacing w:after="0"/>
              <w:rPr>
                <w:sz w:val="20"/>
                <w:szCs w:val="20"/>
                <w:color w:val="auto"/>
              </w:rPr>
            </w:pPr>
          </w:p>
        </w:tc>
        <w:tc>
          <w:tcPr>
            <w:tcW w:w="3620" w:type="dxa"/>
            <w:vAlign w:val="bottom"/>
          </w:tcPr>
          <w:p>
            <w:pPr>
              <w:jc w:val="center"/>
              <w:ind w:right="364"/>
              <w:spacing w:after="0"/>
              <w:rPr>
                <w:sz w:val="20"/>
                <w:szCs w:val="20"/>
                <w:color w:val="auto"/>
              </w:rPr>
            </w:pPr>
            <w:r>
              <w:rPr>
                <w:rFonts w:ascii="Times New Roman" w:cs="Times New Roman" w:eastAsia="Times New Roman" w:hAnsi="Times New Roman"/>
                <w:sz w:val="15"/>
                <w:szCs w:val="15"/>
                <w:color w:val="auto"/>
              </w:rPr>
              <w:t>10010</w:t>
            </w:r>
          </w:p>
        </w:tc>
      </w:tr>
      <w:tr>
        <w:trPr>
          <w:trHeight w:val="187"/>
        </w:trPr>
        <w:tc>
          <w:tcPr>
            <w:tcW w:w="35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(Address of principal executive</w:t>
            </w:r>
          </w:p>
        </w:tc>
        <w:tc>
          <w:tcPr>
            <w:tcW w:w="4040" w:type="dxa"/>
            <w:vAlign w:val="bottom"/>
          </w:tcPr>
          <w:p>
            <w:pPr>
              <w:spacing w:after="0"/>
              <w:rPr>
                <w:sz w:val="16"/>
                <w:szCs w:val="16"/>
                <w:color w:val="auto"/>
              </w:rPr>
            </w:pPr>
          </w:p>
        </w:tc>
        <w:tc>
          <w:tcPr>
            <w:tcW w:w="3620" w:type="dxa"/>
            <w:vAlign w:val="bottom"/>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(Zip code)</w:t>
            </w:r>
          </w:p>
        </w:tc>
      </w:tr>
      <w:tr>
        <w:trPr>
          <w:trHeight w:val="202"/>
        </w:trPr>
        <w:tc>
          <w:tcPr>
            <w:tcW w:w="3580" w:type="dxa"/>
            <w:vAlign w:val="bottom"/>
          </w:tcPr>
          <w:p>
            <w:pPr>
              <w:ind w:left="1580"/>
              <w:spacing w:after="0"/>
              <w:rPr>
                <w:sz w:val="20"/>
                <w:szCs w:val="20"/>
                <w:color w:val="auto"/>
              </w:rPr>
            </w:pPr>
            <w:r>
              <w:rPr>
                <w:rFonts w:ascii="Times New Roman" w:cs="Times New Roman" w:eastAsia="Times New Roman" w:hAnsi="Times New Roman"/>
                <w:sz w:val="15"/>
                <w:szCs w:val="15"/>
                <w:b w:val="1"/>
                <w:bCs w:val="1"/>
                <w:color w:val="auto"/>
              </w:rPr>
              <w:t>offices)</w:t>
            </w:r>
          </w:p>
        </w:tc>
        <w:tc>
          <w:tcPr>
            <w:tcW w:w="404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272"/>
        </w:trPr>
        <w:tc>
          <w:tcPr>
            <w:tcW w:w="3580" w:type="dxa"/>
            <w:vAlign w:val="bottom"/>
          </w:tcPr>
          <w:p>
            <w:pPr>
              <w:spacing w:after="0"/>
              <w:rPr>
                <w:sz w:val="23"/>
                <w:szCs w:val="23"/>
                <w:color w:val="auto"/>
              </w:rPr>
            </w:pPr>
          </w:p>
        </w:tc>
        <w:tc>
          <w:tcPr>
            <w:tcW w:w="4040" w:type="dxa"/>
            <w:vAlign w:val="bottom"/>
          </w:tcPr>
          <w:p>
            <w:pPr>
              <w:jc w:val="right"/>
              <w:ind w:right="1616"/>
              <w:spacing w:after="0"/>
              <w:rPr>
                <w:sz w:val="20"/>
                <w:szCs w:val="20"/>
                <w:color w:val="auto"/>
              </w:rPr>
            </w:pPr>
            <w:r>
              <w:rPr>
                <w:rFonts w:ascii="Times New Roman" w:cs="Times New Roman" w:eastAsia="Times New Roman" w:hAnsi="Times New Roman"/>
                <w:sz w:val="16"/>
                <w:szCs w:val="16"/>
                <w:color w:val="auto"/>
              </w:rPr>
              <w:t>212</w:t>
            </w: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206-7633</w:t>
            </w:r>
          </w:p>
        </w:tc>
        <w:tc>
          <w:tcPr>
            <w:tcW w:w="3620" w:type="dxa"/>
            <w:vAlign w:val="bottom"/>
          </w:tcPr>
          <w:p>
            <w:pPr>
              <w:spacing w:after="0"/>
              <w:rPr>
                <w:sz w:val="23"/>
                <w:szCs w:val="23"/>
                <w:color w:val="auto"/>
              </w:rPr>
            </w:pPr>
          </w:p>
        </w:tc>
      </w:tr>
      <w:tr>
        <w:trPr>
          <w:trHeight w:val="227"/>
        </w:trPr>
        <w:tc>
          <w:tcPr>
            <w:tcW w:w="3580" w:type="dxa"/>
            <w:vAlign w:val="bottom"/>
          </w:tcPr>
          <w:p>
            <w:pPr>
              <w:spacing w:after="0"/>
              <w:rPr>
                <w:sz w:val="19"/>
                <w:szCs w:val="19"/>
                <w:color w:val="auto"/>
              </w:rPr>
            </w:pPr>
          </w:p>
        </w:tc>
        <w:tc>
          <w:tcPr>
            <w:tcW w:w="404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c>
          <w:tcPr>
            <w:tcW w:w="3620" w:type="dxa"/>
            <w:vAlign w:val="bottom"/>
          </w:tcPr>
          <w:p>
            <w:pPr>
              <w:spacing w:after="0"/>
              <w:rPr>
                <w:sz w:val="19"/>
                <w:szCs w:val="19"/>
                <w:color w:val="auto"/>
              </w:rPr>
            </w:pPr>
          </w:p>
        </w:tc>
      </w:tr>
      <w:tr>
        <w:trPr>
          <w:trHeight w:val="581"/>
        </w:trPr>
        <w:tc>
          <w:tcPr>
            <w:tcW w:w="35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20" w:type="dxa"/>
            <w:vAlign w:val="bottom"/>
          </w:tcPr>
          <w:p>
            <w:pPr>
              <w:spacing w:after="0"/>
              <w:rPr>
                <w:sz w:val="24"/>
                <w:szCs w:val="24"/>
                <w:color w:val="auto"/>
              </w:rPr>
            </w:pPr>
          </w:p>
        </w:tc>
      </w:tr>
      <w:tr>
        <w:trPr>
          <w:trHeight w:val="229"/>
        </w:trPr>
        <w:tc>
          <w:tcPr>
            <w:tcW w:w="358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3620" w:type="dxa"/>
            <w:vAlign w:val="bottom"/>
          </w:tcPr>
          <w:p>
            <w:pPr>
              <w:spacing w:after="0"/>
              <w:rPr>
                <w:sz w:val="19"/>
                <w:szCs w:val="19"/>
                <w:color w:val="auto"/>
              </w:rPr>
            </w:pPr>
          </w:p>
        </w:tc>
      </w:tr>
      <w:tr>
        <w:trPr>
          <w:trHeight w:val="230"/>
        </w:trPr>
        <w:tc>
          <w:tcPr>
            <w:tcW w:w="3580" w:type="dxa"/>
            <w:vAlign w:val="bottom"/>
          </w:tcPr>
          <w:p>
            <w:pPr>
              <w:jc w:val="center"/>
              <w:ind w:left="20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Symbol(s)</w:t>
            </w:r>
          </w:p>
        </w:tc>
        <w:tc>
          <w:tcPr>
            <w:tcW w:w="3620" w:type="dxa"/>
            <w:vAlign w:val="bottom"/>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
        </w:trPr>
        <w:tc>
          <w:tcPr>
            <w:tcW w:w="35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17"/>
        </w:trPr>
        <w:tc>
          <w:tcPr>
            <w:tcW w:w="358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Ordinary shares, no par value</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TBLA</w:t>
            </w:r>
          </w:p>
        </w:tc>
        <w:tc>
          <w:tcPr>
            <w:tcW w:w="362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 xml:space="preserve">The Nasdaq Global </w:t>
            </w:r>
            <w:r>
              <w:rPr>
                <w:rFonts w:ascii="Times New Roman" w:cs="Times New Roman" w:eastAsia="Times New Roman" w:hAnsi="Times New Roman"/>
                <w:sz w:val="16"/>
                <w:szCs w:val="16"/>
                <w:color w:val="auto"/>
              </w:rPr>
              <w:t>Select</w:t>
            </w:r>
            <w:r>
              <w:rPr>
                <w:rFonts w:ascii="Times New Roman" w:cs="Times New Roman" w:eastAsia="Times New Roman" w:hAnsi="Times New Roman"/>
                <w:sz w:val="15"/>
                <w:szCs w:val="15"/>
                <w:color w:val="auto"/>
              </w:rPr>
              <w:t xml:space="preserve"> Market</w:t>
            </w:r>
          </w:p>
        </w:tc>
      </w:tr>
      <w:tr>
        <w:trPr>
          <w:trHeight w:val="210"/>
        </w:trPr>
        <w:tc>
          <w:tcPr>
            <w:tcW w:w="3580" w:type="dxa"/>
            <w:vAlign w:val="bottom"/>
          </w:tcPr>
          <w:p>
            <w:pPr>
              <w:jc w:val="center"/>
              <w:ind w:left="203"/>
              <w:spacing w:after="0"/>
              <w:rPr>
                <w:sz w:val="20"/>
                <w:szCs w:val="20"/>
                <w:color w:val="auto"/>
              </w:rPr>
            </w:pPr>
            <w:r>
              <w:rPr>
                <w:rFonts w:ascii="Times New Roman" w:cs="Times New Roman" w:eastAsia="Times New Roman" w:hAnsi="Times New Roman"/>
                <w:sz w:val="15"/>
                <w:szCs w:val="15"/>
                <w:color w:val="auto"/>
              </w:rPr>
              <w:t>Warrants to purchase ordinary shares</w:t>
            </w: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TBLAW</w:t>
            </w:r>
          </w:p>
        </w:tc>
        <w:tc>
          <w:tcPr>
            <w:tcW w:w="362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 xml:space="preserve">The Nasdaq Global </w:t>
            </w:r>
            <w:r>
              <w:rPr>
                <w:rFonts w:ascii="Times New Roman" w:cs="Times New Roman" w:eastAsia="Times New Roman" w:hAnsi="Times New Roman"/>
                <w:sz w:val="16"/>
                <w:szCs w:val="16"/>
                <w:color w:val="auto"/>
              </w:rPr>
              <w:t>Select</w:t>
            </w:r>
            <w:r>
              <w:rPr>
                <w:rFonts w:ascii="Times New Roman" w:cs="Times New Roman" w:eastAsia="Times New Roman" w:hAnsi="Times New Roman"/>
                <w:sz w:val="15"/>
                <w:szCs w:val="15"/>
                <w:color w:val="auto"/>
              </w:rPr>
              <w:t xml:space="preserve"> Market</w:t>
            </w:r>
          </w:p>
        </w:tc>
      </w:tr>
    </w:tbl>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20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41" w:lineRule="exact"/>
        <w:rPr>
          <w:sz w:val="24"/>
          <w:szCs w:val="24"/>
          <w:color w:val="auto"/>
        </w:rPr>
      </w:pPr>
    </w:p>
    <w:p>
      <w:pPr>
        <w:ind w:right="440"/>
        <w:spacing w:after="0" w:line="18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71" w:lineRule="exact"/>
        <w:rPr>
          <w:sz w:val="24"/>
          <w:szCs w:val="24"/>
          <w:color w:val="auto"/>
        </w:rPr>
      </w:pPr>
    </w:p>
    <w:p>
      <w:pPr>
        <w:ind w:right="180"/>
        <w:spacing w:after="0" w:line="18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00" w:type="dxa"/>
        <w:tblCellMar>
          <w:top w:w="0" w:type="dxa"/>
          <w:left w:w="0" w:type="dxa"/>
          <w:bottom w:w="0" w:type="dxa"/>
          <w:right w:w="0" w:type="dxa"/>
        </w:tblCellMar>
      </w:tblPr>
      <w:tr>
        <w:trPr>
          <w:trHeight w:val="185"/>
        </w:trPr>
        <w:tc>
          <w:tcPr>
            <w:tcW w:w="2420" w:type="dxa"/>
            <w:vAlign w:val="bottom"/>
          </w:tcPr>
          <w:p>
            <w:pPr>
              <w:jc w:val="center"/>
              <w:ind w:right="984"/>
              <w:spacing w:after="0"/>
              <w:rPr>
                <w:sz w:val="20"/>
                <w:szCs w:val="20"/>
                <w:color w:val="auto"/>
              </w:rPr>
            </w:pPr>
            <w:r>
              <w:rPr>
                <w:rFonts w:ascii="Times New Roman" w:cs="Times New Roman" w:eastAsia="Times New Roman" w:hAnsi="Times New Roman"/>
                <w:sz w:val="15"/>
                <w:szCs w:val="15"/>
                <w:color w:val="auto"/>
              </w:rPr>
              <w:t>Large accelerated filer</w:t>
            </w:r>
          </w:p>
        </w:tc>
        <w:tc>
          <w:tcPr>
            <w:tcW w:w="2540" w:type="dxa"/>
            <w:vAlign w:val="bottom"/>
          </w:tcPr>
          <w:p>
            <w:pPr>
              <w:ind w:left="104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Accelerated filer</w:t>
            </w:r>
          </w:p>
        </w:tc>
        <w:tc>
          <w:tcPr>
            <w:tcW w:w="1400" w:type="dxa"/>
            <w:vAlign w:val="bottom"/>
          </w:tcPr>
          <w:p>
            <w:pPr>
              <w:ind w:left="12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420" w:type="dxa"/>
            <w:vAlign w:val="bottom"/>
          </w:tcPr>
          <w:p>
            <w:pPr>
              <w:jc w:val="center"/>
              <w:ind w:right="1004"/>
              <w:spacing w:after="0"/>
              <w:rPr>
                <w:sz w:val="20"/>
                <w:szCs w:val="20"/>
                <w:color w:val="auto"/>
              </w:rPr>
            </w:pPr>
            <w:r>
              <w:rPr>
                <w:rFonts w:ascii="Times New Roman" w:cs="Times New Roman" w:eastAsia="Times New Roman" w:hAnsi="Times New Roman"/>
                <w:sz w:val="15"/>
                <w:szCs w:val="15"/>
                <w:color w:val="auto"/>
              </w:rPr>
              <w:t>Non-accelerated filer</w:t>
            </w:r>
          </w:p>
        </w:tc>
        <w:tc>
          <w:tcPr>
            <w:tcW w:w="2540" w:type="dxa"/>
            <w:vAlign w:val="bottom"/>
          </w:tcPr>
          <w:p>
            <w:pPr>
              <w:ind w:left="104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400" w:type="dxa"/>
            <w:vAlign w:val="bottom"/>
          </w:tcPr>
          <w:p>
            <w:pPr>
              <w:ind w:left="12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1"/>
        </w:trPr>
        <w:tc>
          <w:tcPr>
            <w:tcW w:w="24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2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Emerging growth company</w:t>
            </w:r>
          </w:p>
        </w:tc>
        <w:tc>
          <w:tcPr>
            <w:tcW w:w="1400" w:type="dxa"/>
            <w:vAlign w:val="bottom"/>
          </w:tcPr>
          <w:p>
            <w:pPr>
              <w:ind w:left="12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28" w:lineRule="exact"/>
        <w:rPr>
          <w:sz w:val="24"/>
          <w:szCs w:val="24"/>
          <w:color w:val="auto"/>
        </w:rPr>
      </w:pPr>
    </w:p>
    <w:p>
      <w:pPr>
        <w:jc w:val="both"/>
        <w:ind w:right="20"/>
        <w:spacing w:after="0" w:line="18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84"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5"/>
          <w:szCs w:val="15"/>
          <w:color w:val="2B2D3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000000"/>
        </w:rPr>
        <w:t>☒</w:t>
      </w:r>
    </w:p>
    <w:p>
      <w:pPr>
        <w:spacing w:after="0" w:line="173"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5"/>
          <w:szCs w:val="15"/>
          <w:color w:val="2B2D3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2B2D34"/>
        </w:rPr>
        <w:t>☐</w:t>
      </w:r>
    </w:p>
    <w:p>
      <w:pPr>
        <w:spacing w:after="0" w:line="170" w:lineRule="exact"/>
        <w:rPr>
          <w:sz w:val="24"/>
          <w:szCs w:val="24"/>
          <w:color w:val="auto"/>
        </w:rPr>
      </w:pPr>
    </w:p>
    <w:p>
      <w:pPr>
        <w:jc w:val="both"/>
        <w:ind w:right="20"/>
        <w:spacing w:after="0" w:line="177" w:lineRule="exact"/>
        <w:rPr>
          <w:sz w:val="20"/>
          <w:szCs w:val="20"/>
          <w:color w:val="auto"/>
        </w:rPr>
      </w:pPr>
      <w:r>
        <w:rPr>
          <w:rFonts w:ascii="Times New Roman" w:cs="Times New Roman" w:eastAsia="Times New Roman" w:hAnsi="Times New Roman"/>
          <w:sz w:val="15"/>
          <w:szCs w:val="15"/>
          <w:color w:val="2B2D3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000000"/>
        </w:rPr>
        <w:t>☐</w:t>
      </w:r>
    </w:p>
    <w:p>
      <w:pPr>
        <w:sectPr>
          <w:pgSz w:w="11900" w:h="16838" w:orient="portrait"/>
          <w:cols w:equalWidth="0" w:num="1">
            <w:col w:w="11240"/>
          </w:cols>
          <w:pgMar w:left="320" w:top="272" w:right="339" w:bottom="0" w:gutter="0" w:footer="0" w:header="0"/>
          <w:type w:val="continuous"/>
        </w:sectPr>
      </w:pPr>
    </w:p>
    <w:bookmarkStart w:id="1" w:name="page2"/>
    <w:bookmarkEnd w:id="1"/>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5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The aggregate market value of the voting and non-voting shares held by non-affiliates of the Registrant, based on the closing price of the shares of $3.44 on June 30, 2024 the last business day of the registrant’s most recently completed second fiscal quarter was approximately $684.5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February 21, 2025 the Registrant had a total of 338,875,848 outstanding shares, which includes 294,665,442 Ordinary shares and 44,210,406 Non-voting Ordinary shares.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61" w:lineRule="exact"/>
        <w:rPr>
          <w:sz w:val="20"/>
          <w:szCs w:val="20"/>
          <w:color w:val="auto"/>
        </w:rPr>
      </w:pPr>
    </w:p>
    <w:p>
      <w:pPr>
        <w:ind w:firstLine="243"/>
        <w:spacing w:after="0" w:line="280" w:lineRule="auto"/>
        <w:rPr>
          <w:sz w:val="20"/>
          <w:szCs w:val="20"/>
          <w:color w:val="auto"/>
        </w:rPr>
      </w:pPr>
      <w:r>
        <w:rPr>
          <w:rFonts w:ascii="Times New Roman" w:cs="Times New Roman" w:eastAsia="Times New Roman" w:hAnsi="Times New Roman"/>
          <w:sz w:val="16"/>
          <w:szCs w:val="16"/>
          <w:color w:val="auto"/>
        </w:rPr>
        <w:t>Portions of the Registrant’s 2025 definitive Proxy Statement, which will be filed with the Securities and Exchange Commission within 120 days after December 31, 2024,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02"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Our financial statements have been prepared in accordance with United States Generally Accepted Accounting Principles (“GAAP”) . We present our consolidated financial statements in U.S. dollars.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fiscal year ends on December 31 of each year.</w:t>
      </w:r>
    </w:p>
    <w:p>
      <w:pPr>
        <w:spacing w:after="0" w:line="11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76"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Throughout this Annual Report, we provide a number of key performance indicators used by our management and often used by others in our industry. For details, see Item 7. “Management’s Discussion And Analysis Of Financial Condition And Results Of Operations.”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Certain capitalized terms used in this Annual Report are defined in the Glossary following Item 16.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and Industry Data</w:t>
      </w:r>
    </w:p>
    <w:p>
      <w:pPr>
        <w:spacing w:after="0" w:line="169"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4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169" w:lineRule="exact"/>
        <w:rPr>
          <w:sz w:val="20"/>
          <w:szCs w:val="20"/>
          <w:color w:val="auto"/>
        </w:rPr>
      </w:pPr>
    </w:p>
    <w:p>
      <w:pPr>
        <w:jc w:val="both"/>
        <w:ind w:firstLine="243"/>
        <w:spacing w:after="0" w:line="244" w:lineRule="auto"/>
        <w:rPr>
          <w:sz w:val="20"/>
          <w:szCs w:val="20"/>
          <w:color w:val="auto"/>
        </w:rPr>
      </w:pPr>
      <w:r>
        <w:rPr>
          <w:rFonts w:ascii="Times New Roman" w:cs="Times New Roman" w:eastAsia="Times New Roman" w:hAnsi="Times New Roman"/>
          <w:sz w:val="16"/>
          <w:szCs w:val="16"/>
          <w:color w:val="auto"/>
        </w:rPr>
        <w:t>We or our licensors have proprietary rights to trademarks, trade names and service marks used in this Annual Report. Solely for convenience, trademarks, trade names and service marks referred to in this Annual Report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symbols, but such references are not intended to indicate, in any way, that we will not assert, to the fullest extent possible under applicable law, our rights or the rights of the applicable licensor to these trademarks, trade names and service marks.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 LOOKING STATEMENTS</w:t>
      </w:r>
    </w:p>
    <w:p>
      <w:pPr>
        <w:spacing w:after="0" w:line="102"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Certain statements in this Annual Report may constitute “forward-looking statements” for purposes of the federal securities laws. Taboola’s forward-looking statements include, but are not limited to, statements regarding Taboola or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“appear,” “approximate,” “believe,” “continue,” “could,” “estimate,” “expect,” “foresee,” “intends,” “may,” “might,” “plan,” “possible,” “potential,” “predict,” “project,” “seek,” “should,” “would” and similar expressions (or the negative version of such words or expressions) may identify forward-looking statements, but the absence of these words does not mean that a statement is not forward-looking. Forward-looking statements in this Annual Report may include, for example, statements about:</w:t>
      </w:r>
    </w:p>
    <w:p>
      <w:pPr>
        <w:spacing w:after="0" w:line="95"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any known and unknown litigation and regulatory proceedings.</w:t>
      </w:r>
    </w:p>
    <w:p>
      <w:pPr>
        <w:spacing w:after="0" w:line="127"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laws.You should not place undue reliance on these forward-looking statements. As a result of a number of known and unknown risks and uncertainties, including those described in Part I, Item 1A, “Risk Factors” in this Annual Report on Form 10-K, our actual results or performance may be materially different from those expressed or implied by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6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The following is a summary of the material risks we are exposed to in the course of our business activities. The below summary does not contain all of the information that may be important to you, and you should read the below summary together with the more detailed discussion of risks set forth under the heading “Risk Factors,” as well as elsewhere in this Annual Report.</w:t>
      </w:r>
    </w:p>
    <w:p>
      <w:pPr>
        <w:spacing w:after="0" w:line="77" w:lineRule="exact"/>
        <w:rPr>
          <w:sz w:val="20"/>
          <w:szCs w:val="20"/>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 may be unable to attract new digital properties and Advertisers, sell additional offerings to its existing digital properties and Advertisers, or maintain enough business with its existing digital properties and Advertisers;</w:t>
      </w:r>
    </w:p>
    <w:p>
      <w:pPr>
        <w:spacing w:after="0" w:line="70"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Taboola’s performance under contracts with digital properties where Taboola is obligated to pay a specified minimum guaranteed amount per thousand impressions does not meet the minimum guarantee requirements, its gross profit could be negatively impacted and its results of operations and financial condition could be harmed;</w:t>
      </w:r>
    </w:p>
    <w:p>
      <w:pPr>
        <w:spacing w:after="0" w:line="62"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Yahoo partnership is not as long-term financially accretive as we expected our business, operating results, financial condition and reputation could be adversely affected;</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launch or implementation of Realize is not successful, if it fails to gain market acceptance, or if it does not deliver the financial accretion we expect, our business, operating results, financial condition and reputation could be adversely affected;</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Taboola may not be able to compete successfully against current and future competitors;</w:t>
      </w:r>
    </w:p>
    <w:p>
      <w:pPr>
        <w:spacing w:after="0" w:line="113" w:lineRule="exact"/>
        <w:rPr>
          <w:rFonts w:ascii="Times New Roman" w:cs="Times New Roman" w:eastAsia="Times New Roman" w:hAnsi="Times New Roman"/>
          <w:sz w:val="16"/>
          <w:szCs w:val="16"/>
          <w:b w:val="1"/>
          <w:bCs w:val="1"/>
          <w:i w:val="1"/>
          <w:iCs w:val="1"/>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Taboola’s future growth and success depends on its ability to continue to scale its existing offerings and to introduce new solutions that gain acceptance and that differentiate it from its competitors;</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Taboola fails to make the right investment decisions in its offerings and technology platform, or if Taboola is unable to generate or otherwise obtain sufficient funds to invest in them, Taboola may not attract and retain digital properties and Advertisers;</w:t>
      </w:r>
    </w:p>
    <w:p>
      <w:pPr>
        <w:spacing w:after="0" w:line="5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Taboola’s ability to personalize its advertisements and content to users is restricted or prohibited due to various privacy or data protection laws or regulations, Taboola could lose digital properties and Advertisers;</w:t>
      </w:r>
    </w:p>
    <w:p>
      <w:pPr>
        <w:spacing w:after="0" w:line="42"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Taboola’s AI powered platform fails to accurately predict what ads and content would be of most interest to users or if Taboola fails to continue to improve on its ability to further predict or optimize user engagement or conversion rates for its Advertisers, its performance could decline and Taboola could lose digital properties and Advertisers;</w:t>
      </w:r>
    </w:p>
    <w:p>
      <w:pPr>
        <w:spacing w:after="0" w:line="6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Taboola’s business depends on continued engagement by users who interact with its platform on various digital properties;</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Historically, the majority of Taboola’s agreements with digital properties have typically required them to provide it exclusivity or other incentives based on preferred usage, for the term of the agreement; to the extent that such exclusivity is reduced or eliminated for any reason, digital properties could elect to implement competitive platforms or services that could be detrimental to its performance;</w:t>
      </w:r>
    </w:p>
    <w:p>
      <w:pPr>
        <w:spacing w:after="0" w:line="62"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Taboola’s business depends on strong brands and well-known digital properties, and failing to maintain and enhance its brands and well-known digital properties would hurt its ability to expand its number of Advertisers and digital properties;</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 is a multinational organization faced with complex and changing laws and regulations regarding privacy, data protection, content, competition, consumer protection, and other matters;</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Israel could adversely affect Taboola’s business;</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political events, war, terrorism and the emergence of another pandemic, each of which could disrupt our business and adversely affect our results of operations; and</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set forth in the section entitled “Risk Factors” in this Annual Report.</w:t>
      </w:r>
    </w:p>
    <w:p>
      <w:pPr>
        <w:spacing w:after="0" w:line="200" w:lineRule="exact"/>
        <w:rPr>
          <w:sz w:val="20"/>
          <w:szCs w:val="20"/>
          <w:color w:val="auto"/>
        </w:rPr>
      </w:pPr>
    </w:p>
    <w:p>
      <w:pPr>
        <w:spacing w:after="0" w:line="251"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40" w:type="dxa"/>
            <w:vAlign w:val="bottom"/>
            <w:gridSpan w:val="9"/>
          </w:tcPr>
          <w:p>
            <w:pPr>
              <w:ind w:left="3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70"/>
        </w:trPr>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6"/>
        </w:trPr>
        <w:tc>
          <w:tcPr>
            <w:tcW w:w="1460" w:type="dxa"/>
            <w:vAlign w:val="bottom"/>
          </w:tcPr>
          <w:p>
            <w:pPr>
              <w:spacing w:after="0"/>
              <w:rPr>
                <w:sz w:val="15"/>
                <w:szCs w:val="15"/>
                <w:color w:val="auto"/>
              </w:rPr>
            </w:pP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Forward Looking Statements</w:t>
            </w:r>
          </w:p>
        </w:tc>
        <w:tc>
          <w:tcPr>
            <w:tcW w:w="960" w:type="dxa"/>
            <w:vAlign w:val="bottom"/>
            <w:gridSpan w:val="3"/>
          </w:tcPr>
          <w:p>
            <w:pPr>
              <w:jc w:val="center"/>
              <w:ind w:left="799"/>
              <w:spacing w:after="0" w:line="175" w:lineRule="exact"/>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Risk Factors Summary</w:t>
            </w:r>
          </w:p>
        </w:tc>
        <w:tc>
          <w:tcPr>
            <w:tcW w:w="960" w:type="dxa"/>
            <w:vAlign w:val="bottom"/>
            <w:gridSpan w:val="3"/>
            <w:shd w:val="clear" w:color="auto" w:fill="CCEEFF"/>
          </w:tcPr>
          <w:p>
            <w:pPr>
              <w:jc w:val="center"/>
              <w:ind w:left="799"/>
              <w:spacing w:after="0" w:line="175" w:lineRule="exact"/>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4"/>
        </w:trPr>
        <w:tc>
          <w:tcPr>
            <w:tcW w:w="14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7"/>
        </w:trPr>
        <w:tc>
          <w:tcPr>
            <w:tcW w:w="14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Item 1.</w:t>
            </w:r>
          </w:p>
        </w:tc>
        <w:tc>
          <w:tcPr>
            <w:tcW w:w="5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8"/>
              </w:rPr>
              <w:t>Business</w:t>
            </w:r>
          </w:p>
        </w:tc>
        <w:tc>
          <w:tcPr>
            <w:tcW w:w="7560" w:type="dxa"/>
            <w:vAlign w:val="bottom"/>
            <w:gridSpan w:val="25"/>
            <w:shd w:val="clear" w:color="auto" w:fill="CCEEFF"/>
          </w:tcPr>
          <w:p>
            <w:pPr>
              <w:spacing w:after="0"/>
              <w:rPr>
                <w:sz w:val="15"/>
                <w:szCs w:val="15"/>
                <w:color w:val="auto"/>
              </w:rPr>
            </w:pPr>
          </w:p>
        </w:tc>
        <w:tc>
          <w:tcPr>
            <w:tcW w:w="960" w:type="dxa"/>
            <w:vAlign w:val="bottom"/>
            <w:gridSpan w:val="3"/>
            <w:shd w:val="clear" w:color="auto" w:fill="CCEEFF"/>
          </w:tcPr>
          <w:p>
            <w:pPr>
              <w:jc w:val="center"/>
              <w:ind w:left="799"/>
              <w:spacing w:after="0" w:line="178" w:lineRule="exact"/>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1A.</w:t>
            </w: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19</w:t>
            </w: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1B.</w:t>
            </w:r>
          </w:p>
        </w:tc>
        <w:tc>
          <w:tcPr>
            <w:tcW w:w="184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Unresolved Staff Comments</w:t>
            </w:r>
          </w:p>
        </w:tc>
        <w:tc>
          <w:tcPr>
            <w:tcW w:w="6300" w:type="dxa"/>
            <w:vAlign w:val="bottom"/>
            <w:gridSpan w:val="13"/>
            <w:shd w:val="clear" w:color="auto" w:fill="CCEEFF"/>
          </w:tcPr>
          <w:p>
            <w:pPr>
              <w:spacing w:after="0"/>
              <w:rPr>
                <w:sz w:val="15"/>
                <w:szCs w:val="15"/>
                <w:color w:val="auto"/>
              </w:rPr>
            </w:pP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19</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1C.</w:t>
            </w:r>
          </w:p>
        </w:tc>
        <w:tc>
          <w:tcPr>
            <w:tcW w:w="184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0000FF"/>
              </w:rPr>
              <w:t>Cybersecurity</w:t>
            </w:r>
          </w:p>
        </w:tc>
        <w:tc>
          <w:tcPr>
            <w:tcW w:w="6300" w:type="dxa"/>
            <w:vAlign w:val="bottom"/>
            <w:gridSpan w:val="13"/>
          </w:tcPr>
          <w:p>
            <w:pPr>
              <w:spacing w:after="0"/>
              <w:rPr>
                <w:sz w:val="15"/>
                <w:szCs w:val="15"/>
                <w:color w:val="auto"/>
              </w:rPr>
            </w:pP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19</w:t>
            </w:r>
          </w:p>
        </w:tc>
      </w:tr>
      <w:tr>
        <w:trPr>
          <w:trHeight w:val="21"/>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2.</w:t>
            </w:r>
          </w:p>
        </w:tc>
        <w:tc>
          <w:tcPr>
            <w:tcW w:w="6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8"/>
              </w:rPr>
              <w:t>Properties</w:t>
            </w:r>
          </w:p>
        </w:tc>
        <w:tc>
          <w:tcPr>
            <w:tcW w:w="7480" w:type="dxa"/>
            <w:vAlign w:val="bottom"/>
            <w:gridSpan w:val="24"/>
            <w:shd w:val="clear" w:color="auto" w:fill="CCEEFF"/>
          </w:tcPr>
          <w:p>
            <w:pPr>
              <w:spacing w:after="0"/>
              <w:rPr>
                <w:sz w:val="15"/>
                <w:szCs w:val="15"/>
                <w:color w:val="auto"/>
              </w:rPr>
            </w:pP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19</w:t>
            </w:r>
          </w:p>
        </w:tc>
      </w:tr>
      <w:tr>
        <w:trPr>
          <w:trHeight w:val="21"/>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3.</w:t>
            </w: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19</w:t>
            </w:r>
          </w:p>
        </w:tc>
      </w:tr>
      <w:tr>
        <w:trPr>
          <w:trHeight w:val="21"/>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4.</w:t>
            </w: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19</w:t>
            </w:r>
          </w:p>
        </w:tc>
      </w:tr>
      <w:tr>
        <w:trPr>
          <w:trHeight w:val="216"/>
        </w:trPr>
        <w:tc>
          <w:tcPr>
            <w:tcW w:w="1460" w:type="dxa"/>
            <w:vAlign w:val="bottom"/>
            <w:tcBorders>
              <w:top w:val="single" w:sz="8" w:color="CCEE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5.</w:t>
            </w: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Market For Registrant’s Common Equity, Related Shareholder Matters And Issuer Purchases Of Equity Securities</w:t>
            </w: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20</w:t>
            </w:r>
          </w:p>
        </w:tc>
      </w:tr>
      <w:tr>
        <w:trPr>
          <w:trHeight w:val="21"/>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6.</w:t>
            </w: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[Reserved]</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20</w:t>
            </w:r>
          </w:p>
        </w:tc>
      </w:tr>
      <w:tr>
        <w:trPr>
          <w:trHeight w:val="21"/>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7.</w:t>
            </w: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20</w:t>
            </w:r>
          </w:p>
        </w:tc>
      </w:tr>
      <w:tr>
        <w:trPr>
          <w:trHeight w:val="21"/>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7A.</w:t>
            </w: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36</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8.</w:t>
            </w:r>
          </w:p>
        </w:tc>
        <w:tc>
          <w:tcPr>
            <w:tcW w:w="396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180" w:type="dxa"/>
            <w:vAlign w:val="bottom"/>
            <w:gridSpan w:val="7"/>
          </w:tcPr>
          <w:p>
            <w:pPr>
              <w:spacing w:after="0"/>
              <w:rPr>
                <w:sz w:val="15"/>
                <w:szCs w:val="15"/>
                <w:color w:val="auto"/>
              </w:rPr>
            </w:pP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37</w:t>
            </w:r>
          </w:p>
        </w:tc>
      </w:tr>
      <w:tr>
        <w:trPr>
          <w:trHeight w:val="21"/>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9.</w:t>
            </w:r>
          </w:p>
        </w:tc>
        <w:tc>
          <w:tcPr>
            <w:tcW w:w="6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2140" w:type="dxa"/>
            <w:vAlign w:val="bottom"/>
            <w:gridSpan w:val="3"/>
            <w:shd w:val="clear" w:color="auto" w:fill="CCEEFF"/>
          </w:tcPr>
          <w:p>
            <w:pPr>
              <w:spacing w:after="0"/>
              <w:rPr>
                <w:sz w:val="15"/>
                <w:szCs w:val="15"/>
                <w:color w:val="auto"/>
              </w:rPr>
            </w:pP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54</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9A.</w:t>
            </w:r>
          </w:p>
        </w:tc>
        <w:tc>
          <w:tcPr>
            <w:tcW w:w="6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2140" w:type="dxa"/>
            <w:vAlign w:val="bottom"/>
            <w:gridSpan w:val="3"/>
          </w:tcPr>
          <w:p>
            <w:pPr>
              <w:spacing w:after="0"/>
              <w:rPr>
                <w:sz w:val="15"/>
                <w:szCs w:val="15"/>
                <w:color w:val="auto"/>
              </w:rPr>
            </w:pP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54</w:t>
            </w:r>
          </w:p>
        </w:tc>
      </w:tr>
      <w:tr>
        <w:trPr>
          <w:trHeight w:val="21"/>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9B.</w:t>
            </w: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54</w:t>
            </w:r>
          </w:p>
        </w:tc>
      </w:tr>
      <w:tr>
        <w:trPr>
          <w:trHeight w:val="21"/>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9C.</w:t>
            </w: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Disclosure Regarding Foreign Jurisdiction that Prevent Inspections</w:t>
            </w: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55</w:t>
            </w: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4"/>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7"/>
        </w:trPr>
        <w:tc>
          <w:tcPr>
            <w:tcW w:w="14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Item 10.</w:t>
            </w:r>
          </w:p>
        </w:tc>
        <w:tc>
          <w:tcPr>
            <w:tcW w:w="8140" w:type="dxa"/>
            <w:vAlign w:val="bottom"/>
            <w:gridSpan w:val="26"/>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640" w:type="dxa"/>
            <w:vAlign w:val="bottom"/>
            <w:gridSpan w:val="5"/>
            <w:shd w:val="clear" w:color="auto" w:fill="CCEEFF"/>
          </w:tcPr>
          <w:p>
            <w:pPr>
              <w:jc w:val="center"/>
              <w:ind w:left="119"/>
              <w:spacing w:after="0" w:line="178" w:lineRule="exact"/>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11.</w:t>
            </w:r>
          </w:p>
        </w:tc>
        <w:tc>
          <w:tcPr>
            <w:tcW w:w="3680" w:type="dxa"/>
            <w:vAlign w:val="bottom"/>
            <w:gridSpan w:val="18"/>
          </w:tcPr>
          <w:p>
            <w:pPr>
              <w:spacing w:after="0" w:line="175" w:lineRule="exact"/>
              <w:rPr>
                <w:sz w:val="20"/>
                <w:szCs w:val="20"/>
                <w:color w:val="auto"/>
              </w:rPr>
            </w:pPr>
            <w:r>
              <w:rPr>
                <w:rFonts w:ascii="Times New Roman" w:cs="Times New Roman" w:eastAsia="Times New Roman" w:hAnsi="Times New Roman"/>
                <w:sz w:val="16"/>
                <w:szCs w:val="16"/>
                <w:color w:val="0000FF"/>
              </w:rPr>
              <w:t>Executive Compensation</w:t>
            </w:r>
          </w:p>
        </w:tc>
        <w:tc>
          <w:tcPr>
            <w:tcW w:w="4460" w:type="dxa"/>
            <w:vAlign w:val="bottom"/>
            <w:gridSpan w:val="8"/>
          </w:tcPr>
          <w:p>
            <w:pPr>
              <w:spacing w:after="0"/>
              <w:rPr>
                <w:sz w:val="15"/>
                <w:szCs w:val="15"/>
                <w:color w:val="auto"/>
              </w:rPr>
            </w:pP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12.</w:t>
            </w: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Shareholder Matters</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13.</w:t>
            </w:r>
          </w:p>
        </w:tc>
        <w:tc>
          <w:tcPr>
            <w:tcW w:w="668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460" w:type="dxa"/>
            <w:vAlign w:val="bottom"/>
            <w:gridSpan w:val="2"/>
          </w:tcPr>
          <w:p>
            <w:pPr>
              <w:spacing w:after="0"/>
              <w:rPr>
                <w:sz w:val="15"/>
                <w:szCs w:val="15"/>
                <w:color w:val="auto"/>
              </w:rPr>
            </w:pP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14.</w:t>
            </w: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56</w:t>
            </w:r>
          </w:p>
        </w:tc>
      </w:tr>
      <w:tr>
        <w:trPr>
          <w:trHeight w:val="270"/>
        </w:trPr>
        <w:tc>
          <w:tcPr>
            <w:tcW w:w="1460" w:type="dxa"/>
            <w:vAlign w:val="bottom"/>
            <w:tcBorders>
              <w:top w:val="single" w:sz="8" w:color="CCEE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4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15.</w:t>
            </w:r>
          </w:p>
        </w:tc>
        <w:tc>
          <w:tcPr>
            <w:tcW w:w="814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0000FF"/>
              </w:rPr>
              <w:t>Exhibits, Financial Statement Schedules</w:t>
            </w: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Item 16.</w:t>
            </w:r>
          </w:p>
        </w:tc>
        <w:tc>
          <w:tcPr>
            <w:tcW w:w="140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Form 10-K Summary</w:t>
            </w:r>
          </w:p>
        </w:tc>
        <w:tc>
          <w:tcPr>
            <w:tcW w:w="6740" w:type="dxa"/>
            <w:vAlign w:val="bottom"/>
            <w:gridSpan w:val="17"/>
            <w:shd w:val="clear" w:color="auto" w:fill="CCEEFF"/>
          </w:tcPr>
          <w:p>
            <w:pPr>
              <w:spacing w:after="0"/>
              <w:rPr>
                <w:sz w:val="15"/>
                <w:szCs w:val="15"/>
                <w:color w:val="auto"/>
              </w:rPr>
            </w:pP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59</w:t>
            </w:r>
          </w:p>
        </w:tc>
      </w:tr>
      <w:tr>
        <w:trPr>
          <w:trHeight w:val="21"/>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tcPr>
          <w:p>
            <w:pPr>
              <w:spacing w:after="0"/>
              <w:rPr>
                <w:sz w:val="15"/>
                <w:szCs w:val="15"/>
                <w:color w:val="auto"/>
              </w:rPr>
            </w:pPr>
          </w:p>
        </w:tc>
        <w:tc>
          <w:tcPr>
            <w:tcW w:w="14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Glossary</w:t>
            </w:r>
          </w:p>
        </w:tc>
        <w:tc>
          <w:tcPr>
            <w:tcW w:w="6740" w:type="dxa"/>
            <w:vAlign w:val="bottom"/>
            <w:gridSpan w:val="17"/>
          </w:tcPr>
          <w:p>
            <w:pPr>
              <w:spacing w:after="0"/>
              <w:rPr>
                <w:sz w:val="15"/>
                <w:szCs w:val="15"/>
                <w:color w:val="auto"/>
              </w:rPr>
            </w:pPr>
          </w:p>
        </w:tc>
        <w:tc>
          <w:tcPr>
            <w:tcW w:w="1640" w:type="dxa"/>
            <w:vAlign w:val="bottom"/>
            <w:gridSpan w:val="5"/>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146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460" w:type="dxa"/>
            <w:vAlign w:val="bottom"/>
            <w:shd w:val="clear" w:color="auto" w:fill="CCEEFF"/>
          </w:tcPr>
          <w:p>
            <w:pPr>
              <w:spacing w:after="0"/>
              <w:rPr>
                <w:sz w:val="15"/>
                <w:szCs w:val="15"/>
                <w:color w:val="auto"/>
              </w:rPr>
            </w:pPr>
          </w:p>
        </w:tc>
        <w:tc>
          <w:tcPr>
            <w:tcW w:w="814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1640" w:type="dxa"/>
            <w:vAlign w:val="bottom"/>
            <w:gridSpan w:val="5"/>
            <w:shd w:val="clear" w:color="auto" w:fill="CCEEFF"/>
          </w:tcPr>
          <w:p>
            <w:pPr>
              <w:jc w:val="center"/>
              <w:ind w:left="119"/>
              <w:spacing w:after="0" w:line="175" w:lineRule="exact"/>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empower businesses to grow through performance advertising technology that goes beyond search and social and delivers measurable outcomes at scale.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6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Taboola is a technology company that helps businesses grow by placing ads on publisher sites, mobile apps, and devices, which we collectively refer to as digital properties. We operate outside of the major search and social media walled gardens such as Meta, Google, and Amazon. Thousands of Advertisers trust us to drive growth, while approximately 11,000 digital property partners, including NBCNews, Disney, Yahoo, and Apple, rely on us for monetization and audience growth. Our scale is meaningful - we reach approximately 600 million people a day, gaining real-time insight into what people read and buy. This gives us unique “pulse of the internet” data - which alongside our artificial intelligence (AI) - is our competitive advantage and helps our advertiser clients achieve exceptional returns on their advertising spend.</w:t>
      </w:r>
    </w:p>
    <w:p>
      <w:pPr>
        <w:spacing w:after="0" w:line="7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Taboola began operations in 2007 and our technology provides significant value to both digital property partners and Advertisers. Digital properties use our technology platforms to achieve their business goals, such as driving new audiences to their sites and apps, or increasing engagement on site. We also provide a meaningful monetization opportunity to digital properties by matching relevant advertising to their audience in real time.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72"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We empower Advertisers to leverage our proprietary AI-powered performance advertising platform to reach targeted audiences utilizing effective ad formats across digital properties.</w:t>
      </w:r>
    </w:p>
    <w:p>
      <w:pPr>
        <w:spacing w:after="0" w:line="4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generate revenues primarily when people (consumers) click on, purchase from or, in some cases, view the ads that appear within our partners’ digital experiences via our performance AI engine. Advertisers pay us for those clicks, purchases or impressions, and we share the resulting revenue with the digital properties who display those ads and generate those clicks and downstream consumer actions.</w:t>
      </w:r>
    </w:p>
    <w:p>
      <w:pPr>
        <w:spacing w:after="0" w:line="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powerful performance AI engine was built to address a technology challenge of significant complexity: predicting which content, both advertisements and editorial,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We are the only independent performance platform that goes beyond search and social, and delivers outcomes at scale for advertisers, leveraging our unique supply, 1st-party data and AI technology.</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Industry Trends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see the following important trends in our industry:</w:t>
      </w:r>
    </w:p>
    <w:p>
      <w:pPr>
        <w:spacing w:after="0" w:line="111"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Advertising Budgets </w:t>
      </w:r>
      <w:r>
        <w:rPr>
          <w:rFonts w:ascii="Times New Roman" w:cs="Times New Roman" w:eastAsia="Times New Roman" w:hAnsi="Times New Roman"/>
          <w:sz w:val="16"/>
          <w:szCs w:val="16"/>
          <w:color w:val="auto"/>
        </w:rPr>
        <w:t>Shift to Digital Marketing. As we have witnessed over the last decade, advertising budgets continue to shift from traditional media, such as print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newspapers, magazines and television, to digital channels. No longer a trend, a change in consumer attention to digital properties has become a lasting movement, giving Advertisers an opportunity to reach increasing numbers of consumers at scale with relevant content and precise targeting, thereby driving a higher return on their investment. Most recently this trend has included traditional media itself being digitally transformed with the rise of Connected TV (CTV), Digital Audio, and Digital Out of Home. The shift to digital brings with it an expectation of enhanced measurability, efficiency and performance overall.</w:t>
      </w:r>
    </w:p>
    <w:p>
      <w:pPr>
        <w:spacing w:after="0" w:line="68"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Walled Gardens Dominate </w:t>
      </w:r>
      <w:r>
        <w:rPr>
          <w:rFonts w:ascii="Times New Roman" w:cs="Times New Roman" w:eastAsia="Times New Roman" w:hAnsi="Times New Roman"/>
          <w:sz w:val="16"/>
          <w:szCs w:val="16"/>
          <w:color w:val="auto"/>
        </w:rPr>
        <w:t>Digital Advertising Spend. According to eMarketer, more than half of digital advertising budgets are spent within the closed ecosystems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 giants like Google, Meta and Amazon, which we refer to as “walled gardens.” With the proliferation of these walled gardens and the time spent by consumers within them, other digital properties owners are fighting for user attention and advertising dollars.</w:t>
      </w:r>
    </w:p>
    <w:p>
      <w:pPr>
        <w:spacing w:after="0" w:line="61"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The Technology </w:t>
      </w:r>
      <w:r>
        <w:rPr>
          <w:rFonts w:ascii="Times New Roman" w:cs="Times New Roman" w:eastAsia="Times New Roman" w:hAnsi="Times New Roman"/>
          <w:sz w:val="16"/>
          <w:szCs w:val="16"/>
          <w:color w:val="auto"/>
        </w:rPr>
        <w:t>behind Digital Advertising has become Increasingly Complex. Technologies for more automated and efficient buying and selling of digital advertising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been gaining traction for several years with both advertising buyers and digital properties. This is known as the AdTech industry. The ability to collect, collate and analyze user intent data points using AI and machine-learning technology is a key differentiator for Advertisers, digital properties and advertising intermediaries. Data insights can now be used to optimize digital advertising campaigns in ways that were not previously possible. This means that advertising intermediaries who do not have access to commercially valuable data at scale, or are not using AI to power their platforms may be at a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Shift from Offline </w:t>
      </w:r>
      <w:r>
        <w:rPr>
          <w:rFonts w:ascii="Times New Roman" w:cs="Times New Roman" w:eastAsia="Times New Roman" w:hAnsi="Times New Roman"/>
          <w:sz w:val="16"/>
          <w:szCs w:val="16"/>
          <w:color w:val="auto"/>
        </w:rPr>
        <w:t>Shopping to Online Shopping and e-Commerce. According to publicly available industry research, online shopping is expected to grow ~8% annually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2027, doubling the growth of physical retail over that same period. This trend has, in turn, driven growth in advertising budgets dedicated to acquiring customers for online shopping properties or promoting growth in online sales.</w:t>
      </w:r>
    </w:p>
    <w:p>
      <w:pPr>
        <w:spacing w:after="0" w:line="6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i w:val="1"/>
          <w:iCs w:val="1"/>
          <w:color w:val="auto"/>
        </w:rPr>
        <w:t>Increasing Focus on Privacy</w:t>
      </w:r>
      <w:r>
        <w:rPr>
          <w:rFonts w:ascii="Times New Roman" w:cs="Times New Roman" w:eastAsia="Times New Roman" w:hAnsi="Times New Roman"/>
          <w:sz w:val="16"/>
          <w:szCs w:val="16"/>
          <w:color w:val="auto"/>
        </w:rPr>
        <w:t>. Government regulators, consumers, and technology companies recently turned their attention toward the use of personal data and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privacy practices. This has led to increased regulation, such as the European Union’s General Data Protection Regulation, or GDPR, its equivalent in the United Kingdom (commonly referred to as the UK GDPR), and the California Consumer Privacy Act (as modified by the California Privacy Rights Act), or CCPA. In parallel, major Internet browsers, such as Safari and Firefox are already blocking third party cookies and Google has announced plans to provide users with more control over their privacy settings in Google Chrome during the second half of 2024. These changes pose a challenge for the digital marketing landscape, which currently relies extensively on third-party cookie data for personalization and must adapt to comply with increasing regulation of personal data. Google's Privacy Sandbox is an initiative aimed at replacing third-party cookies with privacy-preserving alternatives for ad targeting and measurement in Chrome when users do not consent to the use of third party cookies, relying on on-device processing and aggregated data. Companies with first party data have a major advantage in general, including in the Sandbox ecosystem, because they can leverage direct user interactions for personalized advertising and measurement, while others must rely on low scale signals like alternative IDs, or Google's limited, aggregated insights, reducing their control over audience targeting and performance tracking.</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16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believe Advertisers want and need a dedicated solution for performance advertising. Generic solutions that aim to service the entire end-to-end marketing funnel (from brand awareness to purchasing) are not optimized to deliver performance outcomes to advertisers on inventory found outside search and social media platforms. Our opportunity is to offer a highly specialized performance advertising platform to the market that delivers performance outcomes, regardless of format, placement or supply type. On February 26, 2025, we announced the launch of Realize, our new performance advertising platform built to drive results at scale on digital publisher properties outside of search and social media platforms. See Management Discussion &amp; Analysis - Subsequent Developments for further information about Realize.</w:t>
      </w:r>
    </w:p>
    <w:p>
      <w:pPr>
        <w:spacing w:after="0" w:line="72"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Based on our internal and external industry data, we estimate there is a $55 billion opportunity for our Realize platform to improve the value advertisers get from performance advertising on generic Demand Side Platforms (DSPs), the highly fragmented advertising technology market, and some social media campaigns. We believe this is our Total Addressable Market (TAM).</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This market opportunity exists for three reasons.</w:t>
      </w:r>
    </w:p>
    <w:p>
      <w:pPr>
        <w:spacing w:after="0" w:line="113" w:lineRule="exact"/>
        <w:rPr>
          <w:sz w:val="20"/>
          <w:szCs w:val="20"/>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AdTech landscape is crowded and complex. Advertisers want scale and results without the inefficiency and inconvenience of navigating a fragmented ecosystem.</w:t>
      </w:r>
    </w:p>
    <w:p>
      <w:pPr>
        <w:jc w:val="both"/>
        <w:ind w:left="660" w:hanging="328"/>
        <w:spacing w:after="0" w:line="256" w:lineRule="auto"/>
        <w:tabs>
          <w:tab w:leader="none" w:pos="6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DSPs are prioritizing branding over performance. For example, many DSPs have turned their focus to Connected TV (CTV), which is a medium typically more effective for brand awareness rather than generating performance advertising results. While DSPs are very strong solutions for branding purposes, we do not believe they deliver cost effective performance advertising outcomes when compared to the results advertisers can get on Google or Meta.</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platforms have limitations and many advertisers experience diminishing returns. While social delivers strong early performance, audience fatigue sets in, costs go up, and effectiveness declines. In many cases, this leaves l a majority of advertisers spending more and getting less. These challenges create a massive opportunity—one that we’re well positioned to solve.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Evolution: From Native to Performance Advertising Beyond Search and Social</w:t>
      </w:r>
    </w:p>
    <w:p>
      <w:pPr>
        <w:spacing w:after="0" w:line="18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Historically, Taboola has been a leader in native advertising. Based on evolving market dynamics and advertiser feedback, we are expanding our focus to the broader performance advertising market. This strategic shift addresses the limitations of native advertising alone and aligns with the demand for comprehensive performance solutions beyond search and social platforms.</w:t>
      </w:r>
    </w:p>
    <w:p>
      <w:pPr>
        <w:spacing w:after="0" w:line="84"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This evolution is driven by the recognition that advertisers seek performance outcomes across a wider range of ad formats, including standard display, and require solutions that address the limitations of existing AdTech platforms, DSPs and social media advertising.</w:t>
      </w:r>
    </w:p>
    <w:p>
      <w:pPr>
        <w:spacing w:after="0" w:line="5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To capitalize on this opportunity, we launched Realize-, our new performance advertising platform designed to deliver measurable results across various ad formats and placements. This platform leverages our extensive first-party data, advanced AI capabilities (including Max Conversions and Abby), and established publisher partnerships to provide advertisers with a unified solution for performance-driven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Platform for Advertisers</w:t>
      </w:r>
    </w:p>
    <w:p>
      <w:pPr>
        <w:spacing w:after="0" w:line="225"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Realize, Taboola’s powerful ad platform, is used by performance advertisers to find and convert users at scale. By focusing exclusively on the performance marketing funnel (consideration and action) and not the ‘full’ funnel, Realize provides advertisers with a comprehensive set of specialist tools to prospect for high intent users, and to actively drive these prospects down the funnel and turn them into customers.</w:t>
      </w:r>
    </w:p>
    <w:p>
      <w:pPr>
        <w:spacing w:after="0" w:line="211"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Underpinned by advanced machine learning AI that we have trained on unique data over 15 years, Realize offers advertisers a powerful engine for growth beyond search and social.</w:t>
      </w:r>
    </w:p>
    <w:p>
      <w:pPr>
        <w:spacing w:after="0" w:line="149"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Massive, direct reach in brand safe environments: </w:t>
      </w:r>
      <w:r>
        <w:rPr>
          <w:rFonts w:ascii="Times New Roman" w:cs="Times New Roman" w:eastAsia="Times New Roman" w:hAnsi="Times New Roman"/>
          <w:sz w:val="16"/>
          <w:szCs w:val="16"/>
          <w:color w:val="auto"/>
        </w:rPr>
        <w:t>Realize reaches approximately 600 million daily active users on many of the world’s most well-known editorial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properties. All of our supply partners are directly connected meaning advertisers do not have to trace complex supply chains when working with Realize. Advertisers can easily select which properties they wish to appear on based on their own brand safety criteria</w:t>
      </w:r>
    </w:p>
    <w:p>
      <w:pPr>
        <w:spacing w:after="0" w:line="142"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Multiple creative formats and tools: </w:t>
      </w:r>
      <w:r>
        <w:rPr>
          <w:rFonts w:ascii="Times New Roman" w:cs="Times New Roman" w:eastAsia="Times New Roman" w:hAnsi="Times New Roman"/>
          <w:sz w:val="16"/>
          <w:szCs w:val="16"/>
          <w:color w:val="auto"/>
        </w:rPr>
        <w:t>Realize supports a range of different creative formats across a diverse set of placements on the publisher page. These formats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 easy for advertisers to re-use existing static or video creative assets they have built for display campaigns or social media. We also provide them with Generative AI tools to easily adapt existing creative or to create new ones from scratch meaning that most every type of advertiser can easily start working with Realize</w:t>
      </w:r>
    </w:p>
    <w:p>
      <w:pPr>
        <w:spacing w:after="0" w:line="196" w:lineRule="exact"/>
        <w:rPr>
          <w:sz w:val="20"/>
          <w:szCs w:val="20"/>
          <w:color w:val="auto"/>
        </w:rPr>
      </w:pPr>
    </w:p>
    <w:p>
      <w:pPr>
        <w:jc w:val="both"/>
        <w:ind w:firstLine="243"/>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Advanced Audience Targeting options: </w:t>
      </w:r>
      <w:r>
        <w:rPr>
          <w:rFonts w:ascii="Times New Roman" w:cs="Times New Roman" w:eastAsia="Times New Roman" w:hAnsi="Times New Roman"/>
          <w:sz w:val="16"/>
          <w:szCs w:val="16"/>
          <w:color w:val="auto"/>
        </w:rPr>
        <w:t>Using signals based on what users are reading and how they interact with our network of publishers, we offer advertisers a range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proprietary targeting options that drive down customer acquisition costs by connecting the right ads with the right audience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Platform for Digital Properties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Through our AI technology, unique data and Advertiser relationships, we help digital properties develop their audience and grow monetization.</w:t>
      </w:r>
    </w:p>
    <w:p>
      <w:pPr>
        <w:spacing w:after="0" w:line="24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i w:val="1"/>
          <w:iCs w:val="1"/>
          <w:color w:val="auto"/>
        </w:rPr>
        <w:t>Audience Development</w:t>
      </w:r>
      <w:r>
        <w:rPr>
          <w:rFonts w:ascii="Times New Roman" w:cs="Times New Roman" w:eastAsia="Times New Roman" w:hAnsi="Times New Roman"/>
          <w:sz w:val="16"/>
          <w:szCs w:val="16"/>
          <w:color w:val="auto"/>
        </w:rPr>
        <w:t>: Digital properties using our platform can engage and grow their audience in several ways. They can improve engagement and keep users on-site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leveraging our AI engine, which reaches the right user at the right time with relevant content. Greater user engagement can increase opportunities for monetization through ads, subscriptions and more. Historically, Taboola recommendations have been clicked tens of billions of times annually, with approximately one-third of those clicks on editorial content, keeping users on the same site. Return visits can also be encouraged through our personalized push notifications offering. Additionally, our Taboola Newsroom product delivers unique readership data and actionable insights from across the Taboola network to inform editorial decisions, optimize content strategy, and ultimately attract new users. Further, digital properties can find new users via exclusive distribution channels: they can acquire quality audiences from across the Taboola Network, and they can distribute editorial content across the Taboola News ecosystem to reach users in experiences on mobile devices.</w:t>
      </w:r>
    </w:p>
    <w:p>
      <w:pPr>
        <w:spacing w:after="0" w:line="22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Monetization: </w:t>
      </w:r>
      <w:r>
        <w:rPr>
          <w:rFonts w:ascii="Times New Roman" w:cs="Times New Roman" w:eastAsia="Times New Roman" w:hAnsi="Times New Roman"/>
          <w:sz w:val="16"/>
          <w:szCs w:val="16"/>
          <w:color w:val="auto"/>
        </w:rPr>
        <w:t>We enable digital properties to monetize their content with digital ads in a variety of formats, placements and supply types. When people click on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ads or make a purchase, and in certain cases when they view the ads, Advertisers pay us and we then share in this revenue with the digital property on which the click or impression occurred. For over a decade, Taboola has been a leader in native ad monetization for digital properties, primarily in below-article placements. With the launch of Realize, Taboola’s goal is to provide the opportunity for digital properties to expand their revenues by attracting new performance advertising budgets to their programmatic display and native placements. Realize’s new audience targeting and performance AI capabilities along with expanded ad format and placement offerings in exclusive and bidded environments are designed to provide higher yield for digital properties, while increasing ad relevance and enhancing the user experience. With Taboola’s e-Commerce solution we also offer cost-per-click and cost-per-action monetization of both product listings and links to retailers that reside directly within editorial content.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Performance Technology</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Research and development team has spent over a decade developing the proprietary Performance AI technology used in our core product, solving an incredibly complex problem — how to match personalized ad to millions of available articles and videos, in real-time, when you have approximately 600 million daily active users, exposed to multiple ad impressions a day, and need to optimize for diverse outcomes and support multiple pricing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Rather than rely on knowledge of what people are searching for or what they share on social media, our predictive algorithms employ unique Deep Learning technology to develop a powerful model of people’s interests and intent across digital properties outside of search and social platforms. Our technology performs exceptionally well on diverse types of input data, such as text, images and video, and is designed to discover non-trivial relations between content and users in a specific context. We predict which recommendations users are most likely to engage with based on a broad set of ‘signals’ that fall into the following categories:</w:t>
      </w:r>
    </w:p>
    <w:p>
      <w:pPr>
        <w:spacing w:after="0" w:line="83" w:lineRule="exact"/>
        <w:rPr>
          <w:sz w:val="20"/>
          <w:szCs w:val="20"/>
          <w:color w:val="auto"/>
        </w:rPr>
      </w:pPr>
    </w:p>
    <w:p>
      <w:pPr>
        <w:ind w:left="660" w:hanging="328"/>
        <w:spacing w:after="0" w:line="283"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User Behavior. </w:t>
      </w:r>
      <w:r>
        <w:rPr>
          <w:rFonts w:ascii="Times New Roman" w:cs="Times New Roman" w:eastAsia="Times New Roman" w:hAnsi="Times New Roman"/>
          <w:sz w:val="16"/>
          <w:szCs w:val="16"/>
          <w:color w:val="auto"/>
        </w:rPr>
        <w:t>We are experts in analyzing pseudonymized user behavior across digital properties outside of search and social platforms. We gather a massive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of first party content consumption data from users who visit our partners’ digital properties, which our Deep Learning engines then ingest.</w:t>
      </w:r>
    </w:p>
    <w:p>
      <w:pPr>
        <w:spacing w:after="0" w:line="52" w:lineRule="exact"/>
        <w:rPr>
          <w:rFonts w:ascii="Times New Roman" w:cs="Times New Roman" w:eastAsia="Times New Roman" w:hAnsi="Times New Roman"/>
          <w:sz w:val="16"/>
          <w:szCs w:val="16"/>
          <w:color w:val="auto"/>
        </w:rPr>
      </w:pPr>
    </w:p>
    <w:p>
      <w:pPr>
        <w:ind w:left="660" w:right="20" w:hanging="328"/>
        <w:spacing w:after="0" w:line="301"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Context</w:t>
      </w:r>
      <w:r>
        <w:rPr>
          <w:rFonts w:ascii="Times New Roman" w:cs="Times New Roman" w:eastAsia="Times New Roman" w:hAnsi="Times New Roman"/>
          <w:sz w:val="16"/>
          <w:szCs w:val="16"/>
          <w:color w:val="auto"/>
        </w:rPr>
        <w:t>. Our algorithms ingest contextual signals, such as geographic location of the user, what device the user is using, time of day, day of week, page layout,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page language and more.</w:t>
      </w:r>
    </w:p>
    <w:p>
      <w:pPr>
        <w:spacing w:after="0" w:line="38" w:lineRule="exact"/>
        <w:rPr>
          <w:rFonts w:ascii="Times New Roman" w:cs="Times New Roman" w:eastAsia="Times New Roman" w:hAnsi="Times New Roman"/>
          <w:sz w:val="16"/>
          <w:szCs w:val="16"/>
          <w:color w:val="auto"/>
        </w:rPr>
      </w:pPr>
    </w:p>
    <w:p>
      <w:pPr>
        <w:ind w:left="660" w:hanging="328"/>
        <w:spacing w:after="0" w:line="301"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Analysis of Recommended Items</w:t>
      </w:r>
      <w:r>
        <w:rPr>
          <w:rFonts w:ascii="Times New Roman" w:cs="Times New Roman" w:eastAsia="Times New Roman" w:hAnsi="Times New Roman"/>
          <w:sz w:val="16"/>
          <w:szCs w:val="16"/>
          <w:color w:val="auto"/>
        </w:rPr>
        <w:t>. We analyze recommended items, including paid advertisements, editorial articles, images and videos, to identify signals such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topic, title, thumbnail image, semantics and sentiment.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Match Ads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Matching ads to ad opportunities is particularly complex because the process requires accurately predicting multiple facets of the user’s interaction:</w:t>
      </w:r>
    </w:p>
    <w:p>
      <w:pPr>
        <w:spacing w:after="0" w:line="12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probability the user will interact (click on an ad, or go to an Advertiser’s site/app after seeing an ad), given a specific user and context.</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probability a user will convert (into a lead, sales or other KPIs the Advertiser wishes to optimize) after she clicked/viewed an ad, given a specific user and context.</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a specific item (we support cost per click (CPC) and cost per thousand impressions (CPM)).</w:t>
      </w:r>
    </w:p>
    <w:p>
      <w:pPr>
        <w:spacing w:after="0" w:line="11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ultimate measure of success in recommending ads is achieving the Advertiser’s goals. In order to do so, Taboola’s algorithms are designed to select the right opportunity to engage the right user with the right ad, while at the same time optimizing pricing and selecting the best creative assets to use. Our technology is designed to predict the value of each item and optimize both the advertising creatives and the format mix in each auction.</w:t>
      </w:r>
    </w:p>
    <w:p>
      <w:pPr>
        <w:spacing w:after="0" w:line="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As described above, in order to match ads effectively, our technology must first predict a user’s engagement with a given advertisement. When combined with the bid for each item, and the prediction of the conversion, this allows us to calculate the relative value of each item available for recommendation. To create an efficient marketplace, our algorithms support diverse pricing models, including CPC and CPM, and are able to conduct efficient auctions between them in order to maximize available inventory for Advertisers with diverse marketing objectives. We optimize bids for a particular ad, Advertiser, user and context, while factoring in constraints, such as geographic location targeting or audience segment targeting, regardless of pricing model.</w:t>
      </w:r>
    </w:p>
    <w:p>
      <w:pPr>
        <w:spacing w:after="0" w:line="72"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In order to assist Advertisers in executing efficient and effective campaigns, we developed a pricing automation tool called Smart Bid. Smart Bid is an automated campaign bidding strategy that utilizes platform data to bid effectively in real-time on impressions that are most likely to lead to conversions.</w:t>
      </w:r>
    </w:p>
    <w:p>
      <w:pPr>
        <w:spacing w:after="0" w:line="4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To maximize the probability of a user engaging with an ad, we support multiple ad formats, including standard display, video and native formats used on social media and other channels,that include images, videos, text and interactive elements We also support specialized elements, such as product price, discount, number of items left in stock, mobile app rating and more. Selecting the optimal ad also involves determining the best version and format of the ad from a very large number of combinations; Taboola does so by running a scalable infrastructure of multi-variant testing, which in turn allows the algorithm to choose the best creative combination efficiently.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we Enable Digital Properties to make e-Commerce Recommendations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solutions include e-Commerce focused content and monetization solutions for publishers through our Connexity subsidiary. From a content point of view, we provide publishers with access to over 500 million product listings that are structured into product categories and enriched with product attributes. We syndicate those enriched offers to publishers, thereby enabling them to create consumer shopping or editorial experiences by embedding those product listings as native content within their websites, apps or social media feeds.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Publishers can access and engage with the content in a variety of ways. Technology-savvy enterprise publishers will ingest the entire product listings feed and use their own search engine or content management system to choose how, when and which content to display. Less tech-enabled publishers will call Connexity’s search engine API to retrieve product listing results based on a search query, and then they will publish those product listings within their consumer experience in real-time. Lastly, professional editors or social influencers can use a browser-based editorial tool to hand-pick a specific product to display within their editorial content experience.</w:t>
      </w:r>
    </w:p>
    <w:p>
      <w:pPr>
        <w:spacing w:after="0" w:line="8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In each of those cases, from a monetization perspective, we enable the publisher to seamlessly earn revenue on either a CPC or cost-per-action (CPA) for clicks and conversions that are generated by consumer engagement with the product listings or other retail-oriented editorial content.</w:t>
      </w:r>
    </w:p>
    <w:p>
      <w:pPr>
        <w:spacing w:after="0" w:line="5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To enable these publishers to maximize the success of the commerce content initiatives, we provide a suite of analytics dashboards that showcase real-time feedback on the performance of each of their product listing or editorial placements. In addition, we also provide insights into industry trends including visibility into the type of content and products that are converting well across the entire network. These real-time feedback loops and insights are critical inputs that drive publishers’ content strategy and decisions about which products to promote. They accrue significant benefits to both publishers and the company in the form of increased yield and significantly differentiate the solution as the network effect is difficult to replicate.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Advertising that Complements Campaigns on Search and Social Media</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support of our win-win approach to partnerships, our Performance AI technology is built to operate differently. Because we power editorial recommendations, digital properties typically embed our code directly on their web page. This means we can serve our own first-party cookie, much like what digital properties do on their own sites and applications.</w:t>
      </w:r>
    </w:p>
    <w:p>
      <w:pPr>
        <w:spacing w:after="0" w:line="84"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performance platform allows both digital properties and Advertisers to control their brand identity within Taboola’s network. For example, digital properties can set “acceptance profiles” to determine which types of Advertisers we will recommend, and Advertisers can target or block selected digital properties. To consistently regulate the quality of our network, we also maintain a public content policy and employ a content review team that reviewed over ten million items in the fourth quarter of 2024. This combination of technology and human review is designed to create a consistently high level of brand safety and quality content within our network.</w:t>
      </w:r>
    </w:p>
    <w:p>
      <w:pPr>
        <w:spacing w:after="0" w:line="7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While developing our performance platform, privacy is always at the top of our mind. We have long established and adopted privacy-by-design as a central element of our technology, and product design and development cycles, with a strong commitment to ensuring best practices in privacy, security and safety for our partners and users. Since 2017, we have had a designated Data Privacy Officer along with a team of privacy specialists. These specialists are integrated within our Research and development and Product organizations and processes, and consider all facets of user privacy as key elements in the design of any new technology, solution or feature of our recommendation platform. We also perform ongoing privacy impact assessments to monitor potential risks during the product lifecycle and proactively mitigate those risks.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Recommend Editorial Content</w:t>
      </w:r>
    </w:p>
    <w:p>
      <w:pPr>
        <w:spacing w:after="0" w:line="18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Recommending editorial, or organic, content produced by digital properties enables us to help our publisher partners keep users active on their site for a longer period of time, increasing their exposure to more personalized editorial content — thus increasing overall satisfaction and loyalty.</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To successfully recommend editorial content items, we developed algorithms that extract and analyze content consumption patterns from our entire network of digital properties. Our recommendations also rely on our deep understanding of reading habits based on our analysis of redundancy, recency, vertical, longevity, relevance device type and other factors.</w:t>
      </w:r>
    </w:p>
    <w:p>
      <w:pPr>
        <w:spacing w:after="0" w:line="84"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order to refine our ability to recommend editorial content even further, we have built multiple crawlers to ingest editorial content, categorize it, and extract named entities and topics using our Natural Language Understanding platform, which transforms human language into a machine-readable format. We also automated the assimilation, classification and generation of creatives, including images, videos, titles and descriptions.</w:t>
      </w:r>
    </w:p>
    <w:p>
      <w:pPr>
        <w:spacing w:after="0" w:line="6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We also take into consideration the optimization of recommendations to support our publishers’ goals, including subscriptions, pages per session, session duration, subscriptions to newsletters and more.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Yahoo Partnership</w:t>
      </w:r>
    </w:p>
    <w:p>
      <w:pPr>
        <w:spacing w:after="0" w:line="16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November 2022, we announced we had entered into a 30-year exclusive commercial agreement with Yahoo, under which we power native advertising across all of Yahoo’s digital properties, expanding our native advertising offering. This agreement also granted us access to standard display placements across Yahoo properties, as well as enabling us to partner closely with Yahoo to serve advertisers utilizing combined data and scale of supply. In January 2023 we closed on the various related agreements, including the issuance of 39,525,691 Ordinary shares and 45,198,702 Non-Voting Ordinary shares to Yahoo.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Restructuring Program</w:t>
      </w:r>
    </w:p>
    <w:p>
      <w:pPr>
        <w:spacing w:after="0" w:line="18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September 2022, in response to macroeconomic conditions, the Company announced and implemented a cost restructuring program impacting approximately 6% of the Company’s global headcount. Restructuring expenses were approximately $3.4 million for the year ended December 31, 2022 primarily consisting of one-time incremental employee termination benefits and other costs related to the Company’s business prioritization.</w:t>
      </w:r>
    </w:p>
    <w:p>
      <w:pPr>
        <w:spacing w:after="0" w:line="63" w:lineRule="exact"/>
        <w:rPr>
          <w:sz w:val="20"/>
          <w:szCs w:val="20"/>
          <w:color w:val="auto"/>
        </w:rPr>
      </w:pPr>
    </w:p>
    <w:p>
      <w:pPr>
        <w:ind w:right="1380" w:firstLine="243"/>
        <w:spacing w:after="0" w:line="474" w:lineRule="auto"/>
        <w:rPr>
          <w:sz w:val="20"/>
          <w:szCs w:val="20"/>
          <w:color w:val="auto"/>
        </w:rPr>
      </w:pPr>
      <w:r>
        <w:rPr>
          <w:rFonts w:ascii="Times New Roman" w:cs="Times New Roman" w:eastAsia="Times New Roman" w:hAnsi="Times New Roman"/>
          <w:sz w:val="16"/>
          <w:szCs w:val="16"/>
          <w:color w:val="auto"/>
        </w:rPr>
        <w:t xml:space="preserve">See Note 14 of Notes to the Consolidated Financial Statements in this Annual Report for additional details regarding the cost restructuring program. </w:t>
      </w:r>
      <w:r>
        <w:rPr>
          <w:rFonts w:ascii="Times New Roman" w:cs="Times New Roman" w:eastAsia="Times New Roman" w:hAnsi="Times New Roman"/>
          <w:sz w:val="16"/>
          <w:szCs w:val="16"/>
          <w:b w:val="1"/>
          <w:bCs w:val="1"/>
          <w:i w:val="1"/>
          <w:iCs w:val="1"/>
          <w:color w:val="auto"/>
        </w:rPr>
        <w:t>Infrastructure</w:t>
      </w:r>
    </w:p>
    <w:p>
      <w:pPr>
        <w:spacing w:after="0" w:line="29"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To successfully deliver optimized recommendations to nearly 600 million daily active users, and 500,000 recommendation related requests every second, we developed powerful software and hardware infrastructures from the ground up.</w:t>
      </w:r>
    </w:p>
    <w:p>
      <w:pPr>
        <w:spacing w:after="0" w:line="4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data infrastructure was designed and implemented with several principles to ensure both very high accuracy and high speed to process and ingest every new data input at a very high scale and throughput. This infrastructure continuously “feeds” the predictive Deep Learning models, granting access to rich user history and enabling enrichment of data.</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order to support the massive amount of text analysis, processing, named entities and general semantic understanding, we have built a Natural Language Understanding platform with a large scale knowledge graph. Designed to recognize multiple languages, topics, concepts, named entities and categories for the entire Taboola platform, this platform is built using Deep Learning technologies.</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ability to control the entire feed across multiple canvases is enabled by building state of the art client-side technologies to render and serve a rich feed of content across billions of devices, canvases and user touch points. This process operates within strict SLA and performance constraints, which requires us to develop our technology to work efficiently on low-end and high-end devices and canvases.</w:t>
      </w:r>
    </w:p>
    <w:p>
      <w:pPr>
        <w:spacing w:after="0" w:line="63"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As of December 31, 2024 we utilized approximately 13,000 servers; four back-end data centers processing over 100TB of data per day to train our AI engine; and nine front-end global data centers that, together, have served up to one trillion recommendations monthly. We use around 600,000 CPU cores, 2.8PB of memory and around 71,000PB of storage overall.</w:t>
      </w:r>
    </w:p>
    <w:p>
      <w:pPr>
        <w:spacing w:after="0" w:line="7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Deployment of our code to the production environment is fully automated and includes execution of tens of thousands of automated tests for each code change, using AI to locate anomalies in the code to prevent errors. This allows our Research and development to develop software quickly and enables us to continuously deliver reliable code and AI models to production. To address the extreme complexity of operating at such a massive scale, we use cutting-edge technologies, such as Tensorflow, Spark, Cassandra and Kafka, as well as highly sophisticated code we developed to allow these tools to meet our scale and reliability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Team</w:t>
      </w:r>
    </w:p>
    <w:p>
      <w:pPr>
        <w:spacing w:after="0" w:line="225"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We have assembled a world class team of engineers and data scientists with a business-focused, innovative engineering culture. We have access to top talent in Asia, Europe, Israel, and the U.S., including very strong talent in AI, Deep Learning, high-scale infrastructure and browser-based technologies. We believe our engineering culture plays a key role in our success: we assign business KPIs to Research and development teams so technological decisions and priorities are aligned with business needs; we empower engineers to own features end-to-end, from ideation to full adoption; and we put special emphasis on collaboration. Our engineering culture relies strongly on experimentation and multi-variants testing. We continuously deploy and run hundreds of different AI models, UI variations and optimizations, in effect measuring hundreds of KPIs. We build our infrastructure such that it enables this culture of continuous improvement.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believe the following key strengths provide us with competitive advantages:</w:t>
      </w:r>
    </w:p>
    <w:p>
      <w:pPr>
        <w:spacing w:after="0" w:line="111" w:lineRule="exact"/>
        <w:rPr>
          <w:sz w:val="20"/>
          <w:szCs w:val="20"/>
          <w:color w:val="auto"/>
        </w:rPr>
      </w:pPr>
    </w:p>
    <w:p>
      <w:pPr>
        <w:jc w:val="both"/>
        <w:ind w:left="660" w:hanging="328"/>
        <w:spacing w:after="0" w:line="27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Performance of our AI Technology</w:t>
      </w:r>
      <w:r>
        <w:rPr>
          <w:rFonts w:ascii="Times New Roman" w:cs="Times New Roman" w:eastAsia="Times New Roman" w:hAnsi="Times New Roman"/>
          <w:sz w:val="16"/>
          <w:szCs w:val="16"/>
          <w:color w:val="auto"/>
        </w:rPr>
        <w:t>. We have spent over 15 years developing our AI-powered recommendation technology to drive high yield for digital properties,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high returns on advertising spend for Advertisers, and relevant recommendations to consumers, who spend more time consuming content on digital properties. Similarly Connexity, our e-Commerce solution, uses AI powered technology to drive optimized performance for Advertisers and digital properties.</w:t>
      </w:r>
    </w:p>
    <w:p>
      <w:pPr>
        <w:spacing w:after="0" w:line="60" w:lineRule="exact"/>
        <w:rPr>
          <w:rFonts w:ascii="Times New Roman" w:cs="Times New Roman" w:eastAsia="Times New Roman" w:hAnsi="Times New Roman"/>
          <w:sz w:val="16"/>
          <w:szCs w:val="16"/>
          <w:color w:val="auto"/>
        </w:rPr>
      </w:pPr>
    </w:p>
    <w:p>
      <w:pPr>
        <w:jc w:val="both"/>
        <w:ind w:left="660" w:hanging="328"/>
        <w:spacing w:after="0" w:line="264"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More than Monetization. </w:t>
      </w:r>
      <w:r>
        <w:rPr>
          <w:rFonts w:ascii="Times New Roman" w:cs="Times New Roman" w:eastAsia="Times New Roman" w:hAnsi="Times New Roman"/>
          <w:sz w:val="16"/>
          <w:szCs w:val="16"/>
          <w:color w:val="auto"/>
        </w:rPr>
        <w:t>The value we provide to digital properties goes beyond monetization. Our technology helps digital properties grow their audience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optimizing audience exchange programs; recommending content created by the digital properties to increase the time consumers spend on these properties; helping editorial teams make data-driven decisions, and more. We work daily with our extensive network of global digital properties to improve our platform and create more value for the entire Taboola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328"/>
        <w:spacing w:after="0" w:line="27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Exclusive, Multi-Year Partnerships with Premium Digital Properties</w:t>
      </w:r>
      <w:r>
        <w:rPr>
          <w:rFonts w:ascii="Times New Roman" w:cs="Times New Roman" w:eastAsia="Times New Roman" w:hAnsi="Times New Roman"/>
          <w:sz w:val="16"/>
          <w:szCs w:val="16"/>
          <w:color w:val="auto"/>
        </w:rPr>
        <w:t>. We have established long-standing, and in many cases exclusive relationships with digital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properties on the Open Web. They have chosen to work with Taboola across all types of platforms, including desktop, mobile and tablet devices. This provides Taboola and Taboola Advertisers with predictable access to audiences and supply.</w:t>
      </w:r>
    </w:p>
    <w:p>
      <w:pPr>
        <w:spacing w:after="0" w:line="60" w:lineRule="exact"/>
        <w:rPr>
          <w:rFonts w:ascii="Times New Roman" w:cs="Times New Roman" w:eastAsia="Times New Roman" w:hAnsi="Times New Roman"/>
          <w:sz w:val="16"/>
          <w:szCs w:val="16"/>
          <w:color w:val="auto"/>
        </w:rPr>
      </w:pPr>
    </w:p>
    <w:p>
      <w:pPr>
        <w:ind w:left="660" w:hanging="328"/>
        <w:spacing w:after="0" w:line="301"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Direct Relationships with Advertisers. </w:t>
      </w:r>
      <w:r>
        <w:rPr>
          <w:rFonts w:ascii="Times New Roman" w:cs="Times New Roman" w:eastAsia="Times New Roman" w:hAnsi="Times New Roman"/>
          <w:sz w:val="16"/>
          <w:szCs w:val="16"/>
          <w:color w:val="auto"/>
        </w:rPr>
        <w:t>We work directly with the majority of the Advertisers that use our platform. This allows us to build strong relationships,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help Advertisers succeed on our platform, and evolve our technology based on direct feedback.</w:t>
      </w:r>
    </w:p>
    <w:p>
      <w:pPr>
        <w:spacing w:after="0" w:line="3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 Reach and Scale</w:t>
      </w:r>
      <w:r>
        <w:rPr>
          <w:rFonts w:ascii="Times New Roman" w:cs="Times New Roman" w:eastAsia="Times New Roman" w:hAnsi="Times New Roman"/>
          <w:sz w:val="16"/>
          <w:szCs w:val="16"/>
          <w:color w:val="auto"/>
        </w:rPr>
        <w:t>. We have nearly 600 million daily active users across the globe, enabling Advertisers to run campaigns at scale.</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7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Network Effect. </w:t>
      </w:r>
      <w:r>
        <w:rPr>
          <w:rFonts w:ascii="Times New Roman" w:cs="Times New Roman" w:eastAsia="Times New Roman" w:hAnsi="Times New Roman"/>
          <w:sz w:val="16"/>
          <w:szCs w:val="16"/>
          <w:color w:val="auto"/>
        </w:rPr>
        <w:t>As more digital properties use our platform, we gather more content consumption data. More data makes our AI-driven algorithms more effective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making predictions, which in turn enables us to deliver better performance for Advertisers, which drives higher yields for digital properties. These higher yields make it easier to retain digital properties and acquire new partners.</w:t>
      </w:r>
    </w:p>
    <w:p>
      <w:pPr>
        <w:spacing w:after="0" w:line="74" w:lineRule="exact"/>
        <w:rPr>
          <w:rFonts w:ascii="Times New Roman" w:cs="Times New Roman" w:eastAsia="Times New Roman" w:hAnsi="Times New Roman"/>
          <w:sz w:val="16"/>
          <w:szCs w:val="16"/>
          <w:color w:val="auto"/>
        </w:rPr>
      </w:pPr>
    </w:p>
    <w:p>
      <w:pPr>
        <w:jc w:val="both"/>
        <w:ind w:left="660" w:hanging="328"/>
        <w:spacing w:after="0" w:line="265"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Founder-led Experienced Management Team. </w:t>
      </w:r>
      <w:r>
        <w:rPr>
          <w:rFonts w:ascii="Times New Roman" w:cs="Times New Roman" w:eastAsia="Times New Roman" w:hAnsi="Times New Roman"/>
          <w:sz w:val="16"/>
          <w:szCs w:val="16"/>
          <w:color w:val="auto"/>
        </w:rPr>
        <w:t>Our founder, Adam Singolda, has successfully led Taboola as CEO since we began operations in 2007. Most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Taboola’s senior management has worked together with our founder for many years: the average tenure of our senior management is over ten years, demonstrating strong execution and achieving rapid growth.</w:t>
      </w:r>
    </w:p>
    <w:p>
      <w:pPr>
        <w:spacing w:after="0" w:line="79" w:lineRule="exact"/>
        <w:rPr>
          <w:rFonts w:ascii="Times New Roman" w:cs="Times New Roman" w:eastAsia="Times New Roman" w:hAnsi="Times New Roman"/>
          <w:sz w:val="16"/>
          <w:szCs w:val="16"/>
          <w:color w:val="auto"/>
        </w:rPr>
      </w:pPr>
    </w:p>
    <w:p>
      <w:pPr>
        <w:ind w:left="660" w:right="20" w:hanging="328"/>
        <w:spacing w:after="0" w:line="28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Strong Financial Profile. </w:t>
      </w:r>
      <w:r>
        <w:rPr>
          <w:rFonts w:ascii="Times New Roman" w:cs="Times New Roman" w:eastAsia="Times New Roman" w:hAnsi="Times New Roman"/>
          <w:sz w:val="16"/>
          <w:szCs w:val="16"/>
          <w:color w:val="auto"/>
        </w:rPr>
        <w:t>We designed our business to be highly scalable, with a focus on sustainable long-term development. Since we began operations in 2007,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demonstrated a track record over time of growth in revenue, gross profit and ex-TAC Gross Profit.</w:t>
      </w:r>
    </w:p>
    <w:p>
      <w:pPr>
        <w:spacing w:after="0" w:line="52" w:lineRule="exact"/>
        <w:rPr>
          <w:rFonts w:ascii="Times New Roman" w:cs="Times New Roman" w:eastAsia="Times New Roman" w:hAnsi="Times New Roman"/>
          <w:sz w:val="16"/>
          <w:szCs w:val="16"/>
          <w:color w:val="auto"/>
        </w:rPr>
      </w:pPr>
    </w:p>
    <w:p>
      <w:pPr>
        <w:jc w:val="both"/>
        <w:ind w:left="660" w:hanging="328"/>
        <w:spacing w:after="0" w:line="27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 Dependent on Third Party Cookies</w:t>
      </w:r>
      <w:r>
        <w:rPr>
          <w:rFonts w:ascii="Times New Roman" w:cs="Times New Roman" w:eastAsia="Times New Roman" w:hAnsi="Times New Roman"/>
          <w:sz w:val="16"/>
          <w:szCs w:val="16"/>
          <w:color w:val="auto"/>
        </w:rPr>
        <w:t>. Our direct integration with many digital properties has helped us navigate changes in the industry. Our engineers continue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work closely with industry stakeholders to ensure we will be prepared in the likely event that third-party cookies are fully blocked and we continue to invest in innovative solutions that deliver relevant and engaging discovery experiences for our users.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Opportunities</w:t>
      </w:r>
    </w:p>
    <w:p>
      <w:pPr>
        <w:spacing w:after="0" w:line="169" w:lineRule="exact"/>
        <w:rPr>
          <w:sz w:val="20"/>
          <w:szCs w:val="20"/>
          <w:color w:val="auto"/>
        </w:rPr>
      </w:pPr>
    </w:p>
    <w:p>
      <w:pPr>
        <w:ind w:firstLine="243"/>
        <w:spacing w:after="0" w:line="298" w:lineRule="auto"/>
        <w:rPr>
          <w:sz w:val="20"/>
          <w:szCs w:val="20"/>
          <w:color w:val="auto"/>
        </w:rPr>
      </w:pPr>
      <w:r>
        <w:rPr>
          <w:rFonts w:ascii="Times New Roman" w:cs="Times New Roman" w:eastAsia="Times New Roman" w:hAnsi="Times New Roman"/>
          <w:sz w:val="16"/>
          <w:szCs w:val="16"/>
          <w:color w:val="auto"/>
        </w:rPr>
        <w:t>We drive revenue by growing users and user engagement, and by driving yield, which represents the revenue we can generate per user. We do this by focusing on the following key areas:</w:t>
      </w:r>
    </w:p>
    <w:p>
      <w:pPr>
        <w:spacing w:after="0" w:line="41" w:lineRule="exact"/>
        <w:rPr>
          <w:sz w:val="20"/>
          <w:szCs w:val="20"/>
          <w:color w:val="auto"/>
        </w:rPr>
      </w:pPr>
    </w:p>
    <w:p>
      <w:pPr>
        <w:ind w:left="660" w:hanging="328"/>
        <w:spacing w:after="0" w:line="301"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Continued Investment in AI</w:t>
      </w:r>
      <w:r>
        <w:rPr>
          <w:rFonts w:ascii="Times New Roman" w:cs="Times New Roman" w:eastAsia="Times New Roman" w:hAnsi="Times New Roman"/>
          <w:sz w:val="16"/>
          <w:szCs w:val="16"/>
          <w:color w:val="auto"/>
        </w:rPr>
        <w:t>. Continuously investing in our AI technology is at the heart of what we do. We believe AI is critical to engaging Open Web users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ultimately provide better service and greater monetization to Advertisers and digital properties, increasing our yields and accelerating our growth.</w:t>
      </w:r>
    </w:p>
    <w:p>
      <w:pPr>
        <w:spacing w:after="0" w:line="38" w:lineRule="exact"/>
        <w:rPr>
          <w:rFonts w:ascii="Times New Roman" w:cs="Times New Roman" w:eastAsia="Times New Roman" w:hAnsi="Times New Roman"/>
          <w:sz w:val="16"/>
          <w:szCs w:val="16"/>
          <w:color w:val="auto"/>
        </w:rPr>
      </w:pPr>
    </w:p>
    <w:p>
      <w:pPr>
        <w:jc w:val="both"/>
        <w:ind w:left="660" w:hanging="328"/>
        <w:spacing w:after="0" w:line="264"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 our Core Digital Property and Advertiser Client Bas</w:t>
      </w:r>
      <w:r>
        <w:rPr>
          <w:rFonts w:ascii="Times New Roman" w:cs="Times New Roman" w:eastAsia="Times New Roman" w:hAnsi="Times New Roman"/>
          <w:sz w:val="16"/>
          <w:szCs w:val="16"/>
          <w:color w:val="auto"/>
        </w:rPr>
        <w:t>e. While we already have an extensive network of global digital properties and Advertisers, we believe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efficacy of our recommendation platform gives us the opportunity to expand our partnerships and client base even further, as demonstrated by our 30-year partnership with Yahoo which closed in January 2023. We expect to continue investing in our technology, expanding our global presence, and growing our sales and client service teams to support further growth.</w:t>
      </w:r>
    </w:p>
    <w:p>
      <w:pPr>
        <w:spacing w:after="0" w:line="81"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Add User Touchpoints</w:t>
      </w:r>
      <w:r>
        <w:rPr>
          <w:rFonts w:ascii="Times New Roman" w:cs="Times New Roman" w:eastAsia="Times New Roman" w:hAnsi="Times New Roman"/>
          <w:sz w:val="16"/>
          <w:szCs w:val="16"/>
          <w:color w:val="auto"/>
        </w:rPr>
        <w:t>. At our core, Taboola is a recommendation engine. We believe many types of digital properties need a recommendation engine to engage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their consumers, find new audiences and monetize. This includes e-Commerce websites, connected TVs, devices and more. In 2018, we launched Taboola News, an offering which seamlessly integrates premium content from our digital properties into connected devices. We believe our existing partnerships with leading device manufacturers and mobile carriers, as well as potential future partnerships with connected TV vendors and others, presents a substantial growth opportunity for both Taboola and our partners.</w:t>
      </w:r>
    </w:p>
    <w:p>
      <w:pPr>
        <w:spacing w:after="0" w:line="83"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Add New Types of Recommendations. </w:t>
      </w:r>
      <w:r>
        <w:rPr>
          <w:rFonts w:ascii="Times New Roman" w:cs="Times New Roman" w:eastAsia="Times New Roman" w:hAnsi="Times New Roman"/>
          <w:sz w:val="16"/>
          <w:szCs w:val="16"/>
          <w:color w:val="auto"/>
        </w:rPr>
        <w:t>From experience, we know recommendation engines become better when they are able to recommend a greater variety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content. For example, in 2016, we predicted that video content presented a huge opportunity for Advertisers to reach their audiences in a highly impactful way, for digital properties to drive better monetization and for users to engage with suggested videos, similar to how they are used on social networks such as Instagram. To that end, we added support for video formats in our recommendation platform and saw significant returns from doing so. Similarly, we believe there is opportunity to further diversify our recommendation offerings and intend to invest in new formats and advertising partnerships to improve both consumer experience and yield. The ability to display a variety of media formats in novel combinations is key to preventing “banner blindness” that plagues traditional display formats and making our recommendation engine even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328"/>
        <w:spacing w:after="0" w:line="260"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E-Commerce. </w:t>
      </w:r>
      <w:r>
        <w:rPr>
          <w:rFonts w:ascii="Times New Roman" w:cs="Times New Roman" w:eastAsia="Times New Roman" w:hAnsi="Times New Roman"/>
          <w:sz w:val="16"/>
          <w:szCs w:val="16"/>
          <w:color w:val="auto"/>
        </w:rPr>
        <w:t>We offer e-Commerce solutions through our Connexity subsidiary, which strengthens our data, pairing our readership data with purchasing data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 make our AI better, grow yield and make our advertising partners more successful. Our expansion into e-Commerce aligns with Taboola’s overall business strategy, which is about working directly with both Advertisers and publishers, serving high quality advertising experiences that do not depend on cookies. E-Commerce is also the way for us to diversify what we recommend - to recommend products - and to grow our yield for publishers, which helps us become even more competitive. These new capabilities will provide merchants, and publishers, large and small, more opportunities to scale outside of the walled gardens, making the open web thrive.</w:t>
      </w:r>
    </w:p>
    <w:p>
      <w:pPr>
        <w:spacing w:after="0" w:line="73" w:lineRule="exact"/>
        <w:rPr>
          <w:rFonts w:ascii="Times New Roman" w:cs="Times New Roman" w:eastAsia="Times New Roman" w:hAnsi="Times New Roman"/>
          <w:sz w:val="16"/>
          <w:szCs w:val="16"/>
          <w:color w:val="auto"/>
        </w:rPr>
      </w:pPr>
    </w:p>
    <w:p>
      <w:pPr>
        <w:jc w:val="both"/>
        <w:ind w:left="660" w:hanging="328"/>
        <w:spacing w:after="0" w:line="270"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Pursue Value-Enhancing Acquisition Opportunities. </w:t>
      </w:r>
      <w:r>
        <w:rPr>
          <w:rFonts w:ascii="Times New Roman" w:cs="Times New Roman" w:eastAsia="Times New Roman" w:hAnsi="Times New Roman"/>
          <w:sz w:val="16"/>
          <w:szCs w:val="16"/>
          <w:color w:val="auto"/>
        </w:rPr>
        <w:t>The Open Web remains highly fragmented, which may present attractive opportunities for us to grow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strategic and value-enhancing acquisitions. We will continue to evaluate potential acquisition opportunities in light of changing industry trends and competitive conditions. However, given the level of effort we anticipate in launching our partnership with Yahoo, we would expect any acquisitions that we consider to either be small and very simple to integrate or dramatically value-enhancing.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Partners</w:t>
      </w:r>
    </w:p>
    <w:p>
      <w:pPr>
        <w:spacing w:after="0" w:line="16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We primarily have two types of business partners: digital properties that use Taboola to drive new audiences, engagement and monetization; and Advertisers, and their agencies, that use Taboola to achieve a variety of marketing objectives.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Digital Properties</w:t>
      </w:r>
    </w:p>
    <w:p>
      <w:pPr>
        <w:spacing w:after="0" w:line="225"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Taboola had approximately 11,000 digital property partners in the fourth quarter of 2024, including many premium properties such as Yahoo, Microsoft, NBCUniversal, CBSi, Business Insider, The Independent and El Mundo. These partners value our ability to drive new audiences to their sites, engage their users, and monetize their digital properties, while our data insights assist them in making informed editorial decisions. Our value is evidenced by our many multi-year, exclusive partnerships. As of December 31, 2024 our average contract term length with our digital properties was over two years as measured by contract duration at inception; some of our largest partners have even longer-term agreements. Yahoo and Microsoft are our largest partners. Other than Yahoo and Microsoft, no other digital property partner accounted for 5% or more of our Revenues generated from Advertisers on digital properties in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Advertisers</w:t>
      </w:r>
    </w:p>
    <w:p>
      <w:pPr>
        <w:spacing w:after="0" w:line="225"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We had approximately 2,100 Scaled Advertisers working with us directly, or through advertising agencies, worldwide during the fourth quarter of 2024. We define a Scaled Advertiser as an Advertiser that has more than $100,000 of cumulative gross spend on our network on a trailing four quarter basis. Over each of the last three years, a significant majority of our Revenues came from Scaled Advertisers working with us directly, rather than via an agency. We support the leading programmatic channels via integrations with leading demand side platforms, or DSPs. Thanks to the effectiveness of our recommendation engine, many of our Advertiser clients are considered “always on,” which means they continuously invest on our platform, rather than running finite campaigns.</w:t>
      </w:r>
    </w:p>
    <w:p>
      <w:pPr>
        <w:spacing w:after="0" w:line="95"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Advertiser customer base is highly diverse. Some of the verticals we have seen strong adoption in are health &amp; fitness, finance, hobbies &amp; interests, technology computing, home &amp; garden, shopping and automotive. Our ten largest Advertisers accounted for less than 11% of total Revenues on our network in 2024, with none larger than 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6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To support our “win-win” approach to working with both digital properties and Advertisers, we employ a global sales team tasked with signing new partners and growing existing implementations. Our team is deployed around the world with sales hubs in Bangkok, London, Los Angeles, New York, and Sao Paulo, supported by regional satellite offices in order to best serve our geographically diverse client base.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to Digital Properties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sales teams are responsible for adding new partnerships with digital properties. Once a digital property joins our network, our account management team works with the digital property’s stakeholders to understand their goals, help them reach those goals, and identify new opportunities for mutual growth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to Advertisers</w:t>
      </w:r>
    </w:p>
    <w:p>
      <w:pPr>
        <w:spacing w:after="0" w:line="21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We sell to Advertisers through our global sales team and a “self-service” website. Our sales team onboards new customers, mostly large Advertisers, through direct outreach from one of our international sales offices. Our account management teams provide ongoing guidance and data insights that inform campaign strategies and help Advertisers learn how to maximize their return on investment with Taboola. Advertisers can also choose our self-service platform to launch and manage campaigns. Outside of account managers, we support Advertisers through our online Help Center, in-product instructions, and a large number of video tutorials.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21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To support our global sales force, our marketing team presents at industry conferences and hosts webinars and customer events. In addition, our marketing team invests in public relations, advertises online to build brand awareness and acquire new customers, creates case studies, sponsors third-party research, authors data insight reports, creates marketing collateral, publishes blog posts and creates and sponsors events online and in-person.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6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We operate in a highly competitive industry. Our main competition for advertising budgets and digital property partnerships are walled gardens and advertising intermediaries:</w:t>
      </w:r>
    </w:p>
    <w:p>
      <w:pPr>
        <w:spacing w:after="0" w:line="5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Walled Gardens. We compete for advertising dollars with the closed ecosystems of technology companies such as Google, Meta/Facebook and Amazon. In many cases we also compete with those companies, in particular Google, for real estate on digital properties. As described above, unlike the walled gardens, our business is based on a “win-win” model of partnership, where we do not compete with our partners and our goals are aligned.</w:t>
      </w:r>
    </w:p>
    <w:p>
      <w:pPr>
        <w:spacing w:after="0" w:line="7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Advertising Intermediaries. A large number of companies provide a solution to one or more of the steps involved in the buying and selling of advertisements online. These include The Trade Desk, Magnite, PubMatic, Xandr, Outbrain, Plista, TripleLift, RevContent, Teads and others. While these companies may be in competition with us, some are also partners of ours.</w:t>
      </w:r>
    </w:p>
    <w:p>
      <w:pPr>
        <w:spacing w:after="0" w:line="84"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When competing for Advertiser business, we compete for budgets based on price, reach, speed, brand safety and performance. When competing for digital properties’ business, we are measured on our ability to generate revenue and support other business goals, such as audience development.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6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Our proprietary recommendation engine and associated algorithms and technologies are key to our success, and we rely upon a combination of trade secret, trademark, copyright, and patent laws in the United States and abroad as well as confidentiality agreements and technical measures to establish, maintain and protect our intellectual property and protect our proprietary recommendation engine and associated algorithms and technologies.</w:t>
      </w:r>
    </w:p>
    <w:p>
      <w:pPr>
        <w:spacing w:after="0" w:line="9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Historically, we have not patented our proprietary technology in order to keep our technology architecture, trade secrets, and engineering roadmap private; however, as of December 31, 2024, we own approximately twenty issued patents. We also own registrations for certain domain names, trademarks and service marks in the United States and in certain locations outside the United States. Additionally, we rely upon common law protection for certain trademarks. We generally enter into confidentiality and invention assignment agreements with our employees and contractors, and confidentiality agreements with our partners and clients with whom we conduct business, in order to limit access to, and disclosure and use of, our proprietary information.</w:t>
      </w:r>
    </w:p>
    <w:p>
      <w:pPr>
        <w:spacing w:after="0" w:line="72"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proprietary, internally developed know-how is also an important element of our intellectual property portfolio. The development and management of our platform requires sophisticated coordination among many specialized employees. To protect our technology, we implement multiple layers of security and our data protection measures are ISO 27001 certified.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Taboola’s General Privacy Practices</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Taboola is committed to protecting personal data and providing users transparency and control over the use of their data in online advertising. We seek to strictly enforce our privacy and data protection policies, knowing this is important to our partners, clients, users and vendors.</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Historically, we have not collected data that would enable the direct identification of Internet users. As of December 31, 2024, we used only pseudonymous data about Internet users on our platform to manage and execute digital advertising campaigns. We either collect this data directly from users’ devices or it is passed to us by third parties. We provide consumers with notice about our use of cookies and our collection and use of data in connection with the delivery of targeted advertising and allow them to opt-out from the use of data we collect for the delivery of targeted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are members of, or participants, in industry self-regulatory organizations, including the Digital Advertising Alliance, the Digital Advertising Alliance Canada, and the European Interactive Digital Advertising Alliance. Taboola also adheres to the Interactive Advertising Bureau’s Self-Regulatory Principles for Online Behavioral Advertising, and the IAB Europe OBA Framework. In addition, Taboola is a proud member in good standing of the Network Advertising Initiative, an association dedicated to responsible data collection use in digital advertising, and we adhere to the NAI Code of Conduct for Web and Mobile.</w:t>
      </w:r>
    </w:p>
    <w:p>
      <w:pPr>
        <w:spacing w:after="0" w:line="8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privacy team delivers company-wide privacy training, enforces our privacy policies and is integral to ensuring that we consider the privacy implications in all aspects of our proprietary platform. We regularly review and document our internal privacy policies, amend existing policies as necessary, and seek to enforce these policies with our clients, publisher partners and vendors. Our privacy team is also actively involved in negotiations with our customers on data and privacy terms to ensure compliance with relevant laws.</w:t>
      </w:r>
    </w:p>
    <w:p>
      <w:pPr>
        <w:spacing w:after="0" w:line="7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Privacy and data protection laws and regulations play a significant role in our business. Our ability to collect, augment, analyze, use, share and otherwise process data relies upon the ability to uniquely identify devices across websites, and applications, and to collect data about user interactions with those devices for purposes such as serving relevant ads and measuring the effectiveness of ads. Federal, state and international laws and regulations regarding the collection, use and other processing of personal data by advertising networks, Advertisers and digital properties is frequently evolving. This includes those related to the level of consumer notice and consent required before a company can employ cookies or other electronic tools to collect data about interactions with users online. Taboola’s operation of its platform and services is subject to numerous U.S. and global privacy regulations, including, without limitation, the following: the European Union’s General Data Protection Regulation and ePrivacy Directive, the United Kingdom’s General Data Protection Regulation, the California Consumer Privacy Act (as amended by the California Privacy Rights Act), China’s Personal Information Protection Law, South Korea’s Personal Information Protection Act, Turkey’s Law on the Protection of Personal Data, and New Zealand’s Privacy Act 2020.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Privacy Regulation in the U.S. and Canada</w:t>
      </w:r>
    </w:p>
    <w:p>
      <w:pPr>
        <w:spacing w:after="0" w:line="212"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In the United States, at both the federal and state level, there are laws that govern activities such as the collection, use and other processing of personal data by covered companies. At the federal level, online advertising activities and data processing activities are subject to regulation by the Federal Trade Commission, which has regularly relied upon Section 5 of the Federal Trade Commission Act to enforce against unfair and deceptive acts and practices, including alleged violations of consumer privacy interests. The Federal Trade Commission has also started enforcing HIPAA in relation to disclosure of online identifiers by covered entities to adtech companies. In addition, some proposed and recently enacted legislation concerning privacy and data protection has affected and will continue to affect our operations and those of our industry partners. Certain state laws may be more stringent or broader in scope, or offer greater individual rights, with respect to personal data than federal, international, or other state laws, which may differ from one other, complicating compliance efforts.</w:t>
      </w:r>
    </w:p>
    <w:p>
      <w:pPr>
        <w:spacing w:after="0" w:line="95"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For example, the California Consumer Privacy Act (as amended by the California Privacy Rights Act), or CCPA, increases privacy rights for California consumers and imposes obligations on companies that process their personal data (including device identifiers, IP addresses, cookies and geo-location). Among other things, the CCPA requires covered companies to provide disclosures to California consumers and provide such consumers with data protection and privacy rights, including the ability to opt-out of certain sales or sharing of personal data, including for targeted advertising, and the ability to limit the processing of certain sensitive personal data. The CCPA provides for civil penalties for violations, as well as a private right of action for certain data breaches that result in the loss of personal data. Numerous other states have enacted, or are considering enacting, similar legislation. State laws continue to change rapidly, all while discussions continue in Congress about a new comprehensive U.S. federal data privacy law to which Taboola would become subject, if it is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9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6"/>
          <w:szCs w:val="16"/>
          <w:color w:val="auto"/>
        </w:rPr>
        <w:t>Moreover, there has been a rise in enforcement action and regulation for data privacy in various sectors. For example, Washington state has passed the first comprehensive state health data law, the Washington My Health My Data Act, or MHMD, which, starting in March 2024, will require Taboola to obtain opt-in consent for processing health data in Washington or of Washington consumers. MHMD broadly defines health data to include data that is inferred from nonhealth data when that information is used by a covered entity, or its processor, to associate or identify a consumer with health data. This broad definition means that Taboola will be limited with what advertising services it can provide in Washington to customers in the health and wellness field. MHMD also provides a private right of action for consumers to sue entities that process their data in violation of the MHMD. Further, the FTC has issued substantial fines to HIPAA covered entities for sharing protected health information with third parties like Taboola for advertising purposes and has released guidance around what kind of online tracking activity constitutes sharing protected health information. This new guidance on the scope of HIPAA applicability reduces the data we can collect on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have experienced an increased number of questions from clients about laws regulating health data. We already have procedures and policies addressing these new regulations in Washington, however other states, including New York are introducing their own specific laws regulating health data. We are continuously monitoring these legislative changes and will implement any appropriate requirements.</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2022, the Interactive Advertising Bureau of Canada introduced a Transparency &amp; Consent Framework for which we are a participant. Similar to the U.S., certain provinces in Canada are taking different approaches to the level of consent required from users and we are continuously working on implementing processes to comply with these changing consent requirements.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Privacy Regulation in Europe</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business activities are also subject to foreign legislation and regulation. For example, we are required to comply with the General Data Protection Regulation, or GDPR, in the European Economic Area, or EEA, and the GDPR’s equivalent in the United Kingdom, or UK GDPR, which impose strict obligations and restrictions on the ability to collect, use, retain, protect, disclose, transfer and otherwise process personal data (including online identifiers and location data). The GDPR and UK GDPR enhance data protection obligations for “controllers” of such data and for service providers, called “processors,” processing the data. They also provide certain rights, such as access and deletion, to the individuals about whom the personal data relates and we have adapted our services to accommodate such rights. The digital advertising industry has collaborated to create a user-facing framework, which we use as of December 31, 2024, for establishing and managing legal bases under the GDPR and other EEA privacy laws including the EU Directive 2002/58/EC (as amended by Directive 2009/136/EC).</w:t>
      </w:r>
    </w:p>
    <w:p>
      <w:pPr>
        <w:spacing w:after="0" w:line="7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6"/>
          <w:szCs w:val="16"/>
          <w:color w:val="auto"/>
        </w:rPr>
        <w:t>While the UK GDPR currently imposes substantially the same obligations as the GDPR, the UK GDPR will not automatically incorporate changes to the GDPR going forward (which would need to be specifically incorporated by the United Kingdom, or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Failure to comply with the GDPR or UK GDPR can result in fines of up to 4% of global annual revenue or €20 million (or £17 million under the UK GDPR), whichever is greater. In addition, some EU countries are considering or have passed legislation implementing data protection requirements or requiring local storage and processing of data or similar requirements that could increase the cost and complexity of delivering our services.</w:t>
      </w:r>
    </w:p>
    <w:p>
      <w:pPr>
        <w:spacing w:after="0" w:line="7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Moreover, legal developments in the EEA have created complexity and uncertainty regarding transfers of personal data from the EEA to the U.S. and other so-called third countries outside the EEA. Similar complexities and uncertainties also apply to transfers from the UK to third countries. For the transfer of personal data from the EEA to the U.S. and from the UK to the U.S., we rely upon the EU’s standard contractual clauses, or SCCs, and the UK’s international data transfer agreement (or the UK’s international data transfer addendum that can be used with the EU’s SCCs). However, SCCs have been subjected to regulatory and judicial scrutiny and the legal bases for cross-border data transfers are constantly evolving. On July 10, 2023, the European Commission adopted an adequacy decision concluding that the U.S. ensures an adequate level of protection for personal data transferred from the EU to the U.S. under the EU-U.S. Data Privacy Framework (followed on October 12, 2023 with the adoption of an adequacy decision in the UK for the U.S.-UK Data Bridge). While Taboola is working to participate in the EU-U.S. Data Privacy Framework and the U.S.-UK Data Bridge, such adequacy decision by the European Commission has been challenged in EU courts, and is likely to face additional challenges. Moreover, although the European Commission has issued an adequacy decision in respect of the UK’s data protection framework, enabling data transfers from the EEA to the UK to continue without requiring organizations to put in place contractual or other measures in order to lawfully transfer personal data between the territories, this adequacy determination will automatically expire in June 2025 unless extended. Further, the European Commission may unilaterally revoke the adequacy decision at any point.</w:t>
      </w:r>
    </w:p>
    <w:p>
      <w:pPr>
        <w:spacing w:after="0" w:line="8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6"/>
          <w:szCs w:val="16"/>
          <w:color w:val="auto"/>
        </w:rPr>
        <w:t>Further, EU Directive 2009/136/EC, commonly referred to as the “Cookie Directive,” directs European Union, or EU, member states to ensure that accessing information on an Internet user’s device, such as through a cookie, is allowed only if the Internet user has given his or her consent. As there were different transpositions of the Cookie Directive in domestic laws across the EU Member States, there are currently different interpretations of what constitutes valid consent (e.g., explicit versus implied consent) across the EU, posing a risk of regulatory divergence and creating legal uncertainty for businesses. The EU also has released a proposed replacement to the Cookie Directive, commonly known as the “ePrivacy Regulation,” to, among other things, better align EU member states and the rules governing online tracking technologies and electronic communications, such as unsolicited marketing and cookies, with the requirements of the GDPR. While the ePrivacy Regulation was originally intended to be adopted alongside the GDPR, it is currently going through the European legislative process, and commentators now expect it to be adopted in the coming years. Like the GDPR, the proposed ePrivacy Regulation has extra-territorial application as it applies to businesses established outside the EU which provide publicly-available electronic communications services to, or gather data from the devices of, users in the EU. The ePrivacy Regulation may impose burdensome requirements around obtaining consent and impose fines for violations that are materially higher than those imposed under the EU’s current ePrivacy Directive and related EU member state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Privacy Regulation in the Asia-Pacific Region</w:t>
      </w:r>
    </w:p>
    <w:p>
      <w:pPr>
        <w:spacing w:after="0" w:line="212"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Our business activities are also subject to legislation and regulation in the Asia-Pacific region. Following the implementation of the GDPR, many jurisdictions have moved to amend, release, review and strengthen their existing data privacy and cybersecurity laws, and there has been a progressive effort in the region to work towards coordination of their otherwise disparate laws. For example, many countries have also sought out adequacy decisions from the EU. New Zealand’s updated Privacy Act and South Korea’s amendments to its Personal Information Protection Act, which went into effect in 2020, and China’s Personal Information Protection Law (PIPL), which went into effect in 2021, largely align with requirements of the GDPR. Thailand and Japan’s new similar updates and regulations also became effective in 2021 and 2022, respectively.</w:t>
      </w:r>
    </w:p>
    <w:p>
      <w:pPr>
        <w:spacing w:after="0" w:line="284"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While China’s PIPL establishes a regime that is largely similar to the GDPR, it also imposes some stricter requirements. For instance, the PIPL has heightened disclosure requirements and specific consents for processing sensitive personal data and transferring personal data outside of China. The PIPL also mandates security impact assessments under a number of processing scenarios and imposes a data localization requirement on both operators of critical information infrastructure and covered companies that process large volumes of personal data. The PIPL also creates penalties for organizations that fail to fulfill their obligations to protect personal data, with potential fines up to 5% of annual revenue.</w:t>
      </w:r>
    </w:p>
    <w:p>
      <w:pPr>
        <w:spacing w:after="0" w:line="72"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August 2023, India passed the Digital Personal Data Protection Act, or DPDP Act, a comprehensive privacy law with extra-territorial effect that mirrors other privacy laws like the GDPR and puts requirements on data fiduciaries for when and how they can process data and gives data subjects rights to their data. Penalties for violating the DPDP Act can be up to INR 250 crores (approximately $30 million). Taboola will be subject to the DPDP Act upon its effective date, which has not yet been set.</w:t>
      </w:r>
    </w:p>
    <w:p>
      <w:pPr>
        <w:spacing w:after="0" w:line="6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Other jurisdictions, such as Singapore, Malaysia and Hong Kong, are reviewing their existing privacy regimes, with an eye toward similar privacy and data protection developments.</w:t>
      </w:r>
    </w:p>
    <w:p>
      <w:pPr>
        <w:spacing w:after="0" w:line="4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To address this range of developments, Taboola’s privacy and data protection program is largely rooted in the GDPR and ISO 27001 security standards, and any international data transfers from the Asia-Pacific region are governed by direct contractual agreements between the regional entities and Taboola’s Israeli parent corporate entity, Taboola.com Ltd. Otherwise, our privacy team works to oversee compliance with these Asia-Pacific regional requirements and to address compliance with our region-specific clients and business teams.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Artificial Intelligence</w:t>
      </w:r>
    </w:p>
    <w:p>
      <w:pPr>
        <w:spacing w:after="0" w:line="225" w:lineRule="exact"/>
        <w:rPr>
          <w:sz w:val="20"/>
          <w:szCs w:val="20"/>
          <w:color w:val="auto"/>
        </w:rPr>
      </w:pPr>
    </w:p>
    <w:p>
      <w:pPr>
        <w:jc w:val="both"/>
        <w:ind w:firstLine="162"/>
        <w:spacing w:after="0" w:line="260" w:lineRule="auto"/>
        <w:rPr>
          <w:sz w:val="20"/>
          <w:szCs w:val="20"/>
          <w:color w:val="auto"/>
        </w:rPr>
      </w:pPr>
      <w:r>
        <w:rPr>
          <w:rFonts w:ascii="Times New Roman" w:cs="Times New Roman" w:eastAsia="Times New Roman" w:hAnsi="Times New Roman"/>
          <w:sz w:val="16"/>
          <w:szCs w:val="16"/>
          <w:color w:val="auto"/>
        </w:rPr>
        <w:t>The AI regulatory landscape is rapidly evolving across U.S. Federal, state, and international jurisdictions. Existing laws, such as those governing data privacy, regulate certain aspects of AI and new regulations are expected to take effect. In the U.S., the Biden Administration's 2023 Executive Order on AI articulates, among other things, certain standards and guidelines for AI safety and security and directs federal agencies to create additional standards and regulations for the use or oversight of AI. At the U.S. state level, the Utah Artificial Intelligence Policy Act entered into force in May 2024 and the Colorado Artificial Intelligence Act is set to enter into force in February 2026. In California, the California AI Transparency Act enters into force on January 1, 2026 and California has proposed additional automated decision-making regulations that could potentially restrict or limit the use of AI technologies.</w:t>
      </w:r>
    </w:p>
    <w:p>
      <w:pPr>
        <w:spacing w:after="0" w:line="181" w:lineRule="exact"/>
        <w:rPr>
          <w:sz w:val="20"/>
          <w:szCs w:val="20"/>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In the European Union, the EU Artificial Intelligence Act (“AI Act”) entered into force in August 2024 and will gradually take effect over the next three years. The AI Act established a risk-based governance framework requiring transparency, risk assessments, human oversight, as well as compliance with security and accuracy standards, with potential fines of up to 7% of global annual turnover. In parallel, the European Union in December 2024 updated its Product Liability Directive to specifically address AI and enable claims for damages brought by European Union users of AI systems. We are assessing, and will continue to assess, the scope of application, impact and risks these AI regulations may have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8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We strive to create a diverse, inclusive and ambitious environment where every employee can discover and unleash their potential to achieve individual and collective success, in compliance with applicable laws and regulations. Our employees are our most valuable asset.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Employees</w:t>
      </w:r>
    </w:p>
    <w:p>
      <w:pPr>
        <w:spacing w:after="0" w:line="225"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On December 31, 2024, we had approximately 2,000 employees, the majority of which have been employed by Taboola for over two years (including service periods of persons employed by Connexity prior to Taboola’s acquisition of Connexity). We have approximately 500 employees working in research and development, with an average tenure of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As of December 31, 2024, our employees are not covered by a collective bargaining agreement, except as required by law under arrangements in France, Spain, and Brazil, covering a total of approximately 90 employees. We have never experienced a general strike or similar work stoppage.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Transparency</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ability to be transparent and share and discuss our business challenges and opportunities openly and broadly with all our employees is important to our success. We promote an open dialogue with our employees through all-hands meetings, usually twice a month, which include Q&amp;A sessions with senior leadership. We conduct annual and topic-specific employee feedback surveys which consistently receive 80% or higher response rate. Survey results are shared publicly with our managers and employees. We continue to adjust our investment in human capital based on the feedback from our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Talent Acquisition and Development</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6"/>
          <w:szCs w:val="16"/>
          <w:color w:val="auto"/>
        </w:rPr>
        <w:t>We are focused on recruiting and retaining talented employees across the organization, with a particular focus on unique talent in algorithms, product, customer relationship management and many other areas that are critical to our success. We continue to invest to hire and retain top talent in all of our offices, and provide competitive compensation for our employees and a range of flexible benefits, including an industry-leading parental leave policy. We are proud to have been consistently recognized as a top employer across the globe. In 2024, we received our first-ever Great Place to Work awards in APAC, with wins across Thailand, Taiwan, and India. This success extended to the U.S. where we earned a Great Place to Work award and were named a Best Workplace in Marketing &amp; Advertising by Fortune, as well as one of the 100 best large companies to work for by Built In in our major offices across New York, Los Angeles, Chicago and Atlanta. We were also named a Best Place to Work by UK's Campaign and a top high-tech company in Israel by Dun &amp; Bradstreet. Our strong external reputation led to a quarterly average of over 25,000 candidates applying to work at Taboola in 2024. For new hires, we developed an onboarding program tailored towards their roles and responsibilities. On an ongoing basis, we invest in training and development programs that help our employees achieve their career goals, build management skills and lead their organizations. We have two formal career feedback discussions per year where managers and their employees discuss progress and feedback for each other. We believe in developing and promoting top talent from within: in 2024, approximately 15% of our employees were offered an opportunity for career advancement within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and Alignment</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seek to implement a “pay for performance” culture that we believe drives superior results. We invest in our workforce by offering competitive salaries, incentives, and benefits. We align the interests of our employees with those of Taboola through a broad-based equity award program, generally with a four-year vesting schedule. Typically, employee bonus plans are based on both personal and company goals.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Wellness and Diversity</w:t>
      </w:r>
    </w:p>
    <w:p>
      <w:pPr>
        <w:spacing w:after="0" w:line="225"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2020, we launched a global taskforce that is focused on promoting wellness and diversity within our organization. The task force works with our senior management team to address global wellness and diversity topics and develop relevant initiatives to ensure we continue to build a culture where every employee feels valued, seen, and heard. We continue to have a mechanism for employees to anonymously voice concerns.</w:t>
      </w:r>
    </w:p>
    <w:p>
      <w:pPr>
        <w:spacing w:after="0" w:line="63"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Throughout 2024, we continued to see the results of our initiatives. With respect to finding top diverse talent, we continued assessing our current workforce demographics by region and business unit, and measured our goals and guidelines in efforts of diversifying our recruitment funnel at the first assessment stage. We are committed to wellness and diversity in recruiting with our Diverse Interview Slate Campaign to promote diversity in the interview process and reduce biases, which has led to hiring more women managers in technical roles. We further invested in strategic partnerships with employment platforms that provide us multi-pronged access to highly skilled underrepresented talent, who may not currently be on our platform, such as Built-In, Ivy Research Council, and Jopwell. As a result, in 2024, we saw that 45% of our new hires were women and 24% of those women were hired into technical positions.</w:t>
      </w:r>
    </w:p>
    <w:p>
      <w:pPr>
        <w:spacing w:after="0" w:line="8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Within the organization, in 2024 we had nine Employee Resource Groups with each having an annual budget to sponsor programming and events. We also have a mentorship program connecting Black, Indigenous and People of Color (BIPOC) talent to senior leaders. We continue to have a number of global and region-specific initiatives held to promote a culture of inclusion and belonging - such as, workshops, panels, networking events and communities for various interest groups. We also partner with Gold Enterprises to create robust programming for our multi-year wellness and diversity training plan.</w:t>
      </w:r>
    </w:p>
    <w:p>
      <w:pPr>
        <w:spacing w:after="0" w:line="71"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We are committed to building a long-term plan that will help foster a community that is diverse and inclusive, both internally and externally, consistent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6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mailing address of Taboola’s principal executive office is 16 Madison Square West, 7th fl., New York, NY, 10010 and its telephone number is (212) 206-7663. Our agent for service of process in the United States is Taboola, Inc., 16 Madison Square West, 7th fl., New York, NY, 10010.</w:t>
      </w:r>
    </w:p>
    <w:p>
      <w:pPr>
        <w:spacing w:after="0" w:line="5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6"/>
          <w:szCs w:val="16"/>
          <w:color w:val="auto"/>
        </w:rPr>
        <w:t>We recognize that in today’s environment, our current and potential investors, the media and others interested in us look to social media and other online sources for information about us. We believe that these sources represent important communications channels for disseminating information about us, including information that could be deemed to constitute material non-public information. As a result, in addition to our investor relations website (https://investors.taboola.com), filings made with the SEC, press releases we issue from time to time, and public webcasts and conference calls, we have used and intend to continue to use various social media and other online sources to disseminate information about us and, without limitation, our general business developments; financial performance; product and service offerings; research, development and other technical updates; relationships with customers, platform providers and other partners; and market and industry developments. We intend to use the following social media and other websites for the dissemination of information:</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blog: https://blog.taboola.com/</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X feed: https://twitter.com/taboola</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CEO, Adam Singolda’s X feed: https://twitter.com/AdamSingolda</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CEO, Adam Singolda’s LinkedIn page: https://www.linkedin.com/in/adamsingolda/</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Facebook page: https://www.facebook.com/Taboola/</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corporate LinkedIn page: https://www.linkedin.com/company/taboola/</w:t>
      </w:r>
    </w:p>
    <w:p>
      <w:pPr>
        <w:spacing w:after="0" w:line="113"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We invite our current and potential investors, the media and others interested in us to visit these sources for information related to us. Please note that this list of social media and other websites may be updated from time to time on our investor relations website and/or filings we make with the SEC. We have included our web address and social media and other web addresses in this Annual Report solely for informational purposes and the information on our website and those social media channels is not incorporated by reference into this Annual Report.</w:t>
      </w:r>
    </w:p>
    <w:p>
      <w:pPr>
        <w:spacing w:after="0" w:line="66"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SEC maintains an Internet site that contains reports, proxy and information statements, and other information regarding issuers, such as we, that file electronically, with the SEC at www.sec.gov.</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 (as of December 31, 2024)</w:t>
      </w:r>
    </w:p>
    <w:p>
      <w:pPr>
        <w:spacing w:after="0" w:line="167"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Adam Singolda (43) </w:t>
      </w:r>
      <w:r>
        <w:rPr>
          <w:rFonts w:ascii="Times New Roman" w:cs="Times New Roman" w:eastAsia="Times New Roman" w:hAnsi="Times New Roman"/>
          <w:sz w:val="16"/>
          <w:szCs w:val="16"/>
          <w:color w:val="auto"/>
        </w:rPr>
        <w:t>has been the Chief Executive Officer, as well as a director, of Taboola since it began operations in 2007. He also serves as a member of the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directors of K Health, the healthcare startup he co-founded in 2016. Prior to that Mr. Singolda studied Computer Science at The Open University of Israel and spent 6½ years serving in an advanced cyber technology unit of the Israel Defense Forces, or IDF, serving as a research and development engineer and manager. He graduated from the IDF officers’ academy with honors. Mr. Singolda’s experience as the founder and Chief Executive Officer of Taboola makes him exceptionally well qualified to serve on our board of directors.</w:t>
      </w:r>
    </w:p>
    <w:p>
      <w:pPr>
        <w:spacing w:after="0" w:line="68"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Eldad Maniv (56) </w:t>
      </w:r>
      <w:r>
        <w:rPr>
          <w:rFonts w:ascii="Times New Roman" w:cs="Times New Roman" w:eastAsia="Times New Roman" w:hAnsi="Times New Roman"/>
          <w:sz w:val="16"/>
          <w:szCs w:val="16"/>
          <w:color w:val="auto"/>
        </w:rPr>
        <w:t>has been the President and Chief Operating Officer of Taboola since 2012. Mr. Maniv leads Taboola’s worldwide operations including Taboola’s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sales, professional services, and human resources organizations. Mr. Maniv has spent approximately two decades building technology companies in the United States and Israel, having previously served in executive positions at BMC Software, Zend Technologies, and Identify Software. Earlier in his career, he founded NextNine which was acquired by Honeywell. Mr. Maniv currently serves as a director on the board of directors of Verbit.ai. Mr. Maniv holds a B.S. degree from the Talpiot program at the Hebrew University in Jerusalem, and served five years as a systems engineering officer in an intelligence unit of the Israel Defense Forces.</w:t>
      </w:r>
    </w:p>
    <w:p>
      <w:pPr>
        <w:spacing w:after="0" w:line="68"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Lior Golan (54) </w:t>
      </w:r>
      <w:r>
        <w:rPr>
          <w:rFonts w:ascii="Times New Roman" w:cs="Times New Roman" w:eastAsia="Times New Roman" w:hAnsi="Times New Roman"/>
          <w:sz w:val="16"/>
          <w:szCs w:val="16"/>
          <w:color w:val="auto"/>
        </w:rPr>
        <w:t>has been Chief Technology Officer of Taboola since 2009 and is responsible for Taboola’s product and technical strategy worldwide. Prior to joining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Taboola, Mr. Golan was co-founder, Chief Technology Officer, and Vice President of Research &amp; Development of Cyota, a leader in consumer Internet security. After Cyota was acquired by RSA Security in 2005, Mr. Golan spent two years as Chief Technology Officer and Vice President of Strategy of the RSA Security Consumer Division and was responsible for leading the product and business direction of its consumer business. Mr. Golan holds a B.S. degree from the Talpiot program at the Hebrew University in Jerusalem and served eight years in an intelligence unit of the Israel Defense 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Stephen Walker (55) </w:t>
      </w:r>
      <w:r>
        <w:rPr>
          <w:rFonts w:ascii="Times New Roman" w:cs="Times New Roman" w:eastAsia="Times New Roman" w:hAnsi="Times New Roman"/>
          <w:sz w:val="16"/>
          <w:szCs w:val="16"/>
          <w:color w:val="auto"/>
        </w:rPr>
        <w:t>has been Chief Financial Officer of Taboola since June 2020. Prior to that, he served as Taboola’s Senior Vice President of Worldwide Sales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Operations from 2015 to 2020 and as the General Manager of Taboola-X product between 2014 and 2015. From 2007 until 2014, he served as President and Chief Operating Officer of Perfect Market, until it was acquired by Taboola. Earlier, Mr. Walker held positions in Idealab’s New Ventures Group and led several of Idealab’s portfolio companies. Mr. Walker has a B.S. degree in Computer Science and Finance from Boston College and an M.B.A degree from Harvard Business School.</w:t>
      </w:r>
    </w:p>
    <w:p>
      <w:pPr>
        <w:spacing w:after="0" w:line="81"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Kristy Sundjaja (47) </w:t>
      </w:r>
      <w:r>
        <w:rPr>
          <w:rFonts w:ascii="Times New Roman" w:cs="Times New Roman" w:eastAsia="Times New Roman" w:hAnsi="Times New Roman"/>
          <w:sz w:val="16"/>
          <w:szCs w:val="16"/>
          <w:color w:val="auto"/>
        </w:rPr>
        <w:t>has been Chief People Officer since February 2022. Prior to that she served as Senior Vice President of People Operations for Taboola from 2019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2022. Prior to joining Taboola in 2019, she co-founded Exceptional Artists Foundation in 2017, a non-profit organization empowering the disabled community, and remains as its President. From 2012 to 2017, Ms. Sundjaja was the Chief of Staff and the Global Head of People at LivePerson. Between 2009 and 2012, Ms. Sundjaja was the Head of Industry Transformation Teams at New York City Economic Development Corporation. Prior to that, Ms. Sundjaja was an Associate Partner at Oliver Wyman where she worked between 1999 and 2009. Ms. Sundjaja graduated from the University of Pennsylvania with a B.S. degree in Economics from the Wharton School and a B.S. degree and an M.S. degree in Engineering. She also holds an M.B.A degree from Columbia University.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attract new digital properties and Advertisers, sell additional offerings to our existing digital properties and Advertisers, or maintain enough business with our existing digital properties and Advertisers, our revenue growth prospects will be adversely affected.</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We must add new digital properties and Advertisers, and encourage existing digital properties and Advertisers to add additional offerings from us, in order to sustain or increase our revenue. As the digital advertising industry matures and as competitors introduce more competitive pricing or differentiated products or services that compete with or are perceived to compete with ours, our ability to sell our solutions to new and existing digital properties and Advertisers could be impaired. In addition, we may reach a point of saturation at which we cannot continue to grow our revenue from existing digital properties and Advertisers because of internal limits they may place on the allocation of space on their sites, allocation of their advertising budgets to digital media, to particular campaigns, to a particular provider, or other reasons. We may also lose revenues if our existing digital properties and Advertisers reduce the amount of business they do with us for any reason, including nonrenewal of their agreements with us or renewal on less favorable terms. If we are unable to attract new digital properties and Advertisers or obtain new business from existing digital properties and Advertisers or maintain enough business with our existing digital properties and Advertisers, our revenue, our revenue growth prospects and business will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our performance under contracts with digital properties, where we are obligated to pay a specified minimum guaranteed amount per thousand impressions, do not meet the minimum guarantee requirements, our gross profit could be negatively impacted and our results of operations and financial condition could be harmed.</w:t>
      </w:r>
    </w:p>
    <w:p>
      <w:pPr>
        <w:spacing w:after="0" w:line="16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A significant amount of our revenue comes from contracts with digital properties where we are obligated to pay a specified minimum guaranteed amount per thousand impressions to the digital property. In each of the years ended December 31, 2023 through 2024, our guarantee costs, which we calculate as total payments due under guarantee arrangements in excess of amounts we otherwise would have been required to pay under revenue sharing arrangements, as a percentage of our total payments to digital properties, or TAC, was approximately 19% or less. Although we focus on achieving sufficient revenue per impression through the improvement of our algorithms and using our scale to exceed the minimum guarantees made to digital properties, we may not succeed in doing so. In addition, due to unfavorable macroeconomic, competitive or other conditions, we may be unable to perform as expected under arrangements that provide for such minimum guarantees, in which case our gross profit could be negatively impacted and our results of operation and financial condition could be adversely affected.</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compete successfully against current and future competitors because competition in our industry is intense and many competitors, such as Google and Facebook, have substantially more resources than we do. Our competitors may also offer solutions that are perceived by our digital properties and Advertisers to be more attractive than our platform. These factors could result in declining revenue or inhibit our ability to grow our business.</w:t>
      </w:r>
    </w:p>
    <w:p>
      <w:pPr>
        <w:spacing w:after="0" w:line="175"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Competition for our clients’ advertising budgets is intense. We compete for a share of total advertising budgets with online search and display advertising, including large “walled garden” advertising platforms such as Google and Facebook, and with traditional advertising media, such as direct mail, television, radio, cable and print. Many current and potential competitors have competitive advantages relative to us, such as longer operating histories, greater name recognition, larger client bases, greater access to advertising inventory on premium websites and significantly greater financial, technical, sales and marketing resources. Thus, increased competition may result in the loss of business or the inability to win new business, which could negatively affect our revenue and future operating results and our ability to grow our business.</w:t>
      </w:r>
    </w:p>
    <w:p>
      <w:pPr>
        <w:spacing w:after="0" w:line="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We also expect competition on the digital property side to continue increasing as the industry grows. Increased competition may require us to increase the revenue share with our digital properties, charge less for our solutions, or offer other pricing models that are less attractive to us, any of which could decrease our revenues and margins and harm our results of operations.</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 Yahoo partnership is not as long-term financially accretive as we expected our business, operating results, financial condition and reputation could be adversely affected.</w:t>
      </w:r>
    </w:p>
    <w:p>
      <w:pPr>
        <w:spacing w:after="0" w:line="17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If the Yahoo partnership does not receive long-term market acceptance or if Yahoo advertisers terminate their existing contracts or decrease their spend it could result in the partnership not yielding the long-term financial benefits originally expected. Our partnership with Yahoo grants exclusive rights to native advertising on their platform. If the native advertising market does not continue to experience growth or if advertisers continue to shift their preferences to other methods of advertising, or if Realize does not attract enough advertisers to Yahoo’s platforms, the expected long-term financial benefits of the partnership may not be fully realized and we may not continue to generate the cash flow, realize the profitability or increase our margins as expected during the term of the partnership. These factors, among others, may result in the full long-term financial accretion we expect to generate from the Yahoo partnership not being realized, a deterioration of our client relationships, increased costs, harm to our reputation, any of which could materially adversely affect our business, operating results and financial condition.</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the launch or implementation of Realize is not successful, if it fails to gain market acceptance, or if it does not deliver the financial accretion we expect, our business, operating results, financial condition and reputation could be adversely affected.</w:t>
      </w:r>
    </w:p>
    <w:p>
      <w:pPr>
        <w:spacing w:after="0" w:line="3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We have invested, and will continue to invest, significant resources in the development, launch, and implementation of Realize, our new performance advertising technology platform. The launch of a new technology platform, including Realize, is inherently risky. There is no guarantee Realize will deliver the value proposition to clients or the financial benefits we currently expect, or at all. Realize's success, and its expected financial benefits to us, depends on several factors, many of which are out of our control, including, but not limited to: (i) the timing and degree of market acceptance of Realize among existing and prospective advertisers; (ii) the degree to which Realize delivers intuitive, simple, and efficient user experience for advertisers to run performance-based campaigns; (iii) the level at which Realize meets the performance objectives for advertisers in delivering outcomes at scale beyond search and social; and (iv) whether our competitors are perceived to offer similar or superior solutions now or in the future that could render Realize less competitive. These risks and others may result in us not achieving the advertiser success and financial benefits to us we currently expect from Realize, a deterioration of our client relationships, increased costs and harm to our reputation, any of which could materially adversely affect our business, operating results and financial condition.</w:t>
      </w:r>
    </w:p>
    <w:p>
      <w:pPr>
        <w:sectPr>
          <w:pgSz w:w="11900" w:h="16838" w:orient="portrait"/>
          <w:cols w:equalWidth="0" w:num="1">
            <w:col w:w="11240"/>
          </w:cols>
          <w:pgMar w:left="320" w:top="164" w:right="339" w:bottom="0" w:gutter="0" w:footer="0" w:header="0"/>
        </w:sectPr>
      </w:pPr>
    </w:p>
    <w:p>
      <w:pPr>
        <w:spacing w:after="0" w:line="1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future growth and success depends on our ability to continue to scale our existing offerings and to introduce new solutions that gain acceptance from digital properties and Advertisers and that differentiate us from our competitors.</w:t>
      </w:r>
    </w:p>
    <w:p>
      <w:pPr>
        <w:sectPr>
          <w:pgSz w:w="11900" w:h="16838" w:orient="portrait"/>
          <w:cols w:equalWidth="0" w:num="1">
            <w:col w:w="11240"/>
          </w:cols>
          <w:pgMar w:left="320" w:top="164" w:right="339" w:bottom="0" w:gutter="0" w:footer="0" w:header="0"/>
          <w:type w:val="continuous"/>
        </w:sectPr>
      </w:pPr>
    </w:p>
    <w:bookmarkStart w:id="20" w:name="page21"/>
    <w:bookmarkEnd w:id="20"/>
    <w:p>
      <w:pPr>
        <w:spacing w:after="0" w:line="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Our future success depends on our ability to effectively scale our offerings as our business grows to keep pace with demand for our solutions, and achieve long-term profitability. If we fail to implement these changes on a timely basis, or if we are unable to implement them effectively or at all due to factors beyond our control or other reasons, our business may suffer. We may not be successful in addressing these and other challenges we may face in the future. As a growing company in a rapidly evolving industry, our business prospects depend in large part on our ability to:</w:t>
      </w:r>
    </w:p>
    <w:p>
      <w:pPr>
        <w:spacing w:after="0" w:line="92"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offer a competitive technology platform and offerings that meet our digital properties’ and Advertisers’ needs as they change;</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continuously innovate and improve on the algorithms underlying our technology in order to deliver positive results for our Advertisers and digital properties;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 reputation for superior solutions and create trust and long-term relationships with digital properties and Advertisers;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distinguish ourselves from strong competitors in our industry;</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our relationships with Advertisers who can provide quality content and advertisements;</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 to evolving industry and government oversight, standards and regulations that impact our business, particularly in the areas of native advertising, data collection, privacy and data protection;</w:t>
      </w:r>
    </w:p>
    <w:p>
      <w:pPr>
        <w:spacing w:after="0" w:line="4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or otherwise mitigate failures or breaches of security or privacy; and</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integrate and retain qualified and motivated employees</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If we are unable to meet one or more of these objectives or otherwise adequately address the risks and difficulties that we face, our business may suffer, our revenue may decline and we may not be able to achieve further growth or long-term profitability.</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do not manage our growth effectively, the quality of our platform or our relationships with our digital properties and Advertisers may suffer, and our operating results may be negatively affected.</w:t>
      </w:r>
    </w:p>
    <w:p>
      <w:pPr>
        <w:spacing w:after="0" w:line="16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business has historically grown rapidly. We rely heavily on information technology, or IT, systems to manage critical functions such as content recommendation, campaign management and operations, payment from Advertisers and to digital properties, data storage and retrieval, revenue recognition, budgeting, forecasting, financial reporting and other administrative functions. To manage our growth effectively, we must continue to improve and expand our infrastructure, including our IT, financial and administrative systems and controls. We must also continue to manage our employees, operations, finances, research and development and capital investments efficiently. Our productivity and the quality of our platform may be adversely affected if we do not integrate and train our new employees, particularly our research and development, sales and account management personnel, quickly and effectively and if we fail to appropriately coordinate across our executive, finance, human resources, legal, marketing, sales, operations and Advertiser support teams. If we continue to experience rapid growth, we will incur additional expenses, and our growth may place a strain on our resources, infrastructure and ability to maintain the quality of our platform. If we do not adapt to meet these evolving growth challenges, and if the current and future members of our management team do not effectively scale with our growth, the quality of our platform may suffer and our corporate culture may be harmed. Failure to manage our future growth effectively could cause our business to suffer, which, in turn, could have an adverse impact on our financial condition and results of operations.</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make the right investment decisions in our offerings and technology platform, or if we are unable to generate or otherwise obtain sufficient funds to invest in them, we may not attract and retain digital properties and Advertisers and our revenue and results of operations may decline.</w:t>
      </w:r>
    </w:p>
    <w:p>
      <w:pPr>
        <w:spacing w:after="0" w:line="16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Our industry is subject to rapid changes in standards, regulations, technologies, products and service offerings, as well as in digital property and Advertiser demands and expectations. We continuously need to make decisions regarding which offerings and technology to invest in to meet such demands and evolving industry standards and regulatory requirements. We may make wrong decisions regarding these investments. If new or existing competitors offer more attractive offerings, we may lose digital property and/or Advertisers, or Advertisers may decrease their spending on our platform. New digital property or Advertiser demands, superior competitive offerings, new industry standards or regulations could render our existing solutions unattractive, unmarketable or obsolete and require us to make substantial unanticipated changes to our technology platform or business model. Our failure to adapt to a rapidly changing market or to anticipate digital property and/or Advertiser demands could harm our business and our financial performance.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had, and may in the future continue to have, significant fluctuations in our operating results, which make our future results difficult to predict and could cause our operating results to fall below investors’ expectations.</w:t>
      </w:r>
    </w:p>
    <w:p>
      <w:pPr>
        <w:spacing w:after="0" w:line="146"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Our quarterly and annual operating results have fluctuated significantly in the past. Similarly, we expect our future operating results to fluctuate for the foreseeable future due to a variety of factors, many of which are beyond our control. Our fluctuating results could cause our performance to fall below the expectations of investors, and adversely affect the price of our Ordinary shares. Because our business is changing and evolving rapidly, our historical operating results may not be useful in predicting our future operating results and it is difficult for us to accurately predict future results. In addition, our rapid growth has limited our ability to reliably track key business metrics and so we have limited understanding of certain aspects of our operations. For example, we do not have good visibility into the seasonality of our business due to the fact that our rapid growth may have masked seasonality. Factors that may increase the volatility of our operating results include the following:</w:t>
      </w:r>
    </w:p>
    <w:p>
      <w:pPr>
        <w:spacing w:after="0" w:line="104"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6"/>
          <w:szCs w:val="16"/>
          <w:color w:val="auto"/>
        </w:rPr>
        <w:t>he addition or loss of new digital properties;</w:t>
      </w:r>
    </w:p>
    <w:p>
      <w:pPr>
        <w:spacing w:after="0" w:line="100"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demand and pricing for our platform;</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seasonal nature of Advertisers’ spending on digital advertising campaigns;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pricing policies or the pricing policies of our competitors;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of new technologies, product or service offerings by our competitors;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Advertisers’ budget allocations or marketing strategies;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and uncertainty in the regulatory environment for us or Advertisers;</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prospects of our digital properties and Advertisers or the economy generally, which could alter current or prospective Advertisers’ spending priorities, or could increase the time or costs required to complete sales with digital properties or Advertisers;</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availability of advertising inventory or in the cost to reach end consumers through digital advertising;</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expenditures as we acquire the hardware, equipment and other assets required to support our business and potential supply issues in acquiring that hardware and assets;</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acquisitions of people, businesses or technologies; and</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traffic patterns.</w:t>
      </w:r>
    </w:p>
    <w:p>
      <w:pPr>
        <w:spacing w:after="0" w:line="113"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Based upon all of the factors described above and others that we may not anticipate, including those beyond our control, we have a limited ability to forecast our future revenue, costs and expenses. As a result, our operating results may from time to time fall below our estimates or the expectations of investors.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the use of cookies is rejected by Internet users, subject to unfavorable legislation or regulation, restricted, blocked or limited by technical changes on end users’ devices or Internet browsers, or our ability to use cookie data is otherwise restricted and we are unable to track users in some other way, our performance could decline and we could lose digital properties and Advertisers and, as a result, revenue.</w:t>
      </w:r>
    </w:p>
    <w:p>
      <w:pPr>
        <w:spacing w:after="0" w:line="17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We use “cookies” (small text files) to gather important data to help deliver our solutions. These cookies are placed through an Internet browser on an Internet user’s device and correspond to a data set that we keep on our servers. Some of our cookies are “third party” cookies where we do not have a direct relationship with the Internet user. Our cookies collect information, such as when an Internet user views an Internet site, clicks on an ad, or visits one of our digital properties. We use these cookies to</w:t>
      </w:r>
    </w:p>
    <w:p>
      <w:pPr>
        <w:sectPr>
          <w:pgSz w:w="11900" w:h="16867" w:orient="portrait"/>
          <w:cols w:equalWidth="0" w:num="1">
            <w:col w:w="11240"/>
          </w:cols>
          <w:pgMar w:left="320" w:top="111" w:right="339" w:bottom="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6"/>
          <w:szCs w:val="16"/>
          <w:color w:val="auto"/>
        </w:rPr>
        <w:t>help us achieve our digital property or Advertisers’ campaign goals, to help us ensure that the same Internet user does not unintentionally see the same recommendations too frequently, to report aggregate information to our Advertisers regarding the performance of their campaigns, and to detect and prevent fraudulent activity. We also use data from cookies to help us decide on an opportunity to place a recommendation in a certain location, at a given time, in front of a particular Internet user. A lack of data associated with cookies may detract from our ability to make decisions about an Advertiser’s campaign and undermine the effectiveness of our solutions.</w:t>
      </w:r>
    </w:p>
    <w:p>
      <w:pPr>
        <w:spacing w:after="0" w:line="9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Recently, there has been a general trend among Internet users to refuse to accept cookies on their Internet browsers. All of the most commonly used Internet browsers (including Chrome, Firefox, Internet Explorer, Edge and Safari) allow Internet users to prevent cookies from being accepted by their browsers. Internet users can also delete cookies from their devices at any time. Some Internet users also download “ad blocking” software that prevents cookies from being stored on a user’s device. If more Internet users block or delete cookies more frequently than they currently do, our business could be harmed.</w:t>
      </w:r>
    </w:p>
    <w:p>
      <w:pPr>
        <w:spacing w:after="0" w:line="71"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Moreover, technology companies in the Internet browser and operating system spaces, including Google, have announced intentions to discontinue the use of cookies, and to develop alternative methods and mechanisms for tracking users. These web browser and operating system developers have significant resources at their disposal and command substantial market share, and any restrictions they impose could foreclose our ability to understand the preferences of a substantial number of consumers. The Safari, Firefox, and Edge browsers currently block cookies by default, and other browsers may do so in the future. On January 4, 2024, Google started restricting third-party cookies by default for 1% of global Google Chrome users. Unless such default settings in browsers are adjusted by Internet users, our ability to set our cookies in browsers will be more limited, which could adversely affect our business. While Google previously announced plans to completely phase out third-party cookies in Google Chrome they have since announced they no longer plan to deprecate third-party cookies in its Chrome browser. Moreover, mobile devices using Android and iOS operating systems limit the ability of cookies to track users while they are using applications other than their web browser on the device. As a consequence, fewer of our cookies or media partners’ cookies may be set in browsers or be accessible in mobile devices, which can adversely affect our ability to target and measure ads effectively.</w:t>
      </w:r>
    </w:p>
    <w:p>
      <w:pPr>
        <w:spacing w:after="0" w:line="8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Additionally, the use of cookies, as well as the use of the data collected using cookies, is subject to legislation and regulation, and may be subject to further legislation or regulation in the future. The EU, the UK, the U.S. and other governments have enacted or are considering legislation that regulate the level of consumer notice and consent required before a company can employ cookies or other electronic tracking tools.</w:t>
      </w:r>
    </w:p>
    <w:p>
      <w:pPr>
        <w:spacing w:after="0" w:line="57"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Although we believe we are well positioned to adapt and continue to provide key data insights to our media partners without cookies, this transition could be more disruptive, slower, or more expensive than we currently anticipate, and could materially affect the accuracy of our recommendations and ads and thus our ability to serve our Advertisers, including through our data marketplace product, adversely affecting our business, results of operations, and financial condition. Limitations on the use or effectiveness of cookies, or other limitations on our ability to collect and use data for advertising, may impact the performance of our platform. We may be required to, or otherwise may determine that it is advisable to, make significant changes in our business operations and product and services to obtain user opt-in for cookies and use of cookie data, or develop or obtain additional tools and technologies to compensate for a lack of cookie data. We may not be able to make the necessary changes in our business operations and products and services to obtain user opt-in for cookies and use of cookie data, or develop, implement or acquire additional tools that compensate for the lack of data associated with cookies. Moreover, even if we are able to do so, such additional products and tools may be subject to further legislation or regulation, time consuming to develop or costly to obtain, or less effective than our current use of cookies.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For information on the regulation of cookies in the EU, see the section titled “Part I, Item 1—Business—“Privacy Regulation in Europe.”</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Taboola’s ability to personalize its advertisements and content to users is restricted or prohibited due to various privacy laws or regulations or industry changes, we could lose digital properties and Advertisers, which could cause our financial condition, results of operations, and revenues to decline.</w:t>
      </w:r>
    </w:p>
    <w:p>
      <w:pPr>
        <w:spacing w:after="0" w:line="16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The efficacy of our platform for both Advertisers and digital properties relies, in part, on our ability to personalize the recommendations that we serve to Internet users. If we are unable to personalize due to changes in various privacy laws or regulations, the preferences of our publisher clients, or for some other reason beyond our control, the efficacy of our platform may be negatively affected causing our business to suffer, which, in turn, could have an adverse impact on our financial condition, results of operations and revenues.</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Our use of AI, and the integration of AI with our products and services, may not be successful, including for predicting what ads and content would be of most interest to our users and for improving on our ability to further predict or optimize user engagement or conversion rates for our Advertiser, and may present business, compliance and reputational challenges, which could lead to a decline in our performance, a loss of digital properties and Advertisers, operational or reputational damage, legal and regulatory risk, and additional costs, any of which could cause our results of operations and revenues to decline.</w:t>
      </w:r>
    </w:p>
    <w:p>
      <w:pPr>
        <w:spacing w:after="0" w:line="187"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We utilize AI in connection with our business, including in our platform. The effective delivery of our solution depends on the ability of Taboola’s AI powered platform to predict what ads and content would be of most interest to users so that our Advertisers can achieve desirable returns on their advertising spend. We need to continuously deliver satisfactory results for our Advertisers and digital properties in terms of predicting user engagement and conversion rates in order to maintain and increase revenue, which in turn depends in part on the optimal functioning of Taboola’s AI powered platform. In addition, as we have increased the number of Advertisers and digital properties that use our offerings on a global basis, we have experienced significant growth in the amount and complexity of data processed by Taboola’s AI and the number of ad and content impressions we deliver. Beyond the use of AI in our recommendation engine, in 2023, we launched a new tool for Advertisers to create personalized ads using generative AI. We also may incorporate AI in our business and operations in new and more significant ways over time.</w:t>
      </w:r>
    </w:p>
    <w:p>
      <w:pPr>
        <w:spacing w:after="0" w:line="81"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There are significant risks involved in utilizing AI and no assurance can be provided that our use of AI will produce the intended results.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w:t>
      </w:r>
    </w:p>
    <w:p>
      <w:pPr>
        <w:spacing w:after="0" w:line="81"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In particular, errors and defects in Taboola’s AI powered platform may have a significant adverse impact on our business. As the amount of data and number of variables processed by Taboola’s AI powered platform increase, the risk of errors in the type of data collected, stored, generated or accessed also increases. In addition, the calculations that the algorithms must compute become increasingly complex and the likelihood of any defects or errors increases. If we were to experience significant errors or defects in Taboola’s AI powered platform, our solution could be impaired or stop working altogether, which could prevent us from generating any revenue until the errors or defects were detected and corrected. Other negative consequences from significant errors or defects in Taboola’s AI powered platform could include:</w:t>
      </w:r>
    </w:p>
    <w:p>
      <w:pPr>
        <w:spacing w:after="0" w:line="95"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loss of Advertisers and digital properties;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fewer user visits to our digital properties;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click-through rates;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conversion rates;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profitability per impression, up to and including negative margins;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return on advertising spend for Advertisers;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price for the advertising inventory we are able to offer to digital properties;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advertisements that are less relevant or irrelevant to users;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damages or regulatory inquiries or lawsuits; and</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harm to our reputation.</w:t>
      </w:r>
    </w:p>
    <w:p>
      <w:pPr>
        <w:spacing w:after="0" w:line="127"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Furthermore, the ability of Taboola’s AI powered platform to accurately predict engagement by a user depends in part on our ability to continuously innovate and improve the algorithms underlying Taboola’s AI powered platform in order to deliver positive results for our Advertisers and digital properties that can be clearly attributed to the services we provide. The failure to do so could result in delivering poor performance for our Advertisers and a reduced ability to secure advertising inventory. If failures in Taboola’s AI powered platform or our inability to innovate and improve the algorithms underlying Taboola’s AI powered platform result in Advertisers and digital properties ceasing to partner with us, we cannot guarantee that we will be able to replace, in a timely or effective manner, departing Advertisers with new Advertisers that generate comparable revenue or departing digital properties with new digital properties. As a result, the failure by Taboola’s AI powered platform to accurately predict</w:t>
      </w:r>
    </w:p>
    <w:p>
      <w:pPr>
        <w:sectPr>
          <w:pgSz w:w="11900" w:h="16838" w:orient="portrait"/>
          <w:cols w:equalWidth="0" w:num="1">
            <w:col w:w="11240"/>
          </w:cols>
          <w:pgMar w:left="320" w:top="111" w:right="339" w:bottom="0" w:gutter="0" w:footer="0" w:header="0"/>
        </w:sectPr>
      </w:pPr>
    </w:p>
    <w:bookmarkStart w:id="22" w:name="page23"/>
    <w:bookmarkEnd w:id="22"/>
    <w:p>
      <w:pPr>
        <w:jc w:val="both"/>
        <w:spacing w:after="0" w:line="280" w:lineRule="auto"/>
        <w:rPr>
          <w:sz w:val="20"/>
          <w:szCs w:val="20"/>
          <w:color w:val="auto"/>
        </w:rPr>
      </w:pPr>
      <w:r>
        <w:rPr>
          <w:rFonts w:ascii="Times New Roman" w:cs="Times New Roman" w:eastAsia="Times New Roman" w:hAnsi="Times New Roman"/>
          <w:sz w:val="16"/>
          <w:szCs w:val="16"/>
          <w:color w:val="auto"/>
        </w:rPr>
        <w:t>user engagement or conversion rates and to continue to do so over time could result in significant costs to us and our results of operation and financial condition could be adversely affected.</w:t>
      </w:r>
    </w:p>
    <w:p>
      <w:pPr>
        <w:spacing w:after="0" w:line="70"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In addition, the use of generative AI, a relatively new and emerging technology in the early stages of commercial use, exposes us to additional risks. For example, our generative AI-based tool for ad creation, while made available through the Taboola platform, uses software tools provided by third parties and, while we are not aware of any infringement, we do not independently verify whether the content generated using such tools infringes third-party intellectual property or other rights. Further, any content created using generative AI tools may not be subject to copyright protection, which may adversely affect Advertisers’ intellectual property rights in, or ability to commercialize or use, any such content. If we or our Advertisers do not have sufficient rights to use the data or other material or content on which the AI tools we use or offer rely, or the output of such AI tools, we or our Advertisers also may incur liability through the violation of applicable laws and regulations, third-party intellectual property, privacy or other rights, or contracts to which we are party. Any such liability incurred by Advertisers in connection with the use of our generative AI-based tools may also lead to harm to our reputation and a decrease in the use of such tools or our platform by Advertisers.</w:t>
      </w:r>
    </w:p>
    <w:p>
      <w:pPr>
        <w:spacing w:after="0" w:line="72"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Regulation of AI is rapidly evolving as legislators and regulators are increasingly focused on these powerful technologies. The technologies underlying AI and its uses are subject to a variety of laws and regulations, including intellectual property, data privacy and cybersecurity, consumer protection, competition, and equal opportunity laws, and are expected to be subject to increased regulation and new laws or new applications of existing laws and regulations. AI is also the subject of ongoing review by various U.S. and foreign governmental and regulatory agencies, and certain jurisdictions are applying, or are considering applying, their platform moderation, data privacy and cybersecurity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 Further, because AI itself is highly complex and rapidly developing, it is not possible to predict all of the legal, operational or technological risks that may arise relating to the use of AI.</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continued engagement by users who interact with our platform on various digital properties. If users begin to ignore our platform or direct their attention to other elements on the digital property, our performance could decline and we could lose digital properties and Advertisers, which could cause our results of operations and revenues to decline.</w:t>
      </w:r>
    </w:p>
    <w:p>
      <w:pPr>
        <w:spacing w:after="0" w:line="16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ability to sustain continued engagement by users who interact with our platform on various digital properties depends on our ability to continue to provide attractive content to users. If users begin to ignore our platform or direct their attention to other elements on the digital property, our performance could decline and digital property and Advertiser satisfaction with our platform may decrease. Technological and other developments may also cause changes in consumer behavior that could affect the attractiveness of our content and ads to users.</w:t>
      </w:r>
    </w:p>
    <w:p>
      <w:pPr>
        <w:spacing w:after="0" w:line="7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6"/>
          <w:szCs w:val="16"/>
          <w:color w:val="auto"/>
        </w:rPr>
        <w:t>While we have adopted a number of strategies and initiatives to address these challenges, there can be no guarantee that our efforts will be successful. If we are unable to demonstrate the continuing value of our platform to Advertisers and digital properties, our results may suffer. A decrease in advertising expenditures by our Advertisers could lead to a reduction in our ability to obtain high-quality content from digital properties, which in turn could have an adverse effect on our results of operations and revenues.</w:t>
      </w:r>
    </w:p>
    <w:p>
      <w:pPr>
        <w:spacing w:after="0" w:line="3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have historically relied, and expect to continue to rely, on a small number of partners and their respective affiliates for a significant percentage of our revenue. The loss of all or a significant part of their business or an adverse change in the terms of our agreements could significantly harm our reputation, business, financial condition and results of operations.</w:t>
      </w:r>
    </w:p>
    <w:p>
      <w:pPr>
        <w:spacing w:after="0" w:line="18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In 2024, our two largest digital properties, Yahoo and Microsoft, accounted for approximately 32% of our gross revenues generated from Advertisers on digital properties, and our top five digital properties accounted for approximately 40% of our gross revenues. We have long-term contracts with our large digital properties, which, in general, contain minimum guarantee requirements. The typical contract length with our large digital properties is over two years (without any right by these properties to terminate earlier than that absent cause).</w:t>
      </w:r>
    </w:p>
    <w:p>
      <w:pPr>
        <w:spacing w:after="0" w:line="5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loss of all or a significant part of our business with our largest partners or unfavorable changes in the terms of our agreements with these partners could significantly harm our reputation, business, financial condition and results of operations.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do not have long-term commitments from our Advertisers, and we may not be able to retain Advertisers or attract new Advertisers that provide us with revenue that is comparable to the revenue generated by any Advertisers we may lose.</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Most of our Advertisers do business with us by placing insertion orders for particular advertising campaigns. If we perform well on a particular campaign, then the Advertiser may place new insertion orders with us for additional advertising campaigns. We do not always get written commitment from an Advertiser beyond the campaign-specific insertion order and, even then, each particular insertion order may not be completed since Advertisers can typically terminate a campaign at any time on twenty-four hours’ notice. As a result, our success is dependent upon our ability to outperform our competitors and win repeat business from existing Advertisers, while continually expanding the number of Advertisers for whom we provide services. In addition, it is relatively easy for Advertisers to seek an alternative provider for their campaigns because there are no significant switching costs. In addition, advertising agencies, with whom we do business, often have relationships with many different providers, each of whom may be running portions of the same campaign. Because we generally do not have long-term contracts, it may be difficult for us to accurately predict future revenue streams. We cannot provide assurance that our current Advertisers will continue to use our solutions, or that we will be able to replace departing Advertisers with new Advertisers that provide us with comparable revenue.</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retain digital properties or attract new digital properties that provide us with digital space that is sufficient for our volume of sponsored content or comparable to the digital space provided by any digital properties we may lose.</w:t>
      </w:r>
    </w:p>
    <w:p>
      <w:pPr>
        <w:spacing w:after="0" w:line="14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We do business with our partners by allowing them to share in the revenues we receive from Advertisers from campaigns that are placed on their digital properties. If the content we place on the digital property is successful, and the partner is satisfied with our performance and ability to generate revenue, the digital property partner may continue to want us to place content on their website. Alternatively, if we cannot maintain the quality of the content, digital property satisfaction with our platform may decrease. As our Advertiser content may appear on multiple digital properties, any decrease in quality may rapidly affect many digital properties in a short period of time. Our commitments from digital properties are for various periods of time, but our success is dependent upon our ability to successfully execute campaigns using available digital space and maintaining partner satisfaction, while continually expanding the number of digital properties from whom we purchase digital space as needed to meet content volume. In addition, leading up to the expiration of our agreements, it is easy for digital properties to seek an alternative supplier of content for their digital space because there are no fees tied to switching providers. We also face a risk that digital property contract renewals decrease our margins as digital properties may seek to negotiate a higher revenue share. Thus, we cannot provide assurance that our current partners will continue to want us to place content on their digital properties, or that we will be able to replace departing digital properties with new digital properties that provide us with sufficient or comparable digital space. In addition, certain trends in the industry designed to achieve a different user experience may significantly impact our business. For example, a partner may redesign its digital property causing us to have less real estate for our content or placing us in less profitable locations of the website.</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our access to quality digital properties or content from Advertisers is diminished or if we fail to acquire new content, our revenue could decline and our growth prospects could be impeded.</w:t>
      </w:r>
    </w:p>
    <w:p>
      <w:pPr>
        <w:spacing w:after="0" w:line="14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must maintain a consistent supply of attractive content and quality digital properties on which we place content. If our access to attractive content diminishes, our ability to pay digital properties will diminish, and if access to quality digital properties diminishes then Advertisers may not want to work with us. Thus, our success depends both on our ability to secure quality content and digital real estate.</w:t>
      </w:r>
    </w:p>
    <w:p>
      <w:pPr>
        <w:spacing w:after="0" w:line="7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The amount, quality and cost of supply available to us can change over time. Our digital properties’ contracts are for various periods. As a result, we cannot provide any assurance that we will have ongoing access to a consistent supply of quality digital real estate. Moreover, the number of competitors in our industry is substantial and continues to increase, which could negatively affect the terms of doing business with our digital property partners and ultimately our gross margin. If we are unable to compete favorably for digital properties, we may not be able to place content at competitive rates or find alternative sources of supply with comparable traffic patterns and consumer demographics in a timely manner. Similarly, if we are unable to maintain a consistent supply of quality content from Advertisers for any reason, our business, digital property partners retention and loyalty, financial condition and results of operations would be harmed.</w:t>
      </w:r>
    </w:p>
    <w:p>
      <w:pPr>
        <w:sectPr>
          <w:pgSz w:w="11900" w:h="16838" w:orient="portrait"/>
          <w:cols w:equalWidth="0" w:num="1">
            <w:col w:w="11240"/>
          </w:cols>
          <w:pgMar w:left="320" w:top="126" w:right="339" w:bottom="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successful in attracting more advertising inventory from digital properties than we can satisfy with demand from Advertisers, our relationship with certain digital properties, our revenues and our business could be adversely impacted.</w:t>
      </w:r>
    </w:p>
    <w:p>
      <w:pPr>
        <w:spacing w:after="0" w:line="16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Our business model depends on our ability to coordinate the supply of advertising inventory from our digital property partners with demand for that inventory from Advertisers. Any material failure to effectively maintain a sufficient number of Advertisers relative to the inventory we have available could cause digital properties not to utilize our platform or impair Taboola’s AI’s ability to accurately predict user engagement. As a result, our relationships with certain digital properties, our revenues and our business could be adversely impacted.</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Taboola fails to maintain the quality of content or to prevent low quality, offensive or other non-compliant content from appearing on the digital properties, we could lose digital properties and Advertisers, which could cause our results of operations and revenues to decline.</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Advertiser and digital property satisfaction with our solution depends on our ability to place high quality Advertiser content with content from digital properties that is well-suited to the Advertiser’s product or service. If we are unable to keep our Advertisers’ content from being placed with low quality, offensive or other non-compliant editorial content, or if we are unable to keep low quality, offensive or other non-compliant ads from appearing in our network of digital properties, our reputation and business may suffer. As we grow our business to serve a larger number of Advertisers and digital properties, it could become more challenging to prevent low quality, offensive or other non-compliant content from being shown. In addition, the categories of content that our digital properties accept may change over time and as these categories are removed from our inventory, we could suffer a decrease in cost-per-click and overall revenue. If we are unable to maintain the quality of our Advertiser and digital properties, our reputation and business may suffer and we may not be able to retain or secure additional Advertiser or digital property relationships.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Historically, the majority of our agreements with digital properties have typically required them to provide us with exclusivity for the term of the agreement. To the extent that such exclusivity is reduced or eliminated for any reason, including due to changes in market practice or changes in or in response to laws, rules or regulations, digital properties could elect to implement competitive platforms or services that could be detrimental to our performance, thereby reducing our revenues and harming our business.</w:t>
      </w:r>
    </w:p>
    <w:p>
      <w:pPr>
        <w:spacing w:after="0" w:line="16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6"/>
          <w:szCs w:val="16"/>
          <w:color w:val="auto"/>
        </w:rPr>
        <w:t>Although the majority of our agreements with digital properties have historically required digital properties to provide us with exclusivity for the term of the agreement, there is no guarantee that we will be able to continue to obtain such exclusive arrangements or to renew existing arrangements on similar terms in the future. To the extent that such exclusivity is reduced or eliminated for any reason, including due to changes in market practice or changes in or in response to laws, rules or regulations, our partners could elect to implement other platforms or services on their digital properties, develop their own, or to seek out other third parties with which to do business, which could be detrimental to our performance, thereby reducing our revenues and having an adverse effect on our business.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fail to detect fraudulent clicks, including non-human traffic, serve advertisements on undesirable websites, or serve content that is inappropriate to certain of our digital properties, our reputation will suffer, which would harm our brand and reputation and negatively impact our business, financial condition and results of operations.</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business depends in part on providing our Advertisers and digital properties with a service that they trust, and we have contractual commitments to take reasonable measures to prevent click fraud or distributing content on undesirable digital properties. We use proprietary technology to detect click fraud and block inventory that we know or suspect to be fraudulent. Preventing and combating fraud requires constant vigilance, and we may not always be successful in our efforts to do so. In addition, as we continue to improve our click fraud detection mechanisms, we may find that a portion of our traffic is the result of click fraud, and eliminating this fraudulent traffic would reduce our revenues. We also use proprietary technology to prevent our Advertisers’ content from appearing on undesirable digital properties, but we may not be successful in doing so, which would harm our relationship with Advertisers. Any of these things would harm our brand and reputation and negatively impact our business, financial condition and results of operations.</w:t>
      </w:r>
    </w:p>
    <w:p>
      <w:pPr>
        <w:spacing w:after="0" w:line="12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platform and business are subject to a wide variety of risks from individuals from inside and outside our company. Our policies and procedures may be inadequate to protect us from material losses or other harm caused by these bad actors, which could negatively impact our business, results of operations and reputation.</w:t>
      </w:r>
    </w:p>
    <w:p>
      <w:pPr>
        <w:spacing w:after="0" w:line="1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platform and business are subject to a wide variety of risks from individuals both inside and outside our company. We have established policies and procedures to manage our exposure to risk, including risks arising from the actions of our employees. These policies may not be adequate or effective in managing our future risk exposure or protecting us against unidentified or unanticipated risks. Although we regularly update our policies and procedures, including with respect to sanctions, bribery, money laundering and insider trading, we may fail to predict future risks due to rapid changes in the market and regulatory conditions and in new markets we enter. Although we have established internal controls to ensure our risk management policies and procedures are adhered to by our employees as we conduct our business, our internal controls may not effectively prevent or detect any non-compliance of our policies and procedures. In particular, these measures may not adequately address or prevent all illegal, improper, or otherwise inappropriate activity from occurring and such conduct could expose us to liability, including through litigation, or adversely affect our brand or reputation. Further, any negative publicity related to the foregoing, could adversely affect public perception of our industry as a whole, which could negatively affect demand for platforms like ours, and potentially lead to increased regulatory or other legal exposure. Any of the foregoing risks could negatively impact our business, results of operations and reputation.</w:t>
      </w:r>
    </w:p>
    <w:p>
      <w:pPr>
        <w:spacing w:after="0" w:line="3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strong brands and well-known digital properties, and failing to maintain and enhance our brands and well-known digital properties would hurt our ability to expand our number of Advertisers and digital properties.</w:t>
      </w:r>
    </w:p>
    <w:p>
      <w:pPr>
        <w:spacing w:after="0" w:line="17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Building and maintaining market awareness, brand recognition and goodwill in a cost-effective manner is important to our overall success in achieving widespread acceptance of our existing and future solutions. In particular, our business depends on access to strong brands and well-known digital properties, such as prominent media outlets, and failing to maintain and enhance our relationships with such brands and digital properties would hurt our ability to strengthen our own brand and to expand our current number of Advertisers and digital properties. Our efforts in developing our brand may be hindered by the marketing efforts of our competitors, to the degree our competitors are able to decrease the number of high-profile digital properties we are able to work with. Alternatively, if a significant number of well-known digital properties ceased to do business with us due to changing market conditions or for other reasons, our own brand image and reputation could suffer and our business and results of operations could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widespread use of technologies that can block or limit the display of our ads could adversely affect our financial results and business.</w:t>
      </w:r>
    </w:p>
    <w:p>
      <w:pPr>
        <w:spacing w:after="0" w:line="23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Technologies have been developed, and will likely continue to be developed, that can block the display of our ads or content or block our ad measurement tools, particularly for advertising displayed on personal computers. We generate substantially all of our revenue from advertising, including revenue resulting from the display of ads via our platform on personal computers. Revenue generated from the display of ads on personal computers has been impacted by these technologies from time to time. As a result, these technologies may have an adverse effect on our financial results and, if such technologies continue to proliferate, in particular with respect to mobile platforms, our future financial results may be harmed.</w:t>
      </w:r>
    </w:p>
    <w:p>
      <w:pPr>
        <w:spacing w:after="0" w:line="1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continued and unimpeded access to the Internet and digital properties by us and our users. Internet access providers, device manufacturers, browser developers or owners of digital properties may be able to restrict, block, degrade, or charge for access to certain of our products and services, which could lead to significant degradation of our service or additional expenses and the loss of users and Advertisers.</w:t>
      </w:r>
    </w:p>
    <w:p>
      <w:pPr>
        <w:spacing w:after="0" w:line="168"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Our products and services depend on the ability of consumers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may take measures that could degrade, disrupt, or increase the cost of user access by restricting or prohibiting the use of their infrastructure to support our platform, by charging increased fees to us or our users, or by providing our competitors preferential access. Some jurisdictions have adopted regulations prohibiting certain forms of discrimination by internet access providers; however, substantial uncertainty exists in the United States and elsewhere regarding such protections. For example, in 2018 the United States Federal Communications Commission repealed net neutrality rules, which could permit internet access providers to</w:t>
      </w:r>
    </w:p>
    <w:p>
      <w:pPr>
        <w:sectPr>
          <w:pgSz w:w="11900" w:h="16838" w:orient="portrait"/>
          <w:cols w:equalWidth="0" w:num="1">
            <w:col w:w="11240"/>
          </w:cols>
          <w:pgMar w:left="320" w:top="108" w:right="339" w:bottom="0" w:gutter="0" w:footer="0" w:header="0"/>
        </w:sectPr>
      </w:pPr>
    </w:p>
    <w:bookmarkStart w:id="24" w:name="page25"/>
    <w:bookmarkEnd w:id="24"/>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restrict, block, degrade, or charge for access. In addition, our platform may be subject to government-initiated restrictions or blockages. These could result in a decrease of users interacting with our platform, and could impair our ability to attract new Advertisers and digital properties.</w:t>
      </w:r>
    </w:p>
    <w:p>
      <w:pPr>
        <w:spacing w:after="0" w:line="7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In addition, we rely on data signals from user activity on websites that we do not control in order to deliver relevant and effective ads on behalf of our Advertisers. Our advertising revenue is dependent on targeting and measurement tools that incorporate these signals, and any changes in our ability to use such signals will adversely affect our business. For example, legislative and regulatory changes, such as the GDPR and CCPA, may impact our ability to use such signals in our ad products. In addition, mobile operating system and browser providers, such as Apple and Google, have announced product changes as well as future plans to limit the ability of application developers to use these signals to target and measure advertising on their platforms. These developments may limit our ability to target and measure the effectiveness of ads on our platform, and any additional loss of such signals in the future will adversely affect our targeting and measurement capabilities and negatively impact our advertising revenue.</w:t>
      </w:r>
    </w:p>
    <w:p>
      <w:pPr>
        <w:spacing w:after="0" w:line="3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Large and established internet and technology companies may be able to independently transform the marketplace for data and native advertising and significantly impair our ability to operate.</w:t>
      </w:r>
    </w:p>
    <w:p>
      <w:pPr>
        <w:spacing w:after="0" w:line="160"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Large and established internet and technology companies such as Amazon, Apple, Facebook and Google may have the power to significantly change the very nature of the internet display advertising marketplace, and these changes could materially disadvantage us. For example, Amazon, Apple, Facebook and Google have substantial resources and have a significant share of widely adopted industry platforms such as web browsers, mobile operating systems and advertising exchanges and networks. In addition, these or other companies may bundle other services alongside the services that compete with our solutions, thus potentially creating a more competitive platform than ours. Therefore, these companies could leverage their position to make changes to their web browsers, mobile operating systems, platforms, exchanges, networks or other products or services that could be significantly harmful to our business and results of operations.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From time to time certain of our digital properties, typically small and medium digital properties, have, and in the future may continue to, violate the terms of their agreements with us by depriving us of their contractually required advertising inventory.</w:t>
      </w:r>
    </w:p>
    <w:p>
      <w:pPr>
        <w:spacing w:after="0" w:line="160"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color w:val="auto"/>
        </w:rPr>
        <w:t>If a significant number of these digital properties violate their agreements, it could be impractical for us to pursue remedies against all of them and as a result we may lack sufficient or timely advertising inventory for our Advertiser clients. As a result, Advertisers may be less likely to contract with us in the future. The combined effect of this disruption to our anticipated advertising inventory, and related supply and demand dynamics, could have an adverse effect on our revenue, business operations and reputation.</w:t>
      </w:r>
    </w:p>
    <w:p>
      <w:pPr>
        <w:spacing w:after="0" w:line="3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already and may in the future invest in or acquire other businesses, which could require significant management attention, disrupt our business, dilute shareholder value and adversely affect our financial condition and results of operations.</w:t>
      </w:r>
    </w:p>
    <w:p>
      <w:pPr>
        <w:spacing w:after="0" w:line="173"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As part of our business strategy, we have made and may make future investments in or acquisitions of complementary companies, products or technologies. These activities, including the Connexity acquisition in September 2021, involve significant risks to our business. We may not be able to find other suitable acquisition candidates, and we may not be able to complete such acquisitions on favorable terms, if at all. If we do complete acquisitions, they may not ultimately strengthen our competitive position. Any acquisitions we complete could be viewed negatively by our partners and clients, which could have an adverse impact on our business. In addition, if we are unsuccessful at integrating employees or technologies acquired, our financial condition and results of operations, including revenue growth, could be adversely affected. Any acquisition and subsequent integration will require significant time and resources. We may not be able to successfully evaluate and use the acquired technology or employees, or otherwise manage the acquisition and integration processes successfully. We will be required to pay cash, incur debt and/or issue equity securities to pay for any such acquisition, each of which could adversely affect our financial condition. Our use of cash to pay for acquisitions would limit other potential uses of our cash, including investments in our sales and marketing and product development organizations, and in infrastructure to support scalability. The issuance or sale of equity or convertible debt securities to finance any such acquisitions would result in dilution to our shareholders. If we incur debt, it would result in increased fixed obligations and could also impose covenants or other restrictions that could impede our ability to manage our operations.</w:t>
      </w:r>
    </w:p>
    <w:p>
      <w:pPr>
        <w:spacing w:after="0" w:line="1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do not effectively grow and train our sales team and account managers, we may be unable to add new digital properties and Advertisers or increase sales to our existing digital properties and Advertisers, and our business would be adversely affected.</w:t>
      </w:r>
    </w:p>
    <w:p>
      <w:pPr>
        <w:spacing w:after="0" w:line="173"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We continue to be substantially dependent on our sales team and account managers to obtain new digital properties and Advertisers and to drive sales from our existing digital properties and Advertisers. We believe that there is significant competition for sales personnel with the skills and technical knowledge that we require. Our ability to achieve significant revenue growth will depend, in large part, on our success in recruiting, training, integrating and retaining sufficient numbers of sales personnel to support our growth. New hires require significant training and it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In addition, if we continue to grow rapidly, a large percentage of our sales team will be new to the company and our solutions. If we are unable to hire and train sufficient numbers of effective sales personnel, or the sales personnel are not successful in obtaining new digital properties and Advertisers or increasing sales to our existing digital property and Advertiser base, our business would be adversely affected. Finally, managing our sales team and account managers, particularly in light of our growth, and enforcing compliance with our sales policies is a challenge for us.</w:t>
      </w:r>
    </w:p>
    <w:p>
      <w:pPr>
        <w:spacing w:after="0" w:line="1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do not effectively maintain and grow our research and development team with top talent, including employees who are trained in artificial intelligence, machine learning and advanced algorithms, we may be unable to continue to improve on our artificial intelligence, our performance could decline and we could lose digital properties and Advertisers, which could cause our results of operations and revenues to decline.</w:t>
      </w:r>
    </w:p>
    <w:p>
      <w:pPr>
        <w:spacing w:after="0" w:line="18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future success depends on our ability to continue to attract, retain and motivate highly skilled employees, software engineers and other employees with the technical skills in artificial intelligence, machine learning and advanced algorithms that will enable us to deliver effective advertising and content solutions. Competition for highly skilled employees in our industry is intense, particularly in the fields of artificial intelligence and data science. We expect certain of our key competitors, who generally are larger than us and have access to more substantial resources, to pursue top talent even more aggressively.</w:t>
      </w:r>
    </w:p>
    <w:p>
      <w:pPr>
        <w:spacing w:after="0" w:line="7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may be unable to attract or retain such highly skilled personnel who are critical to our success, which could hinder our ability to keep pace with innovation and technological change in our industry or result in harm to our key Advertiser and digital property relationships, loss of key information, expertise or proprietary knowledge and unanticipated recruitment and training costs. The loss of the services of such key employees could make it more difficult to successfully operate our business and pursue our business goals.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growth depends, in part, on the success of our strategic relationships with third parties, including ready access to hardware in key locations to facilitate the delivery of our platform and reliable management of Internet traffic. Supply disruptions can impede our operations, ability to grow and financial performance and also result in significant cost increases.</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We anticipate that we will continue to depend on various third-party relationships in order to grow our business. We continue to pursue additional relationships with third parties, such as technology and content providers, content delivery networks, data partnerships, co-location facilities and other strategic partners. Identifying, negotiating and documenting relationships with third parties requires significant time and resources, as does integrating third-party data and services. Our agreements with providers of technology, computer hardware, co-location facilities, and content are typically non-exclusive, do not prohibit them from working with our competitors or from offering competing services and do not typically have minimum purchase commitments. Our competitors may be effective in providing incentives to third parties to favor their products or services over ours or to otherwise prevent or reduce purchases of our solutions. In addition, these third parties may go out of business, no longer offer their services to us or not perform as expected under our agreements with them, and we may have disagreements or disputes with such third parties, which could negatively affect our brand and reputation.</w:t>
      </w:r>
    </w:p>
    <w:p>
      <w:pPr>
        <w:spacing w:after="0" w:line="78"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In particular, our continued growth depends on our ability to source computer hardware, including servers built to our specifications, and the ability to locate those servers and related hardware in co-location facilities in the most desirable locations to facilitate the timely delivery of our services. Disruptions in the services provided at</w:t>
      </w:r>
    </w:p>
    <w:p>
      <w:pPr>
        <w:sectPr>
          <w:pgSz w:w="11900" w:h="16838" w:orient="portrait"/>
          <w:cols w:equalWidth="0" w:num="1">
            <w:col w:w="11240"/>
          </w:cols>
          <w:pgMar w:left="320" w:top="126" w:right="339" w:bottom="0" w:gutter="0" w:footer="0" w:header="0"/>
        </w:sectPr>
      </w:pPr>
    </w:p>
    <w:bookmarkStart w:id="25" w:name="page26"/>
    <w:bookmarkEnd w:id="25"/>
    <w:p>
      <w:pPr>
        <w:jc w:val="both"/>
        <w:spacing w:after="0" w:line="263" w:lineRule="auto"/>
        <w:rPr>
          <w:sz w:val="20"/>
          <w:szCs w:val="20"/>
          <w:color w:val="auto"/>
        </w:rPr>
      </w:pPr>
      <w:r>
        <w:rPr>
          <w:rFonts w:ascii="Times New Roman" w:cs="Times New Roman" w:eastAsia="Times New Roman" w:hAnsi="Times New Roman"/>
          <w:sz w:val="16"/>
          <w:szCs w:val="16"/>
          <w:color w:val="auto"/>
        </w:rPr>
        <w:t>co-location facilities that we rely upon can degrade the level of services that we can provide, which could harm our business. We also rely on our integration with many third-party technology providers to execute our business on a daily basis. We rely on a third-party domain name service, or DNS, to direct traffic to our closest data center for efficient processing. If our DNS provider experiences disruptions or performance problems, this could result in inefficient balancing of traffic across our servers as well as impairing or preventing web browser connectivity to our site, which could harm our business.</w:t>
      </w:r>
    </w:p>
    <w:p>
      <w:pPr>
        <w:spacing w:after="0" w:line="85"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Supply disruptions could materially impede our growth and our ability to maintain our existing platform. Disruptions in supply can be caused by many factors, including decreases in manufacturing output and labor shortages; the availability of one or more components including semiconductors which are currently in short supply; the impacts of pent up demand; transportation and delivery issues; geopolitical issues; and other circumstances. Such disruptions can result in the delay or inability to obtain necessary hardware, or significant cost increases, any of which could have a material adverse effect on our existing business, our ability to grow and our financial performance.</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the continuing efforts of our key employees, including our founder, and on our ability to hire, train, motivate and retain additional employees, including key employees.</w:t>
      </w:r>
    </w:p>
    <w:p>
      <w:pPr>
        <w:spacing w:after="0" w:line="16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future success depends heavily upon the continuing services of our key employees, including our founder and CEO, Adam Singolda, and on our ability to attract and retain members of our management team and other highly skilled employees, including software engineers, analytics and operations employees and sales professionals. The market for talent in our key areas of operations, including Bangkok, California, New York, Sao Paulo, Tel Aviv, and London, is intensely competitive. Our competitors may provide more generous benefits, more diverse opportunities and better chances for career advancement than we do. Some of these advantages may be more appealing to high-quality candidates than those we have to offer. Any of our employees may terminate his or her employment with us at any time.</w:t>
      </w:r>
    </w:p>
    <w:p>
      <w:pPr>
        <w:spacing w:after="0" w:line="7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New employees often require significant training and, in many cases, take significant time before they achieve full productivity.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In addition, as we move into new geographies, we will need to attract and recruit skilled employees in those areas.</w:t>
      </w:r>
    </w:p>
    <w:p>
      <w:pPr>
        <w:spacing w:after="0" w:line="72"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Even if we are successful in hiring qualified new employees, we may be subject to allegations that we have improperly solicited such employees while they remained employed by our competitors, that such employees have improperly solicited other colleagues of theirs employed by the same competitors or that such employees have divulged proprietary or other confidential information to us in violation of their agreements with such competitors. If we are unable to attract, integrate and retain suitably qualified individuals, our business, financial position and results of operations would be harmed.</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corporate culture has contributed to our success. If we cannot maintain a strong corporate culture, we could lose the innovation, creativity and teamwork fostered by our culture, and our business could be harmed.</w:t>
      </w:r>
    </w:p>
    <w:p>
      <w:pPr>
        <w:spacing w:after="0" w:line="16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We believe our corporate culture has been a critical component of our success as we believe it fosters innovation, teamwork, passion for partners and clients and focus on execution, while facilitating knowledge sharing across our organization. As we grow and change,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Many Advertisers typically spend less in the first quarter and more in the fourth quarter of each calendar year. Our historical revenue growth has mitigated the impact of these seasonal fluctuations in advertising activity. If our growth declines or these typical advertising patterns become more pronounced, seasonality could have a material impact on our revenue, cash flows and operating results.</w:t>
      </w:r>
    </w:p>
    <w:p>
      <w:pPr>
        <w:spacing w:after="0" w:line="19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revenue, cash flow and other key operating and performance metrics may vary from quarter to quarter due to the seasonal nature of our Advertiser clients’ spending on advertising campaigns. For example, many Advertisers tend to devote more of their advertising budgets to the fourth calendar quarter to coincide with consumer holiday spending and correspondingly to spend less in the first quarter. Moreover, advertising inventory in the fourth quarter may be more expensive due to increased demand for it. Our historical revenue growth has masked the impact of seasonality in the past, but if our growth rate declines or seasonal spending becomes more pronounced, seasonality could have a more significant impact on our revenue, cash flow and results of operations from period to period.</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usually incur the cost of an Advertiser’s campaign before we bill for services. Such Advertisers may have or develop high-risk credit profiles, which may result in credit risk.</w:t>
      </w:r>
    </w:p>
    <w:p>
      <w:pPr>
        <w:spacing w:after="0" w:line="16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We usually incur the cost of an Advertiser’s campaign before we bill for services. A portion of our Advertiser-side business is sourced through advertising agencies, and we contract with these agencies as agent for a disclosed principal, which is the Advertiser. Typically, the advertising agency pays for our services once it has received payment from the Advertiser for our services. Our agreements with these agencies typically provide that if the Advertiser does not pay the agency, the agency is not liable to us, and we must seek payment solely from the advertiser.</w:t>
      </w:r>
    </w:p>
    <w:p>
      <w:pPr>
        <w:spacing w:after="0" w:line="7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In addition, contracting with Advertisers who have or develop high-risk credit profiles, subjects us to credit risk. This credit risk may vary depending on the nature of the Advertiser’s business and the Advertiser’s monetization of the traffic generated. Any inability to collect costs we have advanced or other amounts due to us, including write-offs of accounts receivable, could have a materially negative effect on our results of operations.</w:t>
      </w:r>
    </w:p>
    <w:p>
      <w:pPr>
        <w:spacing w:after="0" w:line="7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We often pay our digital properties their share of the revenue generated by an Advertiser’s campaigns whether or not we have received payment from the Advertisers and even if we never receive payment from such Advertiser. In addition, we agree with digital properties on a fixed cost for the digital space but a large portion of our revenue from Advertisers is tied to the performance of the campaign. As a result, our results of operations and financial condition could be adversely impacted if we do not receive timely payment from our Advertisers or if our campaigns do not perform as expected.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Laws and Regulations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a multinational organization faced with complex and changing laws and regulations regarding privacy, data protection, content, competition, consumer protection, and other matters. Many of these laws and regulations are subject to change and uncertain interpretation, and could result in claims, changes to our business practices, monetary penalties, increased cost of operations, or declines in user engagement, or otherwise harm our business.</w:t>
      </w:r>
    </w:p>
    <w:p>
      <w:pPr>
        <w:spacing w:after="0" w:line="182"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We are subject to a variety of laws and regulations in the United States and other countries that involve matters central to our business, including privacy, data protection, content, competition, consumer protection, and other matters. The expansion of our activities in certain jurisdictions, or other actions that we may take may subject us to additional laws, regulations, or other government scrutiny. In addition, foreign privacy, data protection, content, competition, and other laws and regulations can impose different obligations or be more restrictive than those in the United States. For additional discussion of privacy and data protection laws and regulations applicable to our business, see “Risk Factors—Risks Related to Laws and Regulations—Legislation and regulation of online businesses, including privacy and data protection regimes, could create unexpected costs, subject us to enforcement actions for compliance failures, or cause us to change our technology platform or business model, which could have a material adverse effect on our business.”</w:t>
      </w:r>
    </w:p>
    <w:p>
      <w:pPr>
        <w:spacing w:after="0" w:line="81" w:lineRule="exact"/>
        <w:rPr>
          <w:sz w:val="20"/>
          <w:szCs w:val="20"/>
          <w:color w:val="auto"/>
        </w:rPr>
      </w:pPr>
    </w:p>
    <w:p>
      <w:pPr>
        <w:jc w:val="both"/>
        <w:ind w:firstLine="299"/>
        <w:spacing w:after="0" w:line="231" w:lineRule="auto"/>
        <w:rPr>
          <w:sz w:val="20"/>
          <w:szCs w:val="20"/>
          <w:color w:val="auto"/>
        </w:rPr>
      </w:pPr>
      <w:r>
        <w:rPr>
          <w:rFonts w:ascii="Times New Roman" w:cs="Times New Roman" w:eastAsia="Times New Roman" w:hAnsi="Times New Roman"/>
          <w:sz w:val="16"/>
          <w:szCs w:val="16"/>
          <w:color w:val="auto"/>
        </w:rPr>
        <w:t>Laws and regulations of the countries and their legal subdivisions in which we operate or conduct business or in which our employees reside, which in some cases can be enforced by private parties in addition to government entities, are constantly evolving and can be subject to significant change. As a result, the application, interpretation,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and enforcement of these laws and regulations are often uncertain, particularly in the new and rapidly evolving industry in which we operate, and may be interpreted and applied inconsistently from country to country and inconsistently with our current policies and practices. For example, regulatory or legislative actions affecting the manner in which we display content to our users could adversely affect user growth and engagement. Such actions could affect the manner in which we provide access to our</w:t>
      </w:r>
    </w:p>
    <w:p>
      <w:pPr>
        <w:spacing w:after="0"/>
        <w:rPr>
          <w:sz w:val="20"/>
          <w:szCs w:val="20"/>
          <w:color w:val="auto"/>
        </w:rPr>
      </w:pPr>
      <w:r>
        <w:rPr>
          <w:rFonts w:ascii="Times New Roman" w:cs="Times New Roman" w:eastAsia="Times New Roman" w:hAnsi="Times New Roman"/>
          <w:sz w:val="16"/>
          <w:szCs w:val="16"/>
          <w:color w:val="auto"/>
        </w:rPr>
        <w:t>platform or adversely affect our financial results.</w:t>
      </w:r>
    </w:p>
    <w:p>
      <w:pPr>
        <w:spacing w:after="0" w:line="68"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These laws and regulations, as well as any associated claims, inquiries, or investigations or any other government actions, have in the past led to, and may in the future lead to, unfavorable outcomes including increased compliance costs, delays or impediments in the development of new products, negative publicity and reputational harm,</w:t>
      </w:r>
    </w:p>
    <w:p>
      <w:pPr>
        <w:sectPr>
          <w:pgSz w:w="11900" w:h="16838" w:orient="portrait"/>
          <w:cols w:equalWidth="0" w:num="1">
            <w:col w:w="11240"/>
          </w:cols>
          <w:pgMar w:left="320" w:top="126" w:right="339" w:bottom="0" w:gutter="0" w:footer="0" w:header="0"/>
        </w:sectPr>
      </w:pPr>
    </w:p>
    <w:bookmarkStart w:id="26" w:name="page27"/>
    <w:bookmarkEnd w:id="26"/>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increased operating costs, diversion of management time and attention, and remedies that harm our business, including fines or demands or orders that we modify or cease existing business practices.</w:t>
      </w:r>
    </w:p>
    <w:p>
      <w:pPr>
        <w:spacing w:after="0" w:line="1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Legislation and regulation of online businesses, including privacy and data protection regimes, could create unexpected costs, subject us to enforcement actions for compliance failures, or cause us to change our technology platform or business model, which could have a material adverse effect on our business.</w:t>
      </w:r>
    </w:p>
    <w:p>
      <w:pPr>
        <w:spacing w:after="0" w:line="14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Government regulation could increase the costs of doing business online. U.S. and many international governments have enacted, or are considering enacting, legislation and regulation related to online advertising to which we are or may become subject, and we expect to see an increase in legislation and regulation related to digital advertising, the collection and use of Internet user data and unique device identifiers, such as IP address or unique mobile device identifiers, and other privacy and data protection legislation and regulation. The regulatory environment related to privacy and data protection is increasingly rigorous, with new and constantly changing requirements applicable to our business, and enforcement practices are likely to remain uncertain for the foreseeable future. Such legislation and regulation could affect the costs of doing business online, and could reduce the demand for our solutions or otherwise harm our business, financial condition, and results of operations.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 For example, a wide variety of provincial, state, national, and international laws and regulations apply to the collection, use, retention, protection, disclosure, transfer and other processing of personal data. While we generally have not collected data from Internet users that is traditionally considered to be personally identifiable data, such as name, email address, address, phone numbers, social security numbers, credit card numbers, financial, or health data, we typically do collect and store IP addresses, cookie IDs, and other device identifiers that are or may be considered personal data in some jurisdictions or otherwise may be the subject of legislation or regulation. Legislation or regulation that reduces the data we can collect may cause us to not be able to track advertising conversions as efficiently or target campaigns as effectively, which may negatively impact our revenue.</w:t>
      </w:r>
    </w:p>
    <w:p>
      <w:pPr>
        <w:spacing w:after="0" w:line="86" w:lineRule="exact"/>
        <w:rPr>
          <w:sz w:val="20"/>
          <w:szCs w:val="20"/>
          <w:color w:val="auto"/>
        </w:rPr>
      </w:pPr>
    </w:p>
    <w:p>
      <w:pPr>
        <w:jc w:val="both"/>
        <w:ind w:firstLine="269"/>
        <w:spacing w:after="0" w:line="233" w:lineRule="auto"/>
        <w:rPr>
          <w:sz w:val="20"/>
          <w:szCs w:val="20"/>
          <w:color w:val="auto"/>
        </w:rPr>
      </w:pPr>
      <w:r>
        <w:rPr>
          <w:rFonts w:ascii="Times New Roman" w:cs="Times New Roman" w:eastAsia="Times New Roman" w:hAnsi="Times New Roman"/>
          <w:sz w:val="16"/>
          <w:szCs w:val="16"/>
          <w:color w:val="auto"/>
        </w:rPr>
        <w:t>Evolving and changing definitions of personal data, within the EEA, the UK, Asia, the United States, and elsewhere, especially relating to classification of IP addresses, machine or device identifiers, and other information, have in the past and could in the future, cause us to change our business practices, expend significant costs to modify our data processing practices or policies, preoccupy management, divert resources from other initiatives and projects, or limit or inhibit our ability to operate or expand our business. Evolving data protection and privacy-related laws and regulations could embolden regulatory and public scrutiny, increase levels of enforcement, and pose risk of sanctions for noncompliance. While we currently take steps to avoid collecting personal data that would enable the direct identification of Internet users, we may inadvertently receive this information from Advertisers or advertising agencies or through the process of delivering our service. Additionally, while we take measures to protect the security of information that we collect, use, disclose and otherwise process in the operation of our business, and to offer certain privacy protections with respect to such information, such measures may not always be effective. Our advertising clients or digital property partners have imposed, or may in the future impose, new restrictions relating to the quickly evolving privacy and data protection laws and regulations with which we must adapt and comply. Our failure to comply with applicable laws and regulations, or to protect personal data, could result in enforcement or litigation action against us, including fines, sanctions, penalties, judgments, imprisonment of our officers and public censure, claims for damages by consumers and other affected individuals, obligations to notify regulators and affected individuals, damage to our reputation and loss of goodwill, any of which could have a material adverse impact on our business, financial condition and results of operations. Even the perception of privacy concerns, whether or not valid, could harm our reputation and inhibit adoption of our solutions by current and future clients and partners.</w:t>
      </w:r>
    </w:p>
    <w:p>
      <w:pPr>
        <w:spacing w:after="0" w:line="81"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For more information on the privacy and data protection laws and regulations to which we are subject, see the sections titled “Part I, Item 1—Business—“Privacy Regulation in the U.S.”, “Part I, Item 1—Business—“Privacy Regulation in Europe” and “Part I, Item 1—Business—“Privacy Regulation in the Asia-Pacific Region.”</w:t>
      </w:r>
    </w:p>
    <w:p>
      <w:pPr>
        <w:spacing w:after="0" w:line="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Potential “Do Not Track” standards or government regulation could negatively impact our business by limiting our access to the user data that informs the advertising campaigns we run, and as a result could degrade our performance for our digital properties and Advertisers.</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As the use of cookies has received ongoing media attention in recent years, some government regulators and privacy advocates have suggested creating a “Do Not Track” standard that would allow Internet users to express a preference, independent of cookie settings in their web browser, not to have their website browsing recorded. All the major Internet browsers have implemented some version of a “Do Not Track” setting. However, there is limited guidance, consensus and industry standards regarding the definition of “tracking,” what message is conveyed by a “Do Not Track” setting and how to respond to a “Do Not Track” preference. We could face competing policy standards, or standards that put our business model at a competitive disadvantage to other companies that collect data from Internet users, standards that reduce the effectiveness of our solutions, or standards that require us to make costly changes to our solutions. For example, the FTC has stated that it will pursue a legislative solution if the industry cannot agree upon a standard. “Do Not Track” has seen renewed emphasis from proponents of the CCPA, which, in certain circumstances, requires browser-based or similar “do not sell” signals. If a standard is imposed by international federal or state legislation, or agreed upon by standard setting groups, that requires us to recognize a “Do Not Track” signal and prohibits us from using data as we currently do, then that could hinder growth of advertising and content production on the web generally, and limit the quality and amount of data we are able to store and use, which would cause us to change our business practices and adversely affect our business.</w:t>
      </w:r>
    </w:p>
    <w:p>
      <w:pPr>
        <w:spacing w:after="0" w:line="85"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On May 16, 2023, the EU Interactive Advertising Bureau (IAB), a digital marketing trade association, released an updated version of the IAB Transparency &amp; Consent Framework, or TCF, to reflect updated regulator guidance and decisions. While Taboola is a registered vendor on the latest version of the TCF, the TCF remains under review by European courts after the IAB appealed a February 2022 decision by the Belgian data protection authority that the TCF violates the GDPR. The TCF is currently a key tool in the EU ad tech ecosystem for passing on consent and “do not sell” signals, and in turn, facilitating compliance with the GDPR. If the TCF is found to be unlawful under the GDPR, the ad tech industry will need to determine new mechanisms for GDPR compliance, which could affect our ability to serve targeted ads and consequently impact our revenue.</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User growth and engagement depends upon effective interoperation with devices, platforms and standards set by third parties across the entire ad tech ecosystem that we do not control.</w:t>
      </w:r>
    </w:p>
    <w:p>
      <w:pPr>
        <w:spacing w:after="0" w:line="174"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Technology companies in the Internet browsers and operating systems spaces have announced intentions to discontinue the use of cookies, and to develop alternative methods and mechanisms for tracking users. The most commonly used Internet browsers allow users to modify their browser settings to block first-party cookies (placed directly by the media partner or website owner that the user intends to interact with) or third-party cookies, and some browsers block third-party cookies by default. For example, Apple previously released an update to its Safari browser that limits the use of third-party cookies, which reduces our ability to provide the most relevant ads to our users and impacts monetization, and also released changes to iOS, requiring users to voluntarily choose (opt-in) to permit app developers to track them across applications and websites, that limit our ability to target and measure ads effectively. In addition , Google has announced its intention to disable the use of third-party cookies across its Google Chrome web browser. Based on public announcements from Google, the phase out will be in effect for all users in the second half of 2024 subject to regulatory compliance. This change may force many businesses to reevaluate their marketing strategies.</w:t>
      </w:r>
    </w:p>
    <w:p>
      <w:pPr>
        <w:spacing w:after="0" w:line="86" w:lineRule="exact"/>
        <w:rPr>
          <w:sz w:val="20"/>
          <w:szCs w:val="20"/>
          <w:color w:val="auto"/>
        </w:rPr>
      </w:pPr>
    </w:p>
    <w:p>
      <w:pPr>
        <w:jc w:val="both"/>
        <w:ind w:firstLine="299"/>
        <w:spacing w:after="0" w:line="232" w:lineRule="auto"/>
        <w:rPr>
          <w:sz w:val="20"/>
          <w:szCs w:val="20"/>
          <w:color w:val="auto"/>
        </w:rPr>
      </w:pPr>
      <w:r>
        <w:rPr>
          <w:rFonts w:ascii="Times New Roman" w:cs="Times New Roman" w:eastAsia="Times New Roman" w:hAnsi="Times New Roman"/>
          <w:sz w:val="16"/>
          <w:szCs w:val="16"/>
          <w:color w:val="auto"/>
        </w:rPr>
        <w:t>Furthermore, mobile devices using Android and iOS operating systems limit the ability of cookies to track users while they are using applications other than their web browser on the device. As a consequence, fewer of our cookies or media partners’ cookies may be set in browsers or be accessible in mobile devices, which can adversely affect our business.</w:t>
      </w:r>
    </w:p>
    <w:p>
      <w:pPr>
        <w:spacing w:after="0" w:line="6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As technology companies in such sectors replace cookies, it is possible that such companies may rely on proprietary algorithms or statistical methods to track users without cookies, or may utilize log-in credentials entered by users into other web properties owned by these companies, such as their email services, to track web usage, including usage across multiple devices. Alternatively, such companies may build different and potentially proprietary user tracking methods into their widely-used web browsers. Although we believe we are well positioned to adapt and continue to provide key data insights to our media partners without cookies, this transition could be more disruptive, slower, or more expensive than we currently anticipate, and could materially affect the accuracy of our recommendations and ads and thus our ability to serve our Advertisers, including through our data marketplace product, adversely affecting our business, results of operations, and financial condition.</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Potential regulation or oversight over native advertising disclosure standards could negatively impact our business by affecting click through rates, which in turn affects the profitability of our digital properties and Advertisers.</w:t>
      </w:r>
    </w:p>
    <w:p>
      <w:pPr>
        <w:spacing w:after="0" w:line="16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We are subject to complex and changing advertising regulations in many jurisdictions in which we operate, including regulatory and self-regulatory requirements to comply with native advertising regulations in connection with our native advertising offering. For example, in the United States, the Federal Trade Commission requires that all online advertising meet certain principles, including the clear and conspicuous disclosure of advertisements. If we, or our advertisers, make mistakes in implementing this varied and evolving guidance, or our commitments with respect to these principles, we could be subject to negative publicity, government investigation, government or private litigation, or investigation by self-regulatory bodies such as the Interactive Advertising Bureau (IAB), the National Advertising Division (NAD) as well as the Advertising Standards Authority (ASA) in the UK or other accountability groups. Any such action against us could be costly and time consuming and may require us to</w:t>
      </w:r>
    </w:p>
    <w:p>
      <w:pPr>
        <w:sectPr>
          <w:pgSz w:w="11900" w:h="16838" w:orient="portrait"/>
          <w:cols w:equalWidth="0" w:num="1">
            <w:col w:w="11240"/>
          </w:cols>
          <w:pgMar w:left="320" w:top="111" w:right="339" w:bottom="0" w:gutter="0" w:footer="0" w:header="0"/>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6"/>
          <w:szCs w:val="16"/>
          <w:color w:val="auto"/>
        </w:rPr>
        <w:t>change our business practices, cause us to divert management’s attention and our resources and be damaging to our reputation and our business. Moreover, additional or different disclosures may lead to a reduction in user engagement, which could have an adverse effect on our business, results of operations, and financial condition.</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a multinational organization faced with complex and changing advertising regulation in many jurisdictions in which we operate, and we are obligated to comply with such advertising regulations in connection with the advertising we distribute on behalf of our Advertiser clients. If we fail to comply with these advertising regulations we or our Advertisers could be subject to liability or forced to reduce or suspend operations until we are able to comply, which could reduce our revenues.</w:t>
      </w:r>
    </w:p>
    <w:p>
      <w:pPr>
        <w:spacing w:after="0" w:line="182"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We are subject to complex and changing advertising regulations in many jurisdictions in which we operate, and we are obligated to comply with such advertising regulations in connection with the advertising we distribute on behalf of our Advertiser clients. For example, much of the federal oversight on digital advertising in the U.S. currently comes from the FTC, which has primarily relied upon Section 5 of the Federal Trade Commission Act, which prohibits companies from engaging in “unfair” or “deceptive” acts or practices in or affecting commerce, including alleged violations of representations concerning privacy and data security protections and acts that allegedly violate individuals’ privacy and data protection interests. If we or our Advertiser clients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alter our business strategy, which would negatively affect our business, financial condition and results of operations.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are subject to litigation, administrative inquiries and similar governmental procedures, which may be extremely costly to defend, could result in substantial judgment or settlement costs or subject us to other remedies. Litigation and other disputes can also divert management’s attention from our operations and hurt our reputation.</w:t>
      </w:r>
    </w:p>
    <w:p>
      <w:pPr>
        <w:spacing w:after="0" w:line="182"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From time to time we are involved in various legal proceedings or government investigations, including, but not limited to, actions relating to breach of contract, intellectual property infringement, competition law or other issues. Claims may be expensive to defend, may divert management’s time away from our operations, and may affect the availability and premiums of our liability insurance coverage, regardless of whether they are meritorious or ultimately lead to a judgment against us. We cannot assure you we will be able to successfully defend or resolve any current or future litigation matters, in which case those litigation matters could have a material and adverse effect on our business, financial condition, operating results, cash flows, reputation and prospects.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a multinational organization faced with increasingly complex tax issues in many jurisdictions, and we could be obligated to pay additional taxes in various jurisdictions as a result of new taxes and related laws, which may materially affect our business and results of operations.</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As a multinational organization, operating in multiple jurisdictions, including Brazil, China, European Union, India, Israel, Japan, South Korea, Taiwan, Thailand, Turkey, the United Kingdom and the United States, among others, we may be subject to taxation in several jurisdictions around the world with increasingly complex tax laws, the application of which may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results of operations. In addition, as internet commerce and globalization continue to evolve, increasing regulation by government authorities becomes more likely. Our business could be negatively impacted by the application of existing laws and regulations or the enactment of new laws applicable to digital advertising. The cost to comply with such laws or regulations could be significant, and we may be unable to pass along those costs to our clients in the form of increased fees, which may negatively affect our business and results of operation. We are subject to regular review and audit by Israeli, U.S. and other foreign tax authorities. Although we believe our tax estimates are reasonable, the authorities in these jurisdictions could review our tax returns and impose additional taxes, interest and penalties, and the authorities could claim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and settlement is made.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operations may expose us to greater than anticipated tax liabilities, which could harm our financial condition and results of operations, and increase the costs our clients would have to pay for our products.</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There is heightened scrutiny by fiscal authorities in many jurisdictions on the potential taxation of digital services, including but not limited to, online advertising, search engine and e-commerce businesses (referred to as DST or alike). The Organization for Economic Co-operation and Development (OECD) has issued guidelines, referred to as the Base Erosion and Profit Shifting project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digital services including online advertising, search engine and e-commerce businesses,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As there has been a lack of consensus among the key members, particularly the United States, several jurisdictions legislated digital tax provisions in an uncoordinated and unilateral manner that could result in greater or even double taxation that companies may not have sufficient means to remedy. For example, a number of jurisdictions, including the U.K., France, Italy, Spain, Austria, Turkey, India and other countries have already adopted or have formally proposed legislation to affect the taxation of digital services based on differing criteria and metrics.</w:t>
      </w:r>
    </w:p>
    <w:p>
      <w:pPr>
        <w:spacing w:after="0" w:line="8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taxation by multiple jurisdictions of digital services including online advertising and e-commerce could increase our tax burdens and compliance obligations as well as our costs of doing business internationally and our worldwide effective tax rate which may lead to adverse impact on our financial position and results of operations.</w:t>
      </w:r>
    </w:p>
    <w:p>
      <w:pPr>
        <w:spacing w:after="0" w:line="43"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Further, the taxation by multiple jurisdictions of digital businesses could subject us to exposure to withholding, sales, value added taxes (VAT), levies, and/or other taxes, including transaction taxes on our past and future transactions in such jurisdictions where we currently or in the future may be required to report taxable transactions. We are currently subject to and in the future may become subject to additional compliance requirements for certain of these taxes. A successful assertion by one or more U.S. states or foreign countries or change of law requiring us to pay or collect taxes where we presently do not do so, or to pay or collect more taxes in a jurisdiction in which we currently do pay or collect some taxes, could result in substantial liabilities, including taxes on past sales, as well as interest and penalties. Any such assertion could also create significant administrative burdens for us, discourage potential customers from subscribing to our platform due to the incremental cost of any such sales or other related taxes, or otherwise harm our business. Changes in our exposure to withholding, sales, VAT, levies and/or other taxes could have an adverse impact on our financial condition in the future.</w:t>
      </w:r>
    </w:p>
    <w:p>
      <w:pPr>
        <w:spacing w:after="0" w:line="86"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In addition, in October 2021, the OECD released an outline that describes the conceptual agreement between 136 countries on fundamental reforms to international tax rules. The outline provides for two primary “Pillars.” Pillar One is aimed to apply to the largest multinational corporations and replace DST, though the time of its introduction is still unknown. As the Pillar Two model, which provides for a global minimum corporate tax rate of 15%, has partially taken effect in some, but not all, countries for the taxable year beginning on January 1, 2024, with some additional provisions taking effect in 2025, there is still uncertainty as to how the Pillar Two model will be applied evenly during this transition period. While Pillar One is not expected to apply to us, Pillar Two could increase our effective tax rate and adversely affect our financial results.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effective tax rate may vary significantly depending on our stock price.</w:t>
      </w:r>
    </w:p>
    <w:p>
      <w:pPr>
        <w:spacing w:after="0" w:line="212"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The tax effects of the accounting for share-based compensation may significantly impact our effective tax rate from period to period. In periods in which our stock price is higher than the grant price of the share-based compensation vesting in that period, we will recognize excess tax benefits that will decrease our effective tax rate, while in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our stock price, which we do not control, and a decline in our stock price could significantly increase our effective tax rate and adversely affect our financial results.</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Israeli tax benefits we currently receive require us to meet several conditions and may be terminated or reduced in the future, which would likely increase our taxes, possibly with a retroactive effect.</w:t>
      </w:r>
    </w:p>
    <w:p>
      <w:pPr>
        <w:spacing w:after="0" w:line="14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Some of our operations in Israel, referred to as “Benefited Enterprise” for 2018 and 2019 and “Preferred Technological Enterprise” commencing with 2020 (in case of taxable income position) carry certain tax benefits under the Law for the Encouragement of Capital Investments, 5719-1959, or the Investment Law. In order to be eligible for tax benefits under the Investment Law, our Benefited/Preferred Technological Enterprises must comply with various conditions set forth in the Investment Law, as well as periodic reporting obligations. If we do not meet the requirements for maintaining these benefits or if our assumptions regarding the key elements affecting our tax rates</w:t>
      </w:r>
    </w:p>
    <w:p>
      <w:pPr>
        <w:sectPr>
          <w:pgSz w:w="11900" w:h="16838" w:orient="portrait"/>
          <w:cols w:equalWidth="0" w:num="1">
            <w:col w:w="11240"/>
          </w:cols>
          <w:pgMar w:left="320" w:top="111" w:right="339" w:bottom="0" w:gutter="0" w:footer="0" w:header="0"/>
        </w:sectPr>
      </w:pPr>
    </w:p>
    <w:bookmarkStart w:id="28" w:name="page29"/>
    <w:bookmarkEnd w:id="28"/>
    <w:p>
      <w:pPr>
        <w:jc w:val="both"/>
        <w:spacing w:after="0" w:line="281" w:lineRule="auto"/>
        <w:rPr>
          <w:sz w:val="20"/>
          <w:szCs w:val="20"/>
          <w:color w:val="auto"/>
        </w:rPr>
      </w:pPr>
      <w:r>
        <w:rPr>
          <w:rFonts w:ascii="Times New Roman" w:cs="Times New Roman" w:eastAsia="Times New Roman" w:hAnsi="Times New Roman"/>
          <w:sz w:val="16"/>
          <w:szCs w:val="16"/>
          <w:color w:val="auto"/>
        </w:rPr>
        <w:t>are rejected by the Israeli tax authorities, they may be reduced or canceled and the relevant operations would be subject to Israeli corporate tax at the standard rate, which is 23% in 2018 and thereafter.</w:t>
      </w:r>
    </w:p>
    <w:p>
      <w:pPr>
        <w:spacing w:after="0" w:line="5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In addition to being subject to the standard corporate tax rate, we could be required to refund any tax benefits we have already received, plus interest and penalties thereon under this program or similar programs we have utilized in the past. Even if we continue to meet the relevant requirements, the tax benefits our current “Preferred Technological Enterprise” receive may not be continued in the future at their current levels or at all. If these tax benefits were reduced or eliminated, the amount of taxes we pay would likely increase, as all of our Israeli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 programs. If the Israeli government discontinues or modifies these programs and potential tax benefits, our business, financial condition and results of operations could be adversely affected.</w:t>
      </w:r>
    </w:p>
    <w:p>
      <w:pPr>
        <w:spacing w:after="0" w:line="84"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On November 15, 2021, the Encouragement of Capital Investments Law was amended in order, inter alia, to encourage companies to voluntarily elect for an immediate payment of corporate tax on previously tax-exempted earnings which were earned pursuant to Approved and Benefited Enterprises (the “Amendment”). The Amendment provides a reduced corporate tax payment on Exempt Earnings accumulated until December 31, 2020 that were not yet distributed as a dividend, all subject to certain qualifying terms and conditions. The Company implemented the Amendment and as a result, paid the reduced corporate income tax subject to the dividend distribution in an amount of approximately $4.3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pricing rules may adversely affect our corporate income tax expense.</w:t>
      </w:r>
    </w:p>
    <w:p>
      <w:pPr>
        <w:spacing w:after="0" w:line="225"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Many of the jurisdictions in which we conduct business have detailed transfer pricing rules, which require contemporaneous documentation establishing that all transactions with non-resident related parties be priced using arm’s length pricing principles. The tax authorities in these jurisdictions could challenge our related party transfer pricing policies and as a consequence the tax treatment of corresponding expenses and income. International transfer pricing is an area of taxation that depends heavily on the underlying facts and circumstances and generally involves a significant degree of judgment. If any of these tax authorities were to be successful in challenging our transfer pricing policies, we may be liable for additional corporate income tax, and penalties and interest related thereto, which may have a significant impact on our results of operations and financial condition.</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46"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We are also subject to the U.S. Foreign Corrupt Practices Act of 1977, as amended, the U.S. domestic bribery statute contained in 18 U.S.C. § 201, the U.S. Travel Act, the USA PATRIOT Act, the United Kingdom Bribery Act 2010, the Proceeds of Crime Act 2002, Chapter 9 (sub-chapter 5) of the Israeli Penal Law, 1977, the Israeli Prohibition on Money Laundering Law —2000 and possibly other anti-bribery and anti-money laundering laws in countries outside of the United States in which we conduct our activities. Compliance with these laws has been the subject of increasing focus and activity by regulatory authorities, both in the United States and elsewhere, in recent years. Anti-corruption laws are interpreted broadly and prohibit companies and their employees and third-party intermediaries from authorizing, promising, offering, providing, soliciting or accepting, directly or indirectly, improper payments or benefits to or from any person whether in the public or private sector. Although we endeavor to conduct our business in accordance with applicable laws and regulations, we cannot guarantee compliance.</w:t>
      </w:r>
    </w:p>
    <w:p>
      <w:pPr>
        <w:spacing w:after="0" w:line="84"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Noncompliance with anti-corruption, anti-money laundering, export control,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subpoenas or investigations are launched, or governmental or other sanctions are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 acquire. As a general matter, enforcement actions and sanctions could harm our business, results of operations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Although we do not believe that we were a “passive foreign investment company,” or a PFIC, for U.S. federal income tax purposes for 2024, if we are a PFIC in 2025 or in any future year, a U.S. investor in our Ordinary shares or Warrants may be subject to adverse U.S. federal income tax consequences.</w:t>
      </w:r>
    </w:p>
    <w:p>
      <w:pPr>
        <w:spacing w:after="0" w:line="146"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Under the Internal Revenue Code of 1986, as amended, or the Code, we will be classified as a PFIC for any taxable year in which, either (i) at least 75% of our gross income in a taxable year, including our pro rata share of the gross income of any corporation in which we are considered to own at least 25% of the shares by value, is passive income or (ii) at least 50% of our assets in a taxable year (ordinarily determined based on fair market value and averaged quarterly over the year), including our pro rata share of the assets of any corporation in which we are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passive assets. The Company believes that it was not a PFIC for U.S. federal income tax purposes for its 2024 taxable year and it does not expect to become one in the foreseeable future. However, PFIC status is determined annually and depends on the composition of a company’s income and assets and the fair market value of its assets and no assurance can be given that we were not a PFIC in 2024, or as to whether we will be a PFIC in 2025 or for any future taxable years.</w:t>
      </w:r>
    </w:p>
    <w:p>
      <w:pPr>
        <w:spacing w:after="0" w:line="28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If we are a PFIC for any taxable year during which a U.S. investor holds our Ordinary shares or Warrants, we would continue to be treated as a PFIC with respect to that U.S. investor for all succeeding years during which the U.S. investor holds our Ordinary shares or Warrants, even if we ceased to meet the threshold requirements for PFIC status, unless certain exceptions apply. Such a U.S. investor may be subject to adverse U.S. federal income tax consequences, including (i) the treatment of all or a portion of any gain on the disposition of our Ordinary shares or Warrants as ordinary income (and therefore ineligible for the preferential rates that apply to capital gains with respect to some U.S. investors), (ii) the application of a deferred interest charge on such gain and the receipt of certain dividends on our Ordinary shares, (iii) the ineligibility to claim the preferential tax rate afforded to certain non-corporate U.S. investors on “qualified dividend income” with respect to dividends on our Ordinary shares and (iv) compliance with certain reporting requirements.</w:t>
      </w:r>
    </w:p>
    <w:p>
      <w:pPr>
        <w:spacing w:after="0" w:line="12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It may be difficult to enforce a U.S. judgment against Taboola or its respective directors and officers outside the United States, or to assert U.S. securities law claims outside of the United States.</w:t>
      </w:r>
    </w:p>
    <w:p>
      <w:pPr>
        <w:spacing w:after="0" w:line="14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A number of Taboola directors and executive officers are not residents of the United States, and the majority of Taboola’s assets and the assets of these persons are located outside the United States. As a result, it may be difficult or impossible for investors to effect service of process upon Taboola within the United States or other jurisdictions, including judgments predicated upon the civil liability provisions of the federal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 and Technology</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Our intellectual property and proprietary rights may be difficult to enforce, particularly because in many instances we rely on trade secrets rather than patents or similar registered legal protections. This could enable others to copy or use aspects of our platform without compensating us, which could erode our competitive</w:t>
      </w:r>
    </w:p>
    <w:p>
      <w:pPr>
        <w:sectPr>
          <w:pgSz w:w="11900" w:h="16838" w:orient="portrait"/>
          <w:cols w:equalWidth="0" w:num="1">
            <w:col w:w="11240"/>
          </w:cols>
          <w:pgMar w:left="320" w:top="111" w:right="339" w:bottom="137" w:gutter="0" w:footer="0" w:header="0"/>
        </w:sect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advantages and harm our business.</w:t>
      </w:r>
    </w:p>
    <w:p>
      <w:pPr>
        <w:sectPr>
          <w:pgSz w:w="11900" w:h="16838" w:orient="portrait"/>
          <w:cols w:equalWidth="0" w:num="1">
            <w:col w:w="11240"/>
          </w:cols>
          <w:pgMar w:left="320" w:top="111" w:right="339" w:bottom="137" w:gutter="0" w:footer="0" w:header="0"/>
          <w:type w:val="continuous"/>
        </w:sectPr>
      </w:pPr>
    </w:p>
    <w:bookmarkStart w:id="29" w:name="page30"/>
    <w:bookmarkEnd w:id="29"/>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success depends, in part, on our ability to protect proprietary methods and technologies that we develop under the intellectual property laws of Israel, the United States and other countries, so that we can prevent others from using our intellectual property and proprietary information. If we fail to protect our intellectual property and proprietary rights adequately, our competitors might gain access to our technology and proprietary information, and our business could be adversely affected. We rely on trademark, copyright, trade secret, patent and confidentiality procedures and contractual provisions to protect our proprietary methods and technologies.</w:t>
      </w:r>
    </w:p>
    <w:p>
      <w:pPr>
        <w:spacing w:after="0" w:line="8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6"/>
          <w:szCs w:val="16"/>
          <w:color w:val="auto"/>
        </w:rPr>
        <w:t>Unauthorized parties may attempt to copy aspects of our technology or obtain and use information we regard as proprietary. We generally enter into confidentiality and/or license agreements with our employees, consultants, vendors and Advertisers, and generally limit access to and distribution of our proprietary information. However, any steps taken by us may not prevent infringement, misappropriation or other violation of our intellectual property, technology and proprietary information. Policing unauthorized use of our technology is difficult. In addition, the laws of some foreign countries may not be as protective of intellectual property and proprietary rights as those of the U.S, and mechanisms for enforcement of our intellectual property and proprietary rights in such countries may be inadequate. From time to time, legal action by us may be necessary to enforce our intellectual property and proprietary rights, to protect our trade secrets, to determine the validity and scope of the intellectual property and proprietary rights of others, or to defend against claims of infringement, misappropriation or other violation. Although we generally rely on trade secret laws to protect our intellectual property, we may encounter difficulties enforcing our rights where we lack patent protection. Such litigation could result in substantial costs and the diversion of limited resources and could negatively affect our business, financial condition and results of operations. If we are unable to protect our intellectual property and proprietary rights, including aspects of our technology platform, we may find ourselves at a competitive disadvantage to others who have not incurred the same level of expense, time and effort to create and protect their intellectual property.</w:t>
      </w:r>
      <w:r>
        <w:rPr>
          <w:rFonts w:ascii="Times New Roman" w:cs="Times New Roman" w:eastAsia="Times New Roman" w:hAnsi="Times New Roman"/>
          <w:sz w:val="10"/>
          <w:szCs w:val="10"/>
          <w:color w:val="auto"/>
        </w:rPr>
        <w:t>4</w:t>
      </w:r>
    </w:p>
    <w:p>
      <w:pPr>
        <w:spacing w:after="0" w:line="1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60"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Third parties may assert claims of infringement, misappropriation or other violation of intellectual property rights, including in proprietary technology, against us or against our digital properties or Advertisers for which we may be held liable or have an indemnification obligation. Our risk of third-party claims may be increased to the extent we rely on unaffiliated persons or firms, over whom we have less control than we would have over our own employees, to develop code. Any claim of infringement, misappropriation or other violation of intellectual property rights by a third party, even those without merit, could cause us to incur substantial costs defending against the claim and could distract our management from operating our business.</w:t>
      </w:r>
    </w:p>
    <w:p>
      <w:pPr>
        <w:spacing w:after="0" w:line="81"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 Alternatively, we may be required to develop non-infringing technology, which could require significant effort and expense and ultimately may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claims against us resulting from the actions of our Advertisers or digital properties could damage our reputation and be costly to defend.</w:t>
      </w:r>
    </w:p>
    <w:p>
      <w:pPr>
        <w:spacing w:after="0" w:line="225"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We receive representations from Advertisers that the content we place on their behalf does not infringe on any third-party rights. We also rely on representations from our digital properties that their content does not infringe on any third-party rights and that they maintain adequate privacy policies that allow us to place pixels on their properties and collect data from users that visit those websites to aid in delivering our solutions. However, we do not independently verify whether we are permitted to deliver advertising to our digital properties’ Internet users or that the content we deliver is legally permitted. If any of our Advertisers’ or digital properties’ representations are untrue and our Advertisers or digital properties do not abide by foreign, federal, state or local laws or regulations governing their content or privacy practices, we could become subject to legal claims against us, we could be exposed to potential liability (for which we may or may not be indemnified by our Advertisers or digital properties), and our reputation could be damaged. Even in those instances where our Advertisers and digital properties do indemnify us, it is possible these entities may not be willing or able to cover the claims and we will be responsible for the cost of litigation or required to pay substantial damages.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Indemnity provisions in various agreements potentially expose us to substantial liability for intellectual property infringement and other losses.</w:t>
      </w:r>
    </w:p>
    <w:p>
      <w:pPr>
        <w:spacing w:after="0" w:line="22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agreements with digital properties, Advertiser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products, services, or other contractual obligations. The term of these indemnity provisions generally survives termination or expiration of the applicable agreement. Large indemnity payments would harm our business, financial condition and results of operations.</w:t>
      </w:r>
    </w:p>
    <w:p>
      <w:pPr>
        <w:spacing w:after="0" w:line="109" w:lineRule="exact"/>
        <w:rPr>
          <w:sz w:val="20"/>
          <w:szCs w:val="20"/>
          <w:color w:val="auto"/>
        </w:rPr>
      </w:pPr>
    </w:p>
    <w:p>
      <w:pPr>
        <w:jc w:val="both"/>
        <w:ind w:firstLine="29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solution relies on third-party open-source software components, and failure to comply with the terms of the underlying open-source software licenses could restrict our ability to sell our platform.</w:t>
      </w:r>
    </w:p>
    <w:p>
      <w:pPr>
        <w:spacing w:after="0" w:line="174"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Our platform, including our computational infrastructure, relies on software licensed to us by third-party authors under “open-source” licenses. The use of open-source software may entail greater risks than the use of third-party commercial software, as open-source licensors generally do not provide warranties, indemnities or other contractual protections regarding infringement claims or the quality of the code. Some open-source licenses contain requirements that we make available source code for modifications or derivative works of the open-source code on unfavorable terms or at no cost. If we combine our proprietary software with open-source software in a certain manner, we could, under certain open-source licenses, be required to release the source code of our proprietary software to the public. This would allow our competitors to create similar solutions with less development effort and time and ultimately put us at a competitive disadvantage.</w:t>
      </w:r>
    </w:p>
    <w:p>
      <w:pPr>
        <w:spacing w:after="0" w:line="6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Although we monitor our use of open-source software to avoid subjecting our products to conditions we do not intend, the terms of many open-source licenses have not been interpreted by United States courts, and there is a risk that these licenses could be construed in a way that could impose unanticipated conditions or restrictions on our ability to commercialize our services. Moreover, we cannot guarantee our processes for controlling our use of open-source software will be effective. If we face claims from third parties seeking to enforce the terms of an open-source software license, or if we are held to have breached the terms of an open-source software license, we could be required to seek licenses from third parties to continue operating our platform on terms that are not economically feasible, to re-engineer our platform or the supporting computational infrastructure to discontinue use of certain code, or to make generally available, in source code form, portions of our proprietary code, any of which could adversely affect our business,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cybersecurity breaches, attacks or threats, or other outages or disruptions of our services, including scheduled or unscheduled downtime, which could harm our brand and reputation and negatively impact our revenue and results of operations.</w:t>
      </w:r>
    </w:p>
    <w:p>
      <w:pPr>
        <w:spacing w:after="0" w:line="16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As we grow our business, we expect to continue to invest in technology services, hardware and software, including data centers, network services, storage and database technologies. Creating the appropriate support for our technology platform, including large-scale serving infrastructure and big data transmission, storage and computation infrastructure, is expensive and complex, and our execution can result in inefficiencies or operational failures and increased vulnerability to cybersecurity breaches, attacks and threats which, in turn, could diminish the quality of our services and our performance for our digital properties and our Advertisers. Cyberbreaches, attacks and threats could include denial-of-service attacks impacting service availability (including the ability to deliver ads) and reliability; the exploitation of software vulnerabilities in Internet facing applications; phishing attacks or social engineering attacks (such as tricking company employees into releasing control of their systems to a hacker); or the introduction of computer viruses, software bugs, ransomware or malware into our systems, including with a view to steal, access, modify, destroy or disclose personal, confidential, sensitive or proprietary data. To date, we have not identified cybersecurity incidents that resulted in a material adverse impact to our business or operations, but there can be no guarantee we will not experience such an impact in the future. Cybersecurity breaches, attacks and threats of increasing sophistication may be difficult to detect and could result in the theft of our intellectual property and our data or our digital properties’ or Advertisers’ data, including our or our digital properties’ or Advertisers’ personal data. In addition, we are vulnerable to unintentional errors as well as malicious actions by persons with authorized access to our systems that exceed the scope of their access rights, or unintentionally or intentionally alter parameters or otherwise interfere with the intended operations of our platform.</w:t>
      </w:r>
    </w:p>
    <w:p>
      <w:pPr>
        <w:spacing w:after="0" w:line="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A cybersecurity breach or attack, or a technology glitch, with respect to our systems, may cause a catastrophic effect where a large number of digital properties will stop using our service in a short period of time. While we take measures to protect the security of the systems and information used in the operation of our business, and to implement certain privacy protections with respect to such information, such measures may not always be effective. The steps we take to increase the reliability, integrity</w:t>
      </w:r>
    </w:p>
    <w:p>
      <w:pPr>
        <w:sectPr>
          <w:pgSz w:w="11900" w:h="16838" w:orient="portrait"/>
          <w:cols w:equalWidth="0" w:num="1">
            <w:col w:w="11240"/>
          </w:cols>
          <w:pgMar w:left="320" w:top="126" w:right="3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and security of our systems as they scale may be expensive and may not prevent system failures, unintended vulnerabilities or other cybersecurity incidents, including those</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resulting from the increasing number of persons with access to our systems, complex interactions within our technology platform and the increasing number of connections with third party partners and vendors’ technology. Furthermore, because the methods of cyber-attack and deception change frequently, are increasingly complex and sophisticated, and can originate from a wide variety of sources, including traditional computer hackers, organized crime groups, nation-state actors and nation-state supported actors. Despite our reasonable efforts to ensure the integrity of our systems, we may not be able to anticipate, detect, appropriately react and respond to, or implement effective preventative measures against, all cybersecurity incidents. Additionally, due to the Russia-Ukraine conflict, there have been publicized threats to increase cyber-attack activity against the critical infrastructure of any nation or organization that retaliates against Russia for its invasion of Ukraine. Any such increase in such attacks on our third-party service providers or other systems could adversely affect our network systems or other operations. In addition to our own systems, we use third-party vendors to store, transmit and otherwise process certain of our personal, confidential, sensitive or proprietary data on our behalf. Due to applicable laws and regulations or contractual obligations, we may be held responsible for any cybersecurity incident attributed to our service providers as they relate to the information we share with them. Although we typically require contractual commitments from these service providers to implement and use reasonable security measures, we cannot control third parties and cannot guarantee a security breach will not occur in their systems.</w:t>
      </w:r>
    </w:p>
    <w:p>
      <w:pPr>
        <w:spacing w:after="0" w:line="84"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adverse effect on our results of operations, financial condition and cash flow. Operational errors or failures or successful cyber-attacks, media reports about such an incident, whether accurate or not, or our failure to make adequate or timely disclosures to the public or law enforcement agencies following any such event, whether due to delayed discovery or a failure to follow existing protocols, could result in violation of applicable privacy and data security laws and regulations, notification obligations, damage to our reputation, loss of current and new digital properties or Advertisers and other partners and clients, the disclosure of personal, confidential, sensitive or proprietary data, interruptions to our operations and distraction to our management, and significant legal, regulatory and financial liabilities and lost revenues, which could harm our business.</w:t>
      </w:r>
    </w:p>
    <w:p>
      <w:pPr>
        <w:spacing w:after="0" w:line="85"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While we currently maintain cybersecurity insurance, such insurance may not be sufficient in type or amount to cover us against claims related to breaches, failures or other cybersecurity-related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Defects, errors or failures in our technology platform, including our software and systems, could adversely affect our business, operating results and growth prospects.</w:t>
      </w:r>
    </w:p>
    <w:p>
      <w:pPr>
        <w:spacing w:after="0" w:line="225" w:lineRule="exact"/>
        <w:rPr>
          <w:sz w:val="20"/>
          <w:szCs w:val="20"/>
          <w:color w:val="auto"/>
        </w:rPr>
      </w:pPr>
    </w:p>
    <w:p>
      <w:pPr>
        <w:jc w:val="both"/>
        <w:ind w:firstLine="243"/>
        <w:spacing w:after="0" w:line="244" w:lineRule="auto"/>
        <w:rPr>
          <w:sz w:val="20"/>
          <w:szCs w:val="20"/>
          <w:color w:val="auto"/>
        </w:rPr>
      </w:pPr>
      <w:r>
        <w:rPr>
          <w:rFonts w:ascii="Times New Roman" w:cs="Times New Roman" w:eastAsia="Times New Roman" w:hAnsi="Times New Roman"/>
          <w:sz w:val="16"/>
          <w:szCs w:val="16"/>
          <w:color w:val="auto"/>
        </w:rPr>
        <w:t>We depend upon the sustained and uninterrupted performance of our technology platform to operate fundamental aspects of our business. If our technology platform cannot scale to meet demand, or if there are defects or errors in our execution of any of these functions on our platform, then our business could be harmed. Our software and systems are complex and may contain defects or errors, or may experience failures when implemented or when new functionality is released, as we may modify, enhance, upgrade and implement new software, systems, procedures and controls to reflect changes in our business, technological advancements and changing industry trends. Undetected defects, errors and failures may occur, especially when new versions or updates are made. Despite testing by us, defects, errors or bugs in our software have in the past, and may in the future, not be found until the software is in our live operating environment. Any defects, errors, failures or other similar performance problems or disruptions in our software or systems could materially and adversely affect our business, financial condition and results of operations. Defects, errors, failures or other similar performance problems or disruptions, whether in connection with day-to-day operations or otherwise, could damage our clients’ businesses and result in negative publicity, damage to our brand and reputation, loss of or delay in market acceptance of our solutions, increased costs or loss of revenue, loss of competitive position or claims by Advertisers for losses sustained by them. In such an event, we may be required or choose to expend additional resources to help mitigate any problems resulting from defects, errors or failures in our software or systems. Alleviating problems resulting from defects, errors or failures in our software or systems could require significant expenditures of capital and other resources and could cause interruptions, delays or the cessation of our business, any of which would adversely impact our financial position, results of operations and growth prospects. In addition, if we experience any defects, errors, failures or other performance problems, our partners could seek to terminate or elect not to renew their contracts,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financial condition and results of operations. Additionally, our software utilizes open-source software and any defects or errors in such open-source software could materially and adversely affect our business, financial condition and results of operations.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service providers for many aspects of our business, and any disruption of service experienced by such third-party service providers or our failure to manage and maintain existing relationships or identify other high-quality, third-party service providers could harm our business, results of operations and growth prospects.</w:t>
      </w:r>
    </w:p>
    <w:p>
      <w:pPr>
        <w:spacing w:after="0" w:line="162"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We rely on a variety of third-party service providers in connection with the operation of our solutions. Any performance issues, errors, bugs, defects or failures with respect to third-party software or services could result in performance issues, errors, bugs, defects or failures with respect to our solutions, which could materially and adversely affect our business, financial condition and results of operations. Many of our third-party service providers attempt to impose limitations on their liability for such performance issues, errors, bugs, defects or failures, and if enforceable, we may have additional liability to our clients or to other third parties that could harm our reputation and increase our operating costs. Additionally, in the future, we might need to license other software or services to enhance our solutions and meet evolving client demands and requirements, which may not be available to us on commercially reasonable terms or at all. Any limitations in our ability to use or obtain third-party software or services could significantly increase our expenses and otherwise result in delays, a reduction in functionality, or performance issues, errors, bugs, defects or failures with respect to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errors, bugs or defects. Any failure to do so could adversely affect our ability to deliver effective solutions to our clients and adversely affect our business.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require significant attention from our management and could divert their attention away from the day-to-day management of our business, which could adversely affect our business, financial condition and results of operations.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provide management’s assessment on the effectiveness of our internal control over financial reporting.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w:t>
      </w:r>
    </w:p>
    <w:p>
      <w:pPr>
        <w:spacing w:after="0" w:line="182"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As a public company, we have significant requirements for enhanced financial reporting and internal controls. The process of designing, implementing, testing and maintaining effective internal controls is a continuous effort that requires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maintain a continuous reporting and improvement process for internal control over financial reporting.</w:t>
      </w:r>
    </w:p>
    <w:p>
      <w:pPr>
        <w:sectPr>
          <w:pgSz w:w="11900" w:h="16838" w:orient="portrait"/>
          <w:cols w:equalWidth="0" w:num="1">
            <w:col w:w="11240"/>
          </w:cols>
          <w:pgMar w:left="320" w:top="111" w:right="339" w:bottom="0" w:gutter="0" w:footer="0" w:header="0"/>
        </w:sectPr>
      </w:pPr>
    </w:p>
    <w:bookmarkStart w:id="31" w:name="page32"/>
    <w:bookmarkEnd w:id="31"/>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Pursuant to Section 404(a) of the Sarbanes-Oxley Act, we are required to file a report with the SEC by our management on, among other things, the effectiveness of our internal control over financial reporting. This assessment is required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pursuant to Section 404(b), we are required to include in the annual reports that we file with the SEC an attestation report on our internal control over financial reporting issued by our independent registered public accounting firm. It is possible in the future that our internal control over financial reporting will not be effective because it cannot detect or prevent material errors at a reasonable level of assurance.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w:t>
      </w:r>
    </w:p>
    <w:p>
      <w:pPr>
        <w:spacing w:after="0" w:line="85"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Furthermore, we may, during the course of our annual testing of our internal controls or during the related testing by our independent registered public accounting firm, identify deficiencies which would have to be remediated to satisfy the SEC rules for certification of our internal controls over financial reporting. As a consequence, we may have to disclose in periodic reports we file with the SEC significant deficiencies or material weaknesses in our system of internal controls. The existence of a material weakness would preclude management from concluding that our internal controls over financial reporting are effective, and would preclude our independent auditors from issuing an unqualified opinion that our internal controls over financial reporting are effective. In addition, disclosures of this type in our SEC reports could cause investors to lose confidence in the accuracy and completeness of our financial reporting and may negatively affect the trading price of our Ordinary shares, and we could be subject to sanctions or investigations by regulatory authorities. Moreover, effective internal controls are necessary to produce reliable financial reports and to prevent fraud. If we have deficiencies in our disclosure controls and procedures or internal controls over financial reporting, it could negatively impact our business, results of operations and reputation.</w:t>
      </w:r>
    </w:p>
    <w:p>
      <w:pPr>
        <w:spacing w:after="0" w:line="3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60"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The risks associated with non-compliance may make it more difficult for us to attract and retain qualified directors and may increase costs of director and officer liability insurance.</w:t>
      </w:r>
    </w:p>
    <w:p>
      <w:pPr>
        <w:spacing w:after="0" w:line="8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8"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We are required to comply with the SEC’s rules implementing Sections 302 and 404 of the Sarbanes-Oxley Act, which requires management to certify financial and other information in our annual reports and provide an annual management report on the effectiveness of control over financial reporting. In 2022, we were required to make our first annual assessment of our internal control over financial reporting pursuant to Section 404(a). In addition, pursuant to Section 404(b), we are required to include in the annual reports that we file with the SEC an attestation report on our internal control over financial reporting issued by our independent registered public accounting firm. To achieve compliance with Section 404, we engaged in a process to document and evaluate our internal control over financial reporting, which is both costly and challenging. To maintain compliance,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litigation including shareholder suits or investigations by the stock exchange on which our securities are listed, the SEC or other regulatory authorities, which could require additional financial and management resources.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Ordinary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share price may be volatile, and you may lose all or part of your investment.</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market price of our Ordinary shares could be highly volatile and may fluctuate substantially as a result of many factors, including:</w:t>
      </w:r>
    </w:p>
    <w:p>
      <w:pPr>
        <w:spacing w:after="0" w:line="113"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results of operations;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variance in our financial performance from the expectations of market analysts or others;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business developments, changes in significant customers, acquisitions or expansion plans;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involvement in litigation;</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sale of Ordinary shares or other securities in the future;</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our industry;</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key personnel;</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volume of our Ordinary shares;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estimation of the future size and growth rate of our markets; and</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w:t>
      </w:r>
    </w:p>
    <w:p>
      <w:pPr>
        <w:spacing w:after="0" w:line="11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Ordinary shares may not be sustained to provide adequate liquidity.</w:t>
      </w:r>
    </w:p>
    <w:p>
      <w:pPr>
        <w:spacing w:after="0" w:line="225"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Ordinary shares could be negatively affected by future issuances or sales of our Ordinary shares.</w:t>
      </w:r>
    </w:p>
    <w:p>
      <w:pPr>
        <w:spacing w:after="0" w:line="22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As of December 31, 2024, we have 293,134,865 Ordinary shares outstanding. Sales by us or our shareholders of a substantial number of Ordinary shares, the issuance of Ordinary shares as consideration for acquisitions, or the perception that these sales might occur, could cause the market price of our Ordinary shares to decline or could impair our ability to raise capital through a future sale of, or pay for acquisitions using, our equity securities.</w:t>
      </w:r>
    </w:p>
    <w:p>
      <w:pPr>
        <w:sectPr>
          <w:pgSz w:w="11900" w:h="16838" w:orient="portrait"/>
          <w:cols w:equalWidth="0" w:num="1">
            <w:col w:w="11240"/>
          </w:cols>
          <w:pgMar w:left="320" w:top="111" w:right="339" w:bottom="12" w:gutter="0" w:footer="0" w:header="0"/>
        </w:sectPr>
      </w:pPr>
    </w:p>
    <w:bookmarkStart w:id="32" w:name="page33"/>
    <w:bookmarkEnd w:id="32"/>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If any of our large shareholders or members of our management were to sell substantial amounts of our Ordinary shares and/or Warrants in the public markets, or the market perceives that such sales may occur, this could have the effect of increasing the volatility in, and put significant downward pressure on, the trading price of our Ordinary shares and/or Warrants. Any such volatility or decrease in the trading price of our Ordinary shares and/or Warrants could also adversely affect our ability to raise capital through an issue of equity securities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any dividends in the foreseeable future.</w:t>
      </w:r>
    </w:p>
    <w:p>
      <w:pPr>
        <w:spacing w:after="0" w:line="212"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We have never declared or paid any dividends on our Ordinary shares. We do not anticipate paying any dividends in the foreseeable future. We currently intend to retain future earnings, if any, to finance operations and expand our business.</w:t>
      </w:r>
    </w:p>
    <w:p>
      <w:pPr>
        <w:spacing w:after="0" w:line="5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Our board of directors has sole discretion over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In addition, the Israeli Companies Law, 5759-1999, or Companies Law, imposes restrictions on our ability to declare and pay dividends. Payment of dividends may also be subject to Israeli withholding taxes.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cease to publish research or reports about our business, or if they issue an adverse or misleading opinion regarding our stock, our stock price and trading volume could decline.</w:t>
      </w:r>
    </w:p>
    <w:p>
      <w:pPr>
        <w:spacing w:after="0" w:line="16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The trading market for our Ordinary shares is influenced by the research and reports that industry or securities analysts publish about us or our business. If any of the analysts who cover us issue an adverse or misleading opinion regarding us, our business model, our intellectual property or our share performance, or if our results of operations fail to meet the expectations of analysts, our share price would likely decline. If one or more of these analysts cease coverage of our Company or fail to publish reports on us regularly, our visibility in the financial markets could decrease, which in turn could cause our Ordinary Share price or trading volume to decline.</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issue additional Ordinary shares or other equity securities without your approval, which would dilute your ownership interests and may depress the market price of our Ordinary shares.</w:t>
      </w:r>
    </w:p>
    <w:p>
      <w:pPr>
        <w:spacing w:after="0" w:line="160"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may issue additional Ordinary shares or other equity securities in the future in connection with, among other things, future capital raising and transactions and future acquisitions, without your approval in many circumstances. Such issuance of additional Ordinary shares or other equity securities would have the following effects:</w:t>
      </w:r>
    </w:p>
    <w:p>
      <w:pPr>
        <w:spacing w:after="0" w:line="83"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shareholders’ proportionate ownership interest in Taboola may decrease;</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cash available per share, including for payment of dividends in the future, may decrease;</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voting strength of each previously outstanding ordinary share may be diminished; and</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our Ordinary shares may decline.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Warrants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redeem your unexpired Warrants prior to their exercise at a time that is disadvantageous to you, thereby making your Warrants worth less.</w:t>
      </w:r>
    </w:p>
    <w:p>
      <w:pPr>
        <w:spacing w:after="0" w:line="239"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Under the terms of the public Warrants, we may exercise the redemption right even if we are unable to register or qualify the underlying securities for sale under all applicable state securities laws. Redemption of the outstanding Warrants could force holders (i) to exercise the Warrants and pay the exercise price therefor at a time when it may be disadvantageous to do so, (ii) to sell the Warrants at the then-current market price when the holder might otherwise wish to hold its Warrants or (iii) to accept the nominal redemption price which, at the time the outstanding Warrants are called for redemption, is likely to be substantially less than the market value of the Warrants. The Warrants exchanged for ION warrants that were issued in a private placement, as part of the Business Combination, are not expected to be redeemable by Taboola so long as they are held by the Sponsors or their permitted transferees.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our Warrants received by holders of ION warrants in the Business Combination will be in the money at the time they become exercisable or otherwise, and they may expire worthless.</w:t>
      </w:r>
    </w:p>
    <w:p>
      <w:pPr>
        <w:spacing w:after="0" w:line="160"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exercise price of our Warrants issued in exchange for the outstanding ION warrants is $11.50 per ordinary share. There can be no assurance that our Warrants will be in the money following the time they become exercisable and prior to their expiration, and as such, the Warrants may expire worthless.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Incorporation and Location in Israel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Conditions in Israel, including the war in Israel, could have a material adverse effect on our business and operations.</w:t>
      </w:r>
    </w:p>
    <w:p>
      <w:pPr>
        <w:spacing w:after="0" w:line="23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are incorporated under the laws of the State of Israel, and our principal research and development facilities, including our major data centers, are located in Israel. Accordingly, political, economic and military conditions in Israel directly affect our business. Since the State of Israel was established in 1948, a number of armed conflicts have occurred between Israel and its Arab neighbors.</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As has been widely publicly reported, starting October 2023 war was declared in Israel. Although we are a company formed under the laws of the State of Israel and have a significant presence there, we are a global company with operations in multiple countries. We maintain a business continuity plan and have taken the steps designed to maintain our operations in light of the war in Israel. As of the date of this Annual Report, our operations have not been materially adversely affected by the war.</w:t>
      </w:r>
    </w:p>
    <w:p>
      <w:pPr>
        <w:spacing w:after="0" w:line="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We cannot predict the duration or severity of the war in Israel or how it will evolve, including any possible escalation or expansion of the war or other hostilities with other countries or groups, any of which could exacerbate geopolitical tensions and have economic implications. In connection with the war in Israel, several hundred thousand Israeli military reservists were called to immediate service. Certain of our employees and consultants in Israel have been called, and additional ones may be called, for service. Although some military reservists have since been released, they may be called up for additional reserve duty, depending on developments in the war and those persons may be absent for an extended period of time. In addition, due to the war or other hostilities our facilities could be damaged and our operations could be otherwise disrupted, which can impact our ability to deliver products and services in a timely manner to meet our contractual obligations towards customers. Any of the foregoing and related risks and uncertainties could have a material adverse effect on our business and operations.</w:t>
      </w:r>
    </w:p>
    <w:p>
      <w:pPr>
        <w:spacing w:after="0" w:line="74"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Further, the State of Israel and Israeli companies have been from time to time subjected to economic boycotts.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Any hostilities involving Israel or the interruption or curtailment of trade between Israel and its present trading partners, or significant downturn in the economic or financial condition of Israel, could adversely affect our operations and product development, and could cause our sales to decrease.</w:t>
      </w:r>
    </w:p>
    <w:p>
      <w:pPr>
        <w:spacing w:after="0" w:line="72"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Prior to the outbreak of war in October 2023, the Israeli government pursued extensive changes to Israel’s judicial system. In response to the foregoing developments, many individuals, organizations and institutions, within and outside of Israel, have voiced concerns over the potential negative impacts of such changes and the controversy surrounding them on the business and financial environment in Israel. Such negative impacts may include, among others, a downgrade in Israel’s sovereign credit rating, increased interest rates, currency fluctuations, inflation, civil unrest and volatility in securities markets, which could adversely affect the conditions in which we operate in Israel and potentially deter foreign investors and organizations from investing or transacting business in Israel. If any of the foregoing risks were to materialize, it may have an adverse effect on our business, our results of operations and our ability to raise additional funds.</w:t>
      </w:r>
    </w:p>
    <w:p>
      <w:pPr>
        <w:sectPr>
          <w:pgSz w:w="11900" w:h="16838" w:orient="portrait"/>
          <w:cols w:equalWidth="0" w:num="1">
            <w:col w:w="11240"/>
          </w:cols>
          <w:pgMar w:left="320" w:top="126" w:right="339" w:bottom="0" w:gutter="0" w:footer="0" w:header="0"/>
        </w:sectPr>
      </w:pPr>
    </w:p>
    <w:p>
      <w:pPr>
        <w:spacing w:after="0" w:line="1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Investors’ rights and responsibilities as our shareholders will be governed by Israeli law, which may differ in some respects from the rights and responsibilities of shareholders of non-Israeli companies.</w:t>
      </w:r>
    </w:p>
    <w:p>
      <w:pPr>
        <w:sectPr>
          <w:pgSz w:w="11900" w:h="16838" w:orient="portrait"/>
          <w:cols w:equalWidth="0" w:num="1">
            <w:col w:w="11240"/>
          </w:cols>
          <w:pgMar w:left="320" w:top="126" w:right="339" w:bottom="0" w:gutter="0" w:footer="0" w:header="0"/>
          <w:type w:val="continuous"/>
        </w:sectPr>
      </w:pPr>
    </w:p>
    <w:bookmarkStart w:id="33" w:name="page34"/>
    <w:bookmarkEnd w:id="33"/>
    <w:p>
      <w:pPr>
        <w:jc w:val="both"/>
        <w:ind w:firstLine="243"/>
        <w:spacing w:after="0" w:line="257" w:lineRule="auto"/>
        <w:rPr>
          <w:sz w:val="20"/>
          <w:szCs w:val="20"/>
          <w:color w:val="auto"/>
        </w:rPr>
      </w:pPr>
      <w:r>
        <w:rPr>
          <w:rFonts w:ascii="Times New Roman" w:cs="Times New Roman" w:eastAsia="Times New Roman" w:hAnsi="Times New Roman"/>
          <w:sz w:val="16"/>
          <w:szCs w:val="16"/>
          <w:color w:val="auto"/>
        </w:rPr>
        <w:t>We were incorporated under Israeli law and the rights and responsibilities of our shareholders are governed by our articles of association and Israeli law.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corporations.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5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6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Israeli corporate law regulates mergers and requires that a tender offer be effected when more than a specified percentage of shares in a company are purchased;</w:t>
      </w:r>
    </w:p>
    <w:p>
      <w:pPr>
        <w:spacing w:after="0" w:line="126"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Israeli corporate law requires special approvals for certain transactions involving directors, officers or significant shareholders and regulates other matters that may be relevant to these types of transactions;</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Israeli corporate law does not provide for shareholder action by written consent for public companies, thereby requiring all shareholder actions to be taken at a general meeting of shareholders;</w:t>
      </w:r>
    </w:p>
    <w:p>
      <w:pPr>
        <w:spacing w:after="0" w:line="5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articles of association divide our directors into three classes, each of which is elected once every three years;</w:t>
      </w:r>
    </w:p>
    <w:p>
      <w:pPr>
        <w:spacing w:after="0" w:line="126"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articles of association generally requires that 33⅓% of our outstanding shares entitled to vote to be present in person or by proxy to constitute a quorum;</w:t>
      </w:r>
    </w:p>
    <w:p>
      <w:pPr>
        <w:spacing w:after="0" w:line="70"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and the provisions relating to the election and removal of members of our board of directors and empowering our board of directors to fill vacancies on the board, require a vote of the holders of 65% of our outstanding Ordinary shares entitled to vote at a general meeting;</w:t>
      </w:r>
    </w:p>
    <w:p>
      <w:pPr>
        <w:spacing w:after="0" w:line="7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articles of association do not permit a director to be removed except by a vote of the holders of at least 65% of our outstanding shares entitled to vote at a general meeting of shareholders; and</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amended and restated articles of association provide that director vacancies may be filled by our board of directors.</w:t>
      </w:r>
    </w:p>
    <w:p>
      <w:pPr>
        <w:spacing w:after="0" w:line="113"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articles of association provide that unless we consent otherwise, the competent courts of Tel Aviv, Israel shall be the sole and exclusive forum for substantially all disputes between Taboola and its shareholders under the Companies Law and the Israeli Securities Law, which could limit its shareholders ability to brings claims and proceedings against, as well as obtain favorable judicial forum for disputes with Taboola, its directors, officers and other employees.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Unless we agree otherwise, the competent courts of Tel Aviv, Israel shall be the exclusive forum for (i) any derivative action or proceeding brought on behalf of Taboola,</w:t>
      </w:r>
    </w:p>
    <w:p>
      <w:pPr>
        <w:spacing w:after="0" w:line="23" w:lineRule="exact"/>
        <w:rPr>
          <w:sz w:val="20"/>
          <w:szCs w:val="20"/>
          <w:color w:val="auto"/>
        </w:rPr>
      </w:pPr>
    </w:p>
    <w:p>
      <w:pPr>
        <w:jc w:val="both"/>
        <w:ind w:firstLine="8"/>
        <w:spacing w:after="0" w:line="255" w:lineRule="auto"/>
        <w:tabs>
          <w:tab w:leader="none" w:pos="24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fiduciary duty owed by any our director, officer or other employee to Taboola or our shareholders, or (iii) any action asserting a claim arising pursuant to any provision of the Companies Law or the Israeli Securities Law, 1968, or Israeli Securities Law. Such exclusive forum provision in our amended and restated articles of association will not relieve Taboola of its duties to comply with federal securities laws and the rules and regulations thereunder, and our shareholders will not be deemed to have waived Taboola’s compliance with these laws, rules and regulations. This exclusive forum provision may limit a shareholders’ ability to bring a claim in a judicial forum of its choosing for disputes with Taboola or its directors or other employees which may discourage lawsuits against Taboola, its directors, officers and employees. The foregoing exclusive forum provision is intended to apply to claims arising under Israeli Law and would not apply to claims for which the federal courts of the United States would have exclusive jurisdiction, whether by law or pursuant to our amended and restated articles of association, including claims under the Securities Act for which there is a separate exclusive forum provision in our amended and restated articles of association.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the exchange rates of foreign currencies could result in currency transaction losses that negatively impact our financial results.</w:t>
      </w:r>
    </w:p>
    <w:p>
      <w:pPr>
        <w:spacing w:after="0" w:line="212"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We currently have sales denominated in currencies other than the US dollar. In addition, we incur a portion of our operating expenses in Brazilian Reals, British pounds, Euro, Israeli shekels, Japanese Yen and Thai baht, among others. Any fluctuation in the exchange rates of these foreign currencies could negatively impact our business, financial condition and results of operations. We have a foreign currency cash flow hedging program to address possible exposure arising from expected expenses to be paid in NIS. As part of this program we hedge a portion of our anticipated NIS denominated payroll of Israeli employees for a period of one to twelve months with forward contracts and other derivative instruments. We may continue to pursue additional currency hedging or may modify or terminate these arrangements from time to time. We intend to enter into these transactions only to hedge underlying risk reasonably related to our business and not for speculative purposes. There can be no assurance that any such activities will be effective or beneficial to us in whole or in part for several reasons including lack of experience, costs or illiquid markets. In addition, it is difficult to predict the effect hedging activities would have on our results of operations, and hedging activities can themselves result in losses.</w:t>
      </w:r>
    </w:p>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 periods of economic uncertainty, businesses may delay or reduce their spending on advertising, we are exposed to the credit risk of some of our clients and customers as well as increased cost of operation in Israel, any of which could materially harm our business.</w:t>
      </w:r>
    </w:p>
    <w:p>
      <w:pPr>
        <w:spacing w:after="0" w:line="160"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Inflation, which persisted throughout 2024, has adversely affected us by increasing the costs of equipment and labor needed to operate our business and could continue to adversely affect us in future periods. Unstable inflation conditions make it difficult for us and our clients to accurately forecast and plan future business activities, and could cause our clients to reduce or delay their advertising spending with us. Historically, economic downturns, including conditions such as inflation, recessions, or other changes in economic conditions have resulted in overall reductions in advertising spending, and businesses may curtail spending both on advertising in general and on solutions such as ours. We cannot predict the timing, strength or duration of any economic slowdown or recovery. Any macroeconomic deterioration in the future could impair our revenue and results of operations.</w:t>
      </w:r>
    </w:p>
    <w:p>
      <w:pPr>
        <w:spacing w:after="0" w:line="7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Our exposure to credit risks relating to our financing activities may increase if our customers are adversely affected by periods of economic uncertainty, including inflation, recession, pandemic, or other changes in economic conditions, or a global economic downturn. These may significantly impact our operating results and financial condition</w:t>
      </w:r>
    </w:p>
    <w:p>
      <w:pPr>
        <w:sectPr>
          <w:pgSz w:w="11900" w:h="16838" w:orient="portrait"/>
          <w:cols w:equalWidth="0" w:num="1">
            <w:col w:w="11240"/>
          </w:cols>
          <w:pgMar w:left="320" w:top="126" w:right="339" w:bottom="0" w:gutter="0" w:footer="0" w:header="0"/>
        </w:sectPr>
      </w:pPr>
    </w:p>
    <w:bookmarkStart w:id="34" w:name="page35"/>
    <w:bookmarkEnd w:id="34"/>
    <w:p>
      <w:pPr>
        <w:spacing w:after="0" w:line="65"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color w:val="auto"/>
        </w:rPr>
        <w:t>Historically, credit losses with respect to accounts receivable have generally not been significant. However, we do not require collateral from Advertisers and our normal practice is to allow a period of time before an Advertiser is required to pay us for our services. In addition, although we may seek to reduce the credit exposures of our accounts receivable by credit limits and credit insurance for certain customers, there can be no assurance that any of our efforts to mitigate credit risks will be successful.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downturns and political and market conditions beyond our control could adversely affect our business, financial condition and results of operations.</w:t>
      </w:r>
    </w:p>
    <w:p>
      <w:pPr>
        <w:spacing w:after="0" w:line="22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Our business depends on the overall demand for advertising and on the economic health of our current and prospective Advertisers. Economic downturns or instability in political or market conditions may cause current or new Advertisers to reduce their advertising budgets. Adverse economic conditions and general uncertainty about economic recovery are likely to affect our business prospects. This could expose us to increased credit risk on Advertiser insertion orders, which, in turn, could negatively impact our business, financial condition and results of operations.</w:t>
      </w:r>
    </w:p>
    <w:p>
      <w:pPr>
        <w:spacing w:after="0" w:line="59"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In addition, continued geopolitical turmoil in many parts of the world have, and may continue to, put pressure on global economic conditions, which could lead to reduced spending on advertising. The Russian invasion of Ukraine has significantly amplified existing geopolitical tensions among Russia, Ukraine, Europe, the West and China. We cannot predict how the war in Ukraine will evolve, but any escalation or expansion of the conflict into other countries, particularly in Europe, would exacerbate geopolitical tensions and could lead to political and/or economic response from the U.S., the E.U. and other countries, which may adversely impact economic conditions. In particular, Russia’s military incursion and the resulting sanctions have and could continue to adversely affect global energy and financial markets and thus could adversely impact our operations and the price of our Ordinary shares. The extent and duration of the military action, the response thereto, including resulting sanctions, and resulting future market disruptions, are impossible to predict, but could be significant. Additionally, any such disruptions, resulting sanctions or other actions (including cyberattacks) may magnify the impact of other risk factors discussed in this Annual Report.</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require additional capital to support growth, and such capital might not be available on terms acceptable to us, if at all. This could hamper our growth and adversely affect our business.</w:t>
      </w:r>
    </w:p>
    <w:p>
      <w:pPr>
        <w:spacing w:after="0" w:line="146" w:lineRule="exact"/>
        <w:rPr>
          <w:sz w:val="20"/>
          <w:szCs w:val="20"/>
          <w:color w:val="auto"/>
        </w:rPr>
      </w:pPr>
    </w:p>
    <w:p>
      <w:pPr>
        <w:jc w:val="both"/>
        <w:ind w:firstLine="243"/>
        <w:spacing w:after="0" w:line="248" w:lineRule="auto"/>
        <w:rPr>
          <w:sz w:val="20"/>
          <w:szCs w:val="20"/>
          <w:color w:val="auto"/>
        </w:rPr>
      </w:pPr>
      <w:r>
        <w:rPr>
          <w:rFonts w:ascii="Times New Roman" w:cs="Times New Roman" w:eastAsia="Times New Roman" w:hAnsi="Times New Roman"/>
          <w:sz w:val="16"/>
          <w:szCs w:val="16"/>
          <w:color w:val="auto"/>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our existing shareholders.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could be adversely affected.</w:t>
      </w:r>
    </w:p>
    <w:p>
      <w:pPr>
        <w:spacing w:after="0" w:line="1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are exposed to the risk of natural disasters, political events, war, terrorism and the emergence of another pandemic, each of which could disrupt our business and adversely affect our results of operations.</w:t>
      </w:r>
    </w:p>
    <w:p>
      <w:pPr>
        <w:spacing w:after="0" w:line="174" w:lineRule="exact"/>
        <w:rPr>
          <w:sz w:val="20"/>
          <w:szCs w:val="20"/>
          <w:color w:val="auto"/>
        </w:rPr>
      </w:pPr>
    </w:p>
    <w:p>
      <w:pPr>
        <w:jc w:val="both"/>
        <w:ind w:firstLine="243"/>
        <w:spacing w:after="0" w:line="249" w:lineRule="auto"/>
        <w:rPr>
          <w:sz w:val="20"/>
          <w:szCs w:val="20"/>
          <w:color w:val="auto"/>
        </w:rPr>
      </w:pPr>
      <w:r>
        <w:rPr>
          <w:rFonts w:ascii="Times New Roman" w:cs="Times New Roman" w:eastAsia="Times New Roman" w:hAnsi="Times New Roman"/>
          <w:sz w:val="16"/>
          <w:szCs w:val="16"/>
          <w:color w:val="auto"/>
        </w:rPr>
        <w:t>Events beyond our control could have an adverse effect on our business, financial condition, results of operations and cash flows. Disruption to our platform resulting from natural disasters, political events, war, terrorism, pandemics or other reasons could impair our ability to continue to provide uninterrupted platform service to our Advertisers and digital properties. For example, Russia’s invasion of Ukraine, and the responses taken and which may be taken by the U.S., NATO, other countries, multinational companies and others have created global security concerns that could have a lasting adverse impact on regional and global economies, and in turn, may lead to reduced spending on advertising and adversely affect our results of operations. Similarly, disruptions in the operations of our key third-parties, such as data centers, servers or other technology providers, could have a material adverse effect on our business.</w:t>
      </w:r>
    </w:p>
    <w:p>
      <w:pPr>
        <w:spacing w:after="0" w:line="8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While we have disaster recovery arrangements in place, they have not been tested under actual disasters or similar events and may not effectively permit us to continue to provide our platform. If any of these events were to occur to our business, our business, results of operations, or financial condition could be adversely affected.</w:t>
      </w:r>
    </w:p>
    <w:p>
      <w:pPr>
        <w:spacing w:after="0" w:line="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Expansion of current and new partners and clients in our existing international markets is important to our long-term success, and our limited experience in operating our business in certain locations increases the risk that our international operations will not be successful.</w:t>
      </w:r>
    </w:p>
    <w:p>
      <w:pPr>
        <w:spacing w:after="0" w:line="16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As of December 31, 2024 we have offices in Israel, the United States, the United Kingdom, Brazil, Turkey, Thailand, India, Japan, China, South Korea, Taiwan, Australia, Mexico, Germany, Spain, Poland, France, Sweden, Netherlands, Hong Kong, Italy, and Hungary. Expansion into new international markets requires additional management attention and resources in order to tailor our solutions to the unique aspects of each country. In addition, we face the following additional risks associated with our expansion into international locations:</w:t>
      </w:r>
    </w:p>
    <w:p>
      <w:pPr>
        <w:spacing w:after="0" w:line="91"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caused by distance, language and cultural differences;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payment cycles in some countries;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and higher levels of payment fraud;</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foreign laws and regulations, including laws and regulations with respect to privacy, data protection, consumer protection, spam and content, and the risk of penalties to our users and individual members of management if our practices are deemed to be out of compliance;</w:t>
      </w:r>
    </w:p>
    <w:p>
      <w:pPr>
        <w:spacing w:after="0" w:line="4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unique or different market dynamics or business practices;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rate fluctuations or inflation;</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controls;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instability and export restrictions;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and</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associated with doing business internationally.</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These risks could harm our international expansion efforts, which could have a materially adverse effect on our business, financial condition or results of operations.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1B:UNRESOLVED STAFF COMMENTS</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1C:CYBERSECURITY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 Management</w:t>
      </w:r>
    </w:p>
    <w:p>
      <w:pPr>
        <w:spacing w:after="0" w:line="239"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At Taboola, cybersecurity risk management is an integral part of our overall enterprise risk management program. We have developed and implemented a cybersecurity risk management program intended to protect the confidentiality, integrity, and availability of our critical systems and information.</w:t>
      </w:r>
    </w:p>
    <w:p>
      <w:pPr>
        <w:spacing w:after="0" w:line="29"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6"/>
          <w:szCs w:val="16"/>
          <w:color w:val="auto"/>
        </w:rPr>
        <w:t>Our cybersecurity risk management program is based on ISO 27001 standards, which provide a framework and guidelines for implementing and managing an information security system, handling cybersecurity threats and incidents, including threats and incidents relevant to our business, and facilitates coordination across different departments of our Company. Since 2019, Taboola has held an ISO 27001 certification which is audited annually.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as appropriate, of material risks from</w:t>
      </w:r>
    </w:p>
    <w:p>
      <w:pPr>
        <w:sectPr>
          <w:pgSz w:w="11900" w:h="16904" w:orient="portrait"/>
          <w:cols w:equalWidth="0" w:num="1">
            <w:col w:w="11240"/>
          </w:cols>
          <w:pgMar w:left="320" w:top="111" w:right="339" w:bottom="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6"/>
          <w:szCs w:val="16"/>
          <w:color w:val="auto"/>
        </w:rPr>
        <w:t>cybersecurity threats and incidents. As part of this framework, we’ve incorporated third-party service provider cyber qualification processes and supply chain risk management. Our cybersecurity team regularly engages external cybersecurity consultants for risk assessment, security testing and system enhancements. In addition, we provide employees annual cybersecurity training and also provide cybersecurity training for new hires.</w:t>
      </w:r>
    </w:p>
    <w:p>
      <w:pPr>
        <w:spacing w:after="0" w:line="5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board of directors has overall oversight responsibility for our risk management and is charged with oversight of our cybersecurity risk management program. The board of directors is responsible for ensuring that management has processes in place designed to identify and evaluate cybersecurity risks to which the Company is exposed and implement processes and programs to manage cybersecurity risks and mitigate cybersecurity incidents.</w:t>
      </w:r>
    </w:p>
    <w:p>
      <w:pPr>
        <w:spacing w:after="0" w:line="70"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6"/>
          <w:szCs w:val="16"/>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Vice President, Information Technology &amp; Cybersecurity, or VP Cybersecurity, who together with our cybersecurity team, monitors the prevention, detection, mitigation, and remediation of cybersecurity incidents. Our VP Cybersecurity and members of the cyber security team hold multiple industry recognized cyber security certifications and together have decades of experience, including industry, military and government cyber experience. The Company’s VP Cybersecurity updates the board of directors on the Company’s cybersecurity programs, material cybersecurity risks and mitigation strategies and provides cyber security reports at least annually that cover, among other topics, third-party assessments of the Company’s cybersecurity programs, developments in cybersecurity and updates to the Company’s cybersecurity programs and mitigation strategies.</w:t>
      </w:r>
    </w:p>
    <w:p>
      <w:pPr>
        <w:spacing w:after="0" w:line="84"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any undetected cybersecurity incidents. For more information about these risks, refer to Part 1, Item 1A, “Risk Factors” in this Annual Report.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56"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6"/>
          <w:szCs w:val="16"/>
          <w:color w:val="auto"/>
        </w:rPr>
        <w:t>Our corporate headquarters is in New York City and our core research and development team is in Tel Aviv. We maintain offices in major cities around the world to serve our geographically diverse client base. Additionally, we operate data centers in the United States, Israel, Hong Kong, Singapore and Netherlands and have ten data centers which are operated under collocation agreements with six third-party data center providers. Certain of our real property and other leases are further described in Notes 9, 12, 18 and 20 of Notes to Consolidated Financial Statements elsewhere in this Annual Report.</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lease all of our facilities. We do not own any real property. We believe our current facilities are adequate to meet our immediate needs.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13" w:lineRule="exact"/>
        <w:rPr>
          <w:sz w:val="20"/>
          <w:szCs w:val="20"/>
          <w:color w:val="auto"/>
        </w:rPr>
      </w:pPr>
    </w:p>
    <w:p>
      <w:pPr>
        <w:ind w:right="740"/>
        <w:spacing w:after="0" w:line="301"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for Registrants Ordinary shares and Warrants</w:t>
      </w:r>
    </w:p>
    <w:p>
      <w:pPr>
        <w:spacing w:after="0" w:line="18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Our Ordinary shares and Warrants began trading on the Nasdaq Global Market under the symbols “TBLA” and “TBLAW,” respectively, on June 30, 2021. Prior to this, no public market existed for our Ordinary shares.</w:t>
      </w:r>
    </w:p>
    <w:p>
      <w:pPr>
        <w:spacing w:after="0" w:line="5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Based on a review of the information provided to us by our transfer agent, as of February 19, 2025, there were 292 registered holders of our Ordinary shares. The number of registered holders does not represent the actual number of beneficial owners of our Ordinary shares because the shares of Ordinary shares are frequently held in “street name” by securities dealers and others for the benefit of individual owners who have the right to vote and/or dispositive power with respect to their shares.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6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and payment of dividends may be subject to Israeli withholding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provides information about Ordinary shares repurchased pursuant to our Buyback Program for the three months ended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(a) Total Number</w:t>
            </w:r>
          </w:p>
        </w:tc>
        <w:tc>
          <w:tcPr>
            <w:tcW w:w="200" w:type="dxa"/>
            <w:vAlign w:val="bottom"/>
          </w:tcPr>
          <w:p>
            <w:pPr>
              <w:spacing w:after="0"/>
              <w:rPr>
                <w:sz w:val="16"/>
                <w:szCs w:val="16"/>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w w:val="98"/>
              </w:rPr>
              <w:t>(b) Average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(c) Total Number of</w:t>
            </w:r>
          </w:p>
        </w:tc>
        <w:tc>
          <w:tcPr>
            <w:tcW w:w="2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 Approximate Dollar</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9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Shares Purchased as</w:t>
            </w:r>
          </w:p>
        </w:tc>
        <w:tc>
          <w:tcPr>
            <w:tcW w:w="2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Value of Shares that May Yet</w:t>
            </w:r>
          </w:p>
        </w:tc>
        <w:tc>
          <w:tcPr>
            <w:tcW w:w="0" w:type="dxa"/>
            <w:vAlign w:val="bottom"/>
          </w:tcPr>
          <w:p>
            <w:pPr>
              <w:spacing w:after="0"/>
              <w:rPr>
                <w:sz w:val="1"/>
                <w:szCs w:val="1"/>
                <w:color w:val="auto"/>
              </w:rPr>
            </w:pPr>
          </w:p>
        </w:tc>
      </w:tr>
      <w:tr>
        <w:trPr>
          <w:trHeight w:val="162"/>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9"/>
              </w:rPr>
              <w:t>of Shares</w:t>
            </w:r>
          </w:p>
        </w:tc>
        <w:tc>
          <w:tcPr>
            <w:tcW w:w="20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6"/>
                <w:szCs w:val="16"/>
                <w:color w:val="auto"/>
              </w:rPr>
              <w:t>Price Paid Per</w:t>
            </w:r>
          </w:p>
        </w:tc>
        <w:tc>
          <w:tcPr>
            <w:tcW w:w="19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Part of Publicly</w:t>
            </w:r>
          </w:p>
        </w:tc>
        <w:tc>
          <w:tcPr>
            <w:tcW w:w="2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Be Purchased Under the Plan</w:t>
            </w:r>
          </w:p>
        </w:tc>
        <w:tc>
          <w:tcPr>
            <w:tcW w:w="0" w:type="dxa"/>
            <w:vAlign w:val="bottom"/>
          </w:tcPr>
          <w:p>
            <w:pPr>
              <w:spacing w:after="0"/>
              <w:rPr>
                <w:sz w:val="1"/>
                <w:szCs w:val="1"/>
                <w:color w:val="auto"/>
              </w:rPr>
            </w:pPr>
          </w:p>
        </w:tc>
      </w:tr>
      <w:tr>
        <w:trPr>
          <w:trHeight w:val="213"/>
        </w:trPr>
        <w:tc>
          <w:tcPr>
            <w:tcW w:w="4200" w:type="dxa"/>
            <w:vAlign w:val="bottom"/>
            <w:gridSpan w:val="2"/>
            <w:vMerge w:val="continue"/>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Purchased</w:t>
            </w:r>
          </w:p>
        </w:tc>
        <w:tc>
          <w:tcPr>
            <w:tcW w:w="2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Share (1)</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Announced Program</w:t>
            </w:r>
          </w:p>
        </w:tc>
        <w:tc>
          <w:tcPr>
            <w:tcW w:w="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 Program (2)</w:t>
            </w:r>
          </w:p>
        </w:tc>
        <w:tc>
          <w:tcPr>
            <w:tcW w:w="0" w:type="dxa"/>
            <w:vAlign w:val="bottom"/>
          </w:tcPr>
          <w:p>
            <w:pPr>
              <w:spacing w:after="0"/>
              <w:rPr>
                <w:sz w:val="1"/>
                <w:szCs w:val="1"/>
                <w:color w:val="auto"/>
              </w:rPr>
            </w:pPr>
          </w:p>
        </w:tc>
      </w:tr>
      <w:tr>
        <w:trPr>
          <w:trHeight w:val="212"/>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October 31, 2024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52,104,923</w:t>
            </w:r>
          </w:p>
        </w:tc>
        <w:tc>
          <w:tcPr>
            <w:tcW w:w="0" w:type="dxa"/>
            <w:vAlign w:val="bottom"/>
          </w:tcPr>
          <w:p>
            <w:pPr>
              <w:spacing w:after="0"/>
              <w:rPr>
                <w:sz w:val="1"/>
                <w:szCs w:val="1"/>
                <w:color w:val="auto"/>
              </w:rPr>
            </w:pPr>
          </w:p>
        </w:tc>
      </w:tr>
      <w:tr>
        <w:trPr>
          <w:trHeight w:val="21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 November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948,455</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948,455</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48,880,883</w:t>
            </w:r>
          </w:p>
        </w:tc>
        <w:tc>
          <w:tcPr>
            <w:tcW w:w="0" w:type="dxa"/>
            <w:vAlign w:val="bottom"/>
          </w:tcPr>
          <w:p>
            <w:pPr>
              <w:spacing w:after="0"/>
              <w:rPr>
                <w:sz w:val="1"/>
                <w:szCs w:val="1"/>
                <w:color w:val="auto"/>
              </w:rPr>
            </w:pPr>
          </w:p>
        </w:tc>
      </w:tr>
      <w:tr>
        <w:trPr>
          <w:trHeight w:val="21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 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847,555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45,561,509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broker and transaction fees.</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10, 2023, the Company announced a share buyback program for the repurchase of up to $40.0 million of our outstanding Shares, with no expiration date (the “Buyback Program”). On November 7, 2023, the Board authorized up to an additional $40.0 million of buybacks under the Buyback Program and in February 2024, the Board authorized up to $100.0 million for use under the Buyback Program, including any remaining authority from the November 2023 Board authorization. On February 26, 2025, the Company announced that the Board authorized up to an additional $200.0 million for use under the Buyback Program. The Buyback Program permits us to purchase our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Buyback Program at any time in its sole discretion without prior notice.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 Return Performance Presentation</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This performance graph shall not be deemed “soliciting material” or to be “filed” with the Securities and Exchange Commission, or the SEC, for purposes of Section 18 of the Exchange Act, or otherwise subject to the liabilities under that Section, and shall not be deemed to be incorporated by reference into any of our filings under the Securities Act.</w:t>
      </w:r>
    </w:p>
    <w:p>
      <w:pPr>
        <w:spacing w:after="0" w:line="63"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The graph below compares the cumulative total shareholder return on our Ordinary shares from June 30, 2021 (the date our Ordinary shares commenced trading on the NASDAQ) through December 31, 2024 with the cumulative total return on the NASDAQ Composite Index and S&amp;P SmallCap 600 Communication Services Index. All values assume a $100 initial investment and data for the NASDAQ Composite Index and S&amp;P SmallCap 600 Communication Services Index assume reinvestment of dividends. The comparisons are based on historical data and are not indicative of, nor intended to forecast, the future performance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50800</wp:posOffset>
            </wp:positionV>
            <wp:extent cx="5194935" cy="2957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94935" cy="295719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w:t>
      </w:r>
    </w:p>
    <w:p>
      <w:pPr>
        <w:spacing w:after="0" w:line="1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You should read the following discussion and analysis of our financial condition and results of operations together with Taboola’s audited consolidated financial statements and the related notes appearing elsewhere in this Annual Report. Some of the information contained in this discussion and analysis is set forth elsewhere in this Annual Report, including information with respect to Taboola’s plans and strategy for Taboola’s business, and includes forward-looking statements that involve risks and uncertainties. As a result of many factors, including those factors set forth in the section titled “Risk Factors” and “Cautionary Note Regarding Forward-Looking Statements,”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Taboola is a technology company that helps businesses grow by placing ads on publisher sites, mobile apps, and devices, which we collectively refer to as digital properties. We operate outside of the major search and social media walled gardens such as Meta, Google, and Amazon. Thousands of Advertisers trust us to drive growth, while approximately 11,000 digital property partners, including NBCNews, Disney, Yahoo, and Apple, rely on us for monetization and audience growth. Our scale is meaningful - we reach approximately 600 million people a day, gaining real-time insight into what people read and buy. This gives us unique “pulse of the internet” data - which alongside our artificial intelligence (AI) - is our competitive advantage and helps our advertiser clients achieve exceptional returns on their advertising spend.</w:t>
      </w:r>
    </w:p>
    <w:p>
      <w:pPr>
        <w:spacing w:after="0" w:line="8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Taboola began operations in 2007 and our technology provides significant value to both digital property partners and Advertisers. Digital properties use our technology platforms to achieve their business goals, such as driving new audiences to their sites and apps, or increasing engagement on site. We also provide a meaningful monetization opportunity to digital properties by matching relevant advertising to their audience in real time.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We empower Advertisers to leverage our proprietary AI-powered performance advertising platform to reach targeted audiences utilizing effective ad formats across digital properties.</w:t>
      </w:r>
    </w:p>
    <w:p>
      <w:pPr>
        <w:spacing w:after="0" w:line="70"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generate revenues primarily when people (consumers) click on, purchase from or, in some cases, view the ads that appear within our partners’ digital experiences via our performance AI engine. Advertisers pay us for those clicks, purchases or impressions, and we share the resulting revenue with the digital properties who display those ads and generate those clicks and downstream consumer actions.</w:t>
      </w:r>
    </w:p>
    <w:p>
      <w:pPr>
        <w:spacing w:after="0" w:line="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powerful performance AI engine was built to address a technology challenge of significant complexity: predicting which content, both advertisements and editorial,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We are the only independent performance platform that goes beyond search and social, and delivers outcomes at scale for advertisers, leveraging our unique supply, 1st-party data and AI technology.</w:t>
      </w:r>
    </w:p>
    <w:p>
      <w:pPr>
        <w:spacing w:after="0" w:line="8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For more information about ex-TAC Gross Profit, Adjusted EBITDA and Non-GAAP Net Income, see “Operating and Financial Review and Prospects —Non-GAAP Financial Measures.”</w:t>
      </w:r>
    </w:p>
    <w:p>
      <w:pPr>
        <w:spacing w:after="0" w:line="57"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For more information about ex-TAC Gross Profit, Adjusted EBITDA and Non-GAAP Net Income, see “Management’s Business Discussion and Analysis of Financial Condition and Results of Operations- Non-GAAP Financial Measures.”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Subsequent Developments</w:t>
      </w:r>
    </w:p>
    <w:p>
      <w:pPr>
        <w:spacing w:after="0" w:line="169"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On February 26, 2025, Taboola announced a new focus beyond native advertising, a powerful new technology platform called Realize and opened Realize for all advertisers.</w:t>
      </w:r>
    </w:p>
    <w:p>
      <w:pPr>
        <w:spacing w:after="0" w:line="4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Taboola has been a market leader in native advertising for more than a decade, driving success for advertisers, primarily in “bottom-of-article” placements. Taboola is now extending beyond this legacy with the introduction of Realize, a platform that specializes in performance outcomes at scale beyond search and social.</w:t>
      </w:r>
    </w:p>
    <w:p>
      <w:pPr>
        <w:spacing w:after="0" w:line="43" w:lineRule="exact"/>
        <w:rPr>
          <w:sz w:val="20"/>
          <w:szCs w:val="20"/>
          <w:color w:val="auto"/>
        </w:rPr>
      </w:pPr>
    </w:p>
    <w:p>
      <w:pPr>
        <w:ind w:right="1020" w:firstLine="243"/>
        <w:spacing w:after="0" w:line="421" w:lineRule="auto"/>
        <w:rPr>
          <w:sz w:val="20"/>
          <w:szCs w:val="20"/>
          <w:color w:val="auto"/>
        </w:rPr>
      </w:pPr>
      <w:r>
        <w:rPr>
          <w:rFonts w:ascii="Times New Roman" w:cs="Times New Roman" w:eastAsia="Times New Roman" w:hAnsi="Times New Roman"/>
          <w:sz w:val="16"/>
          <w:szCs w:val="16"/>
          <w:color w:val="auto"/>
        </w:rPr>
        <w:t xml:space="preserve">Realize leverages our unique data, performance AI and an increasingly diverse range of inventory and creative formats to achieve performance objectives </w:t>
      </w:r>
      <w:r>
        <w:rPr>
          <w:rFonts w:ascii="Times New Roman" w:cs="Times New Roman" w:eastAsia="Times New Roman" w:hAnsi="Times New Roman"/>
          <w:sz w:val="16"/>
          <w:szCs w:val="16"/>
          <w:b w:val="1"/>
          <w:bCs w:val="1"/>
          <w:color w:val="auto"/>
        </w:rPr>
        <w:t>Key Factors and Trends Affecting our Performance</w:t>
      </w:r>
    </w:p>
    <w:p>
      <w:pPr>
        <w:spacing w:after="0" w:line="16"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We believe that our performance and future success depend on several factors that present significant opportunities for us but also pose risks and challenges, including those discussed below and those referred to in Part I, Item 1A,“Risk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Maintaining and Growing Our Digital Property Partners</w:t>
      </w:r>
    </w:p>
    <w:p>
      <w:pPr>
        <w:spacing w:after="0" w:line="169"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We engage with a diverse network of digital property partners, substantially all of which have contracts with us containing either an evergreen term or an exclusive partnership with us for multi-year terms at inception for their native advertising supply. These agreements typically require that our code be integrated on the digital property web page because of the nature of providing both editorial and paid recommendations. In the portion of our business that is tied to these native advertising supply partnerships. which currently accounts for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11,000, 12,000 and 15,000 digital property partners in the fourth quarter of 2024, 2023 and 2022, respectively.</w:t>
      </w:r>
    </w:p>
    <w:p>
      <w:pPr>
        <w:spacing w:after="0" w:line="7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As a result of the launch of our Realize performance platform on February 26, 2025, we expect a growing portion of our business to be tied to inventory where we bid for ad placements, primarily on sites where we have a first party data advantage.</w:t>
      </w:r>
    </w:p>
    <w:p>
      <w:pPr>
        <w:spacing w:after="0" w:line="4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spacing w:after="0" w:line="7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Growing Our Advertiser Client Base</w:t>
      </w:r>
    </w:p>
    <w:p>
      <w:pPr>
        <w:spacing w:after="0" w:line="16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6"/>
          <w:szCs w:val="16"/>
          <w:color w:val="auto"/>
        </w:rPr>
        <w:t>We have a large network of Advertisers that wish to achieve specific performance goals, such as obtaining subscribers for email newsletters or acquiring leads for product offerings, across multiple verticals. As we look at growing our advertiser client base, we want to grow the number of advertisers that spend with us at scale. We define a Scaled Advertiser as an Advertiser that has more than $100,000 of cumulative gross spend on the network on a trailing four quarter basis. We had approximately 2,100, 1,800 and 1,800 of Scaled Advertiser clients working with us directly, or through advertising agencies, worldwide during the fourth quarters of 2024, 2023 and 2022, respectively. In an effort to also measure how we are growing our advertising spend with each Scaled Advertiser, we have introduced an Average Revenue per Scaled Advertiser performance measure. Average Revenue per Scaled Advertiser is calculated as the aggregate cumulative gross spend of all Scaled Advertisers for a given period divided by the number of Scaled Advertisers for that period. The Average Revenue per Scaled Advertiser was approximately $199,000, $198,000 and $175,000 during the fourth quarters of 2024, 2023 and 2022, respectively. A large portion of our revenue comes from Scaled Advertisers. The Revenue contribution from Scaled Advertisers represented 85%, 83% and 82% of our Revenues for the fourth quarters of 2024, 2023 and 2022, respectively.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and Research &amp; Development</w:t>
      </w:r>
    </w:p>
    <w:p>
      <w:pPr>
        <w:spacing w:after="0" w:line="18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Managing Seasonality</w:t>
      </w:r>
    </w:p>
    <w:p>
      <w:pPr>
        <w:spacing w:after="0" w:line="169"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Trends and Government Regulation</w:t>
      </w:r>
    </w:p>
    <w:p>
      <w:pPr>
        <w:spacing w:after="0" w:line="16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Financial and Operating Metrics</w:t>
      </w:r>
    </w:p>
    <w:p>
      <w:pPr>
        <w:spacing w:after="0" w:line="169" w:lineRule="exact"/>
        <w:rPr>
          <w:sz w:val="20"/>
          <w:szCs w:val="20"/>
          <w:color w:val="auto"/>
        </w:rPr>
      </w:pPr>
    </w:p>
    <w:p>
      <w:pPr>
        <w:jc w:val="both"/>
        <w:ind w:right="40" w:firstLine="243"/>
        <w:spacing w:after="0" w:line="298" w:lineRule="auto"/>
        <w:rPr>
          <w:sz w:val="20"/>
          <w:szCs w:val="20"/>
          <w:color w:val="auto"/>
        </w:rPr>
      </w:pPr>
      <w:r>
        <w:rPr>
          <w:rFonts w:ascii="Times New Roman" w:cs="Times New Roman" w:eastAsia="Times New Roman" w:hAnsi="Times New Roman"/>
          <w:sz w:val="16"/>
          <w:szCs w:val="16"/>
          <w:color w:val="auto"/>
        </w:rPr>
        <w:t>We regularly monitor a number of metrics in order to measure our current performance and project our future performance. These metrics aid us in developing and refining our growth strategies and making strategic decisions.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8"/>
        </w:trPr>
        <w:tc>
          <w:tcPr>
            <w:tcW w:w="5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11"/>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1,766,220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1,439,685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1,401,150</w:t>
            </w:r>
          </w:p>
        </w:tc>
        <w:tc>
          <w:tcPr>
            <w:tcW w:w="20" w:type="dxa"/>
            <w:vAlign w:val="bottom"/>
          </w:tcPr>
          <w:p>
            <w:pPr>
              <w:spacing w:after="0"/>
              <w:rPr>
                <w:sz w:val="18"/>
                <w:szCs w:val="18"/>
                <w:color w:val="auto"/>
              </w:rPr>
            </w:pPr>
          </w:p>
        </w:tc>
      </w:tr>
      <w:tr>
        <w:trPr>
          <w:trHeight w:val="22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534,218</w:t>
            </w:r>
          </w:p>
        </w:tc>
        <w:tc>
          <w:tcPr>
            <w:tcW w:w="8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425,558</w:t>
            </w:r>
          </w:p>
        </w:tc>
        <w:tc>
          <w:tcPr>
            <w:tcW w:w="8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464,253</w:t>
            </w:r>
          </w:p>
        </w:tc>
        <w:tc>
          <w:tcPr>
            <w:tcW w:w="20" w:type="dxa"/>
            <w:vAlign w:val="bottom"/>
          </w:tcPr>
          <w:p>
            <w:pPr>
              <w:spacing w:after="0"/>
              <w:rPr>
                <w:sz w:val="19"/>
                <w:szCs w:val="19"/>
                <w:color w:val="auto"/>
              </w:rPr>
            </w:pPr>
          </w:p>
        </w:tc>
      </w:tr>
      <w:tr>
        <w:trPr>
          <w:trHeight w:val="23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20"/>
                <w:szCs w:val="20"/>
                <w:color w:val="auto"/>
              </w:rPr>
            </w:pPr>
          </w:p>
        </w:tc>
      </w:tr>
      <w:tr>
        <w:trPr>
          <w:trHeight w:val="226"/>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EPS</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(0.05)</w:t>
            </w:r>
          </w:p>
        </w:tc>
        <w:tc>
          <w:tcPr>
            <w:tcW w:w="20" w:type="dxa"/>
            <w:vAlign w:val="bottom"/>
          </w:tcPr>
          <w:p>
            <w:pPr>
              <w:spacing w:after="0"/>
              <w:rPr>
                <w:sz w:val="19"/>
                <w:szCs w:val="19"/>
                <w:color w:val="auto"/>
              </w:rPr>
            </w:pPr>
          </w:p>
        </w:tc>
      </w:tr>
      <w:tr>
        <w:trPr>
          <w:trHeight w:val="23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net loss to gross profit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0"/>
                <w:szCs w:val="20"/>
                <w:color w:val="auto"/>
              </w:rPr>
            </w:pPr>
          </w:p>
        </w:tc>
      </w:tr>
      <w:tr>
        <w:trPr>
          <w:trHeight w:val="22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 provided by operating activities</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184,331</w:t>
            </w:r>
          </w:p>
        </w:tc>
        <w:tc>
          <w:tcPr>
            <w:tcW w:w="8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84,373</w:t>
            </w:r>
          </w:p>
        </w:tc>
        <w:tc>
          <w:tcPr>
            <w:tcW w:w="8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53,484</w:t>
            </w:r>
          </w:p>
        </w:tc>
        <w:tc>
          <w:tcPr>
            <w:tcW w:w="20" w:type="dxa"/>
            <w:vAlign w:val="bottom"/>
          </w:tcPr>
          <w:p>
            <w:pPr>
              <w:spacing w:after="0"/>
              <w:rPr>
                <w:sz w:val="19"/>
                <w:szCs w:val="19"/>
                <w:color w:val="auto"/>
              </w:rPr>
            </w:pPr>
          </w:p>
        </w:tc>
      </w:tr>
      <w:tr>
        <w:trPr>
          <w:trHeight w:val="232"/>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short-term deposits and investments</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230,363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181,833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262,807</w:t>
            </w:r>
          </w:p>
        </w:tc>
        <w:tc>
          <w:tcPr>
            <w:tcW w:w="20" w:type="dxa"/>
            <w:vAlign w:val="bottom"/>
          </w:tcPr>
          <w:p>
            <w:pPr>
              <w:spacing w:after="0"/>
              <w:rPr>
                <w:sz w:val="20"/>
                <w:szCs w:val="20"/>
                <w:color w:val="auto"/>
              </w:rPr>
            </w:pPr>
          </w:p>
        </w:tc>
      </w:tr>
      <w:tr>
        <w:trPr>
          <w:trHeight w:val="49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Non-GAAP Financial Data (1)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ex-TAC Gross Profit</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667,496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535,819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569,642</w:t>
            </w:r>
          </w:p>
        </w:tc>
        <w:tc>
          <w:tcPr>
            <w:tcW w:w="20" w:type="dxa"/>
            <w:vAlign w:val="bottom"/>
          </w:tcPr>
          <w:p>
            <w:pPr>
              <w:spacing w:after="0"/>
              <w:rPr>
                <w:sz w:val="20"/>
                <w:szCs w:val="20"/>
                <w:color w:val="auto"/>
              </w:rPr>
            </w:pPr>
          </w:p>
        </w:tc>
      </w:tr>
      <w:tr>
        <w:trPr>
          <w:trHeight w:val="226"/>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200,926</w:t>
            </w:r>
          </w:p>
        </w:tc>
        <w:tc>
          <w:tcPr>
            <w:tcW w:w="8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98,677</w:t>
            </w:r>
          </w:p>
        </w:tc>
        <w:tc>
          <w:tcPr>
            <w:tcW w:w="8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156,676</w:t>
            </w:r>
          </w:p>
        </w:tc>
        <w:tc>
          <w:tcPr>
            <w:tcW w:w="20" w:type="dxa"/>
            <w:vAlign w:val="bottom"/>
          </w:tcPr>
          <w:p>
            <w:pPr>
              <w:spacing w:after="0"/>
              <w:rPr>
                <w:sz w:val="19"/>
                <w:szCs w:val="19"/>
                <w:color w:val="auto"/>
              </w:rPr>
            </w:pPr>
          </w:p>
        </w:tc>
      </w:tr>
      <w:tr>
        <w:trPr>
          <w:trHeight w:val="23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Net Income</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122,377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32,580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91,382</w:t>
            </w:r>
          </w:p>
        </w:tc>
        <w:tc>
          <w:tcPr>
            <w:tcW w:w="20" w:type="dxa"/>
            <w:vAlign w:val="bottom"/>
          </w:tcPr>
          <w:p>
            <w:pPr>
              <w:spacing w:after="0"/>
              <w:rPr>
                <w:sz w:val="20"/>
                <w:szCs w:val="20"/>
                <w:color w:val="auto"/>
              </w:rPr>
            </w:pPr>
          </w:p>
        </w:tc>
      </w:tr>
      <w:tr>
        <w:trPr>
          <w:trHeight w:val="22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Ratio of Adjusted EBITDA to ex-TAC Gross Profit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20" w:type="dxa"/>
            <w:vAlign w:val="bottom"/>
          </w:tcPr>
          <w:p>
            <w:pPr>
              <w:spacing w:after="0"/>
              <w:rPr>
                <w:sz w:val="19"/>
                <w:szCs w:val="19"/>
                <w:color w:val="auto"/>
              </w:rPr>
            </w:pPr>
          </w:p>
        </w:tc>
      </w:tr>
      <w:tr>
        <w:trPr>
          <w:trHeight w:val="232"/>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149,176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52,240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18,570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-2451100</wp:posOffset>
            </wp:positionV>
            <wp:extent cx="7140575" cy="2459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24599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 Refer to “Non-GAAP Financial Measures” below for an explanation and reconciliation to GAAP metrics.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83"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spacing w:after="0" w:line="84"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ex-TAC Gross Profit</w:t>
      </w:r>
    </w:p>
    <w:p>
      <w:pPr>
        <w:spacing w:after="0" w:line="225"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We calculate ex-TAC Gross Profit as gross profit adjusted to add back other cost of revenues and non-cash amortization of the Commercial agreement asset. We add back the non-cash amortization of the Commercial agreement asset because it is unique primarily due to the issuance of equity rather than cash, such that ex-TAC Gross Profit includes solely direct cash contribution components.</w:t>
      </w:r>
    </w:p>
    <w:p>
      <w:pPr>
        <w:spacing w:after="0" w:line="76"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Limitations on the use of ex-TAC Gross Profit include the following:</w:t>
      </w:r>
    </w:p>
    <w:p>
      <w:pPr>
        <w:spacing w:after="0" w:line="113"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Traffic acquisition cost is a significant component of our cost of revenues but is not the only component; and</w:t>
      </w:r>
    </w:p>
    <w:p>
      <w:pPr>
        <w:spacing w:after="0" w:line="113"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ex-TAC Gross Profit is not comparable to our gross profit and by definition ex-TAC Gross Profit presented for any period will be higher than our gross profit for that period.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provides a reconciliation of revenues and gross profit to ex-TAC Gross Profit: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49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(dollars in thousands)</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38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1,766,220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1,439,685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1,401,150</w:t>
            </w:r>
          </w:p>
        </w:tc>
        <w:tc>
          <w:tcPr>
            <w:tcW w:w="20" w:type="dxa"/>
            <w:vAlign w:val="bottom"/>
          </w:tcPr>
          <w:p>
            <w:pPr>
              <w:spacing w:after="0"/>
              <w:rPr>
                <w:sz w:val="20"/>
                <w:szCs w:val="20"/>
                <w:color w:val="auto"/>
              </w:rPr>
            </w:pPr>
          </w:p>
        </w:tc>
      </w:tr>
      <w:tr>
        <w:trPr>
          <w:trHeight w:val="22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Traffic acquisition cost (1)</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903,866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831,508</w:t>
            </w:r>
          </w:p>
        </w:tc>
        <w:tc>
          <w:tcPr>
            <w:tcW w:w="20" w:type="dxa"/>
            <w:vAlign w:val="bottom"/>
          </w:tcPr>
          <w:p>
            <w:pPr>
              <w:spacing w:after="0"/>
              <w:rPr>
                <w:sz w:val="19"/>
                <w:szCs w:val="19"/>
                <w:color w:val="auto"/>
              </w:rPr>
            </w:pPr>
          </w:p>
        </w:tc>
      </w:tr>
      <w:tr>
        <w:trPr>
          <w:trHeight w:val="232"/>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cost of revenues</w:t>
            </w:r>
          </w:p>
        </w:tc>
        <w:tc>
          <w:tcPr>
            <w:tcW w:w="1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130,446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110,261</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105,389</w:t>
            </w:r>
          </w:p>
        </w:tc>
        <w:tc>
          <w:tcPr>
            <w:tcW w:w="20" w:type="dxa"/>
            <w:vAlign w:val="bottom"/>
            <w:tcBorders>
              <w:bottom w:val="single" w:sz="8" w:color="auto"/>
            </w:tcBorders>
          </w:tcPr>
          <w:p>
            <w:pPr>
              <w:spacing w:after="0"/>
              <w:rPr>
                <w:sz w:val="20"/>
                <w:szCs w:val="20"/>
                <w:color w:val="auto"/>
              </w:rPr>
            </w:pPr>
          </w:p>
        </w:tc>
      </w:tr>
      <w:tr>
        <w:trPr>
          <w:trHeight w:val="207"/>
        </w:trPr>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534,218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425,558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464,253</w:t>
            </w:r>
          </w:p>
        </w:tc>
        <w:tc>
          <w:tcPr>
            <w:tcW w:w="20" w:type="dxa"/>
            <w:vAlign w:val="bottom"/>
            <w:tcBorders>
              <w:bottom w:val="single" w:sz="8" w:color="auto"/>
            </w:tcBorders>
          </w:tcPr>
          <w:p>
            <w:pPr>
              <w:spacing w:after="0"/>
              <w:rPr>
                <w:sz w:val="17"/>
                <w:szCs w:val="17"/>
                <w:color w:val="auto"/>
              </w:rPr>
            </w:pPr>
          </w:p>
        </w:tc>
      </w:tr>
      <w:tr>
        <w:trPr>
          <w:trHeight w:val="212"/>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 back: Other cost of revenues (1)</w:t>
            </w:r>
          </w:p>
        </w:tc>
        <w:tc>
          <w:tcPr>
            <w:tcW w:w="1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105,389</w:t>
            </w:r>
          </w:p>
        </w:tc>
        <w:tc>
          <w:tcPr>
            <w:tcW w:w="20" w:type="dxa"/>
            <w:vAlign w:val="bottom"/>
            <w:tcBorders>
              <w:bottom w:val="single" w:sz="8" w:color="auto"/>
            </w:tcBorders>
          </w:tcPr>
          <w:p>
            <w:pPr>
              <w:spacing w:after="0"/>
              <w:rPr>
                <w:sz w:val="18"/>
                <w:szCs w:val="18"/>
                <w:color w:val="auto"/>
              </w:rPr>
            </w:pPr>
          </w:p>
        </w:tc>
      </w:tr>
      <w:tr>
        <w:trPr>
          <w:trHeight w:val="20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ex-TAC Gross Profit</w:t>
            </w:r>
          </w:p>
        </w:tc>
        <w:tc>
          <w:tcPr>
            <w:tcW w:w="138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667,496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535,819</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569,642</w:t>
            </w:r>
          </w:p>
        </w:tc>
        <w:tc>
          <w:tcPr>
            <w:tcW w:w="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140575" cy="883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88328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-1173480</wp:posOffset>
            </wp:positionV>
            <wp:extent cx="889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-1173480</wp:posOffset>
            </wp:positionV>
            <wp:extent cx="889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-1173480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-1414145</wp:posOffset>
            </wp:positionV>
            <wp:extent cx="8890"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3154680"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54680" cy="3943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right="20" w:hanging="328"/>
        <w:spacing w:after="0" w:line="280"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December 31, 2024 included $2,832 amortization expense of the non-cash based Commercial agreement asset. See Note 1b of Notes to the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EBITDA and Ratio of Adjusted EBITDA to ex-TAC Gross Profit</w:t>
      </w:r>
    </w:p>
    <w:p>
      <w:pPr>
        <w:spacing w:after="0" w:line="169"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We calculate Adjusted EBITDA as net income (loss) before finance income (expenses), net, income tax expenses, depreciation and amortization and non-cash amortization of the Commercial agreement asset, further adjusted to exclude share-based compensation including Connexity holdback compensation expenses and other noteworthy income and expense items such as M&amp;A costs and restructuring costs which may vary from period-to-period.</w:t>
      </w:r>
    </w:p>
    <w:p>
      <w:pPr>
        <w:spacing w:after="0" w:line="63"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believe that Adjusted EBITDA is useful because it allows us and others to measure our performance without regard to items such as share-based compensation expense, depreciation and amortization, non-cash amortization of the Commercial agreement asset,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Limitations on the use of Adjusted EBITDA include the following:</w:t>
      </w:r>
    </w:p>
    <w:p>
      <w:pPr>
        <w:spacing w:after="0" w:line="127" w:lineRule="exact"/>
        <w:rPr>
          <w:sz w:val="20"/>
          <w:szCs w:val="20"/>
          <w:color w:val="auto"/>
        </w:rPr>
      </w:pPr>
    </w:p>
    <w:p>
      <w:pPr>
        <w:ind w:left="660" w:right="2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spacing w:after="0" w:line="70"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share-based compensation expense, which has been, and will continue to be for the foreseeable future, a significant recurring expense for our business and an important part of our compensation strategy;</w:t>
      </w:r>
    </w:p>
    <w:p>
      <w:pPr>
        <w:spacing w:after="0" w:line="56" w:lineRule="exact"/>
        <w:rPr>
          <w:rFonts w:ascii="Times New Roman" w:cs="Times New Roman" w:eastAsia="Times New Roman" w:hAnsi="Times New Roman"/>
          <w:sz w:val="16"/>
          <w:szCs w:val="16"/>
          <w:color w:val="auto"/>
        </w:rPr>
      </w:pPr>
    </w:p>
    <w:p>
      <w:pPr>
        <w:jc w:val="both"/>
        <w:ind w:left="660" w:right="20" w:hanging="328"/>
        <w:spacing w:after="0" w:line="272"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p>
      <w:pPr>
        <w:spacing w:after="0" w:line="62"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following table provides a reconciliation of net income (loss) to Adjusted EBITDA:</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9"/>
        </w:trPr>
        <w:tc>
          <w:tcPr>
            <w:tcW w:w="6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6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63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9"/>
        </w:trPr>
        <w:tc>
          <w:tcPr>
            <w:tcW w:w="6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20"/>
                <w:szCs w:val="20"/>
                <w:color w:val="auto"/>
              </w:rPr>
            </w:pPr>
          </w:p>
        </w:tc>
      </w:tr>
      <w:tr>
        <w:trPr>
          <w:trHeight w:val="226"/>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(income) expenses, net</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20" w:type="dxa"/>
            <w:vAlign w:val="bottom"/>
          </w:tcPr>
          <w:p>
            <w:pPr>
              <w:spacing w:after="0"/>
              <w:rPr>
                <w:sz w:val="20"/>
                <w:szCs w:val="20"/>
                <w:color w:val="auto"/>
              </w:rPr>
            </w:pPr>
          </w:p>
        </w:tc>
      </w:tr>
      <w:tr>
        <w:trPr>
          <w:trHeight w:val="22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20" w:type="dxa"/>
            <w:vAlign w:val="bottom"/>
          </w:tcPr>
          <w:p>
            <w:pPr>
              <w:spacing w:after="0"/>
              <w:rPr>
                <w:sz w:val="19"/>
                <w:szCs w:val="19"/>
                <w:color w:val="auto"/>
              </w:rPr>
            </w:pPr>
          </w:p>
        </w:tc>
      </w:tr>
      <w:tr>
        <w:trPr>
          <w:trHeight w:val="232"/>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 (1)</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103,722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91,221</w:t>
            </w:r>
          </w:p>
        </w:tc>
        <w:tc>
          <w:tcPr>
            <w:tcW w:w="20" w:type="dxa"/>
            <w:vAlign w:val="bottom"/>
          </w:tcPr>
          <w:p>
            <w:pPr>
              <w:spacing w:after="0"/>
              <w:rPr>
                <w:sz w:val="20"/>
                <w:szCs w:val="20"/>
                <w:color w:val="auto"/>
              </w:rPr>
            </w:pPr>
          </w:p>
        </w:tc>
      </w:tr>
      <w:tr>
        <w:trPr>
          <w:trHeight w:val="22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63,830</w:t>
            </w:r>
          </w:p>
        </w:tc>
        <w:tc>
          <w:tcPr>
            <w:tcW w:w="20" w:type="dxa"/>
            <w:vAlign w:val="bottom"/>
          </w:tcPr>
          <w:p>
            <w:pPr>
              <w:spacing w:after="0"/>
              <w:rPr>
                <w:sz w:val="19"/>
                <w:szCs w:val="19"/>
                <w:color w:val="auto"/>
              </w:rPr>
            </w:pPr>
          </w:p>
        </w:tc>
      </w:tr>
      <w:tr>
        <w:trPr>
          <w:trHeight w:val="233"/>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Restructuring expenses (2)</w:t>
            </w:r>
          </w:p>
        </w:tc>
        <w:tc>
          <w:tcPr>
            <w:tcW w:w="9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20" w:type="dxa"/>
            <w:vAlign w:val="bottom"/>
          </w:tcPr>
          <w:p>
            <w:pPr>
              <w:spacing w:after="0"/>
              <w:rPr>
                <w:sz w:val="20"/>
                <w:szCs w:val="20"/>
                <w:color w:val="auto"/>
              </w:rPr>
            </w:pPr>
          </w:p>
        </w:tc>
      </w:tr>
      <w:tr>
        <w:trPr>
          <w:trHeight w:val="22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Holdback compensation expenses (3)</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11,091</w:t>
            </w:r>
          </w:p>
        </w:tc>
        <w:tc>
          <w:tcPr>
            <w:tcW w:w="20" w:type="dxa"/>
            <w:vAlign w:val="bottom"/>
          </w:tcPr>
          <w:p>
            <w:pPr>
              <w:spacing w:after="0"/>
              <w:rPr>
                <w:sz w:val="19"/>
                <w:szCs w:val="19"/>
                <w:color w:val="auto"/>
              </w:rPr>
            </w:pPr>
          </w:p>
        </w:tc>
      </w:tr>
      <w:tr>
        <w:trPr>
          <w:trHeight w:val="233"/>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M&amp;A and other costs (4)</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0" w:type="dxa"/>
            <w:vAlign w:val="bottom"/>
            <w:tcBorders>
              <w:bottom w:val="single" w:sz="8" w:color="auto"/>
            </w:tcBorders>
          </w:tcPr>
          <w:p>
            <w:pPr>
              <w:spacing w:after="0"/>
              <w:rPr>
                <w:sz w:val="20"/>
                <w:szCs w:val="20"/>
                <w:color w:val="auto"/>
              </w:rPr>
            </w:pPr>
          </w:p>
        </w:tc>
      </w:tr>
      <w:tr>
        <w:trPr>
          <w:trHeight w:val="20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200,926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156,676</w:t>
            </w:r>
          </w:p>
        </w:tc>
        <w:tc>
          <w:tcPr>
            <w:tcW w:w="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7140575" cy="199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9970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660" w:right="20" w:hanging="328"/>
        <w:spacing w:after="0" w:line="272"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December 31, 2024, includes one-time write-off of internal use software in the amount of $3,038. See Note 9 of Notes to the Consolidated Financial Statements. The year ended December 31, 2024 included $2,832 amortization expense of the non-cash based Commercial agreement asset. See Note 1b of Notes to the Consolidated Financial Statements.</w:t>
      </w:r>
    </w:p>
    <w:p>
      <w:pPr>
        <w:spacing w:after="0" w:line="6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the Company’s cost restructuring program implemented in September 2022.</w:t>
      </w:r>
    </w:p>
    <w:p>
      <w:pPr>
        <w:spacing w:after="0" w:line="1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due to holdback of Ordinary shares issuable under compensatory arrangements relating to Connexity acquisition.</w:t>
      </w:r>
    </w:p>
    <w:p>
      <w:pPr>
        <w:spacing w:after="0" w:line="113" w:lineRule="exact"/>
        <w:rPr>
          <w:rFonts w:ascii="Times New Roman" w:cs="Times New Roman" w:eastAsia="Times New Roman" w:hAnsi="Times New Roman"/>
          <w:sz w:val="16"/>
          <w:szCs w:val="16"/>
          <w:color w:val="auto"/>
        </w:rPr>
      </w:pPr>
    </w:p>
    <w:p>
      <w:pPr>
        <w:jc w:val="both"/>
        <w:ind w:left="660" w:right="20" w:hanging="328"/>
        <w:spacing w:after="0" w:line="272"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December 31, 2024, includes $1,830 related to excess termination expenses from a headcount reduction due to the launch of Realize, $1,664 in professional and legal expenses related to a litigation matter in which the Company is the plaintiff and is not related to our ongoing business operations and certain one-time professional service costs. The year ended December 31, 2023, includes one-time costs related to the Commercial agreement.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calculate Ratio of Adjusted EBITDA to ex-TAC Gross Profit as Adjusted EBITDA divided by ex-TAC Gross Profit.</w:t>
      </w:r>
    </w:p>
    <w:p>
      <w:pPr>
        <w:spacing w:after="0" w:line="127" w:lineRule="exact"/>
        <w:rPr>
          <w:sz w:val="20"/>
          <w:szCs w:val="20"/>
          <w:color w:val="auto"/>
        </w:rPr>
      </w:pPr>
    </w:p>
    <w:p>
      <w:pPr>
        <w:ind w:right="20" w:firstLine="243"/>
        <w:spacing w:after="0" w:line="280" w:lineRule="auto"/>
        <w:rPr>
          <w:sz w:val="20"/>
          <w:szCs w:val="20"/>
          <w:color w:val="auto"/>
        </w:rPr>
      </w:pPr>
      <w:r>
        <w:rPr>
          <w:rFonts w:ascii="Times New Roman" w:cs="Times New Roman" w:eastAsia="Times New Roman" w:hAnsi="Times New Roman"/>
          <w:sz w:val="16"/>
          <w:szCs w:val="16"/>
          <w:color w:val="auto"/>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provides a reconciliation of ratio of net income (loss) to gross profit and Ratio of Adjusted EBITDA to ex-TAC Gross Profit: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6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6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9"/>
        </w:trPr>
        <w:tc>
          <w:tcPr>
            <w:tcW w:w="6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534,218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425,558</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464,253</w:t>
            </w:r>
          </w:p>
        </w:tc>
        <w:tc>
          <w:tcPr>
            <w:tcW w:w="20" w:type="dxa"/>
            <w:vAlign w:val="bottom"/>
          </w:tcPr>
          <w:p>
            <w:pPr>
              <w:spacing w:after="0"/>
              <w:rPr>
                <w:sz w:val="20"/>
                <w:szCs w:val="20"/>
                <w:color w:val="auto"/>
              </w:rPr>
            </w:pPr>
          </w:p>
        </w:tc>
      </w:tr>
      <w:tr>
        <w:trPr>
          <w:trHeight w:val="22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(3,760)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(82,040)</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19"/>
                <w:szCs w:val="19"/>
                <w:color w:val="auto"/>
              </w:rPr>
            </w:pPr>
          </w:p>
        </w:tc>
      </w:tr>
      <w:tr>
        <w:trPr>
          <w:trHeight w:val="23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net loss to gross profit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0"/>
                <w:szCs w:val="20"/>
                <w:color w:val="auto"/>
              </w:rPr>
            </w:pPr>
          </w:p>
        </w:tc>
      </w:tr>
      <w:tr>
        <w:trPr>
          <w:trHeight w:val="270"/>
        </w:trPr>
        <w:tc>
          <w:tcPr>
            <w:tcW w:w="6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ex-TAC Gross Profit</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667,496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535,819</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569,642</w:t>
            </w:r>
          </w:p>
        </w:tc>
        <w:tc>
          <w:tcPr>
            <w:tcW w:w="20" w:type="dxa"/>
            <w:vAlign w:val="bottom"/>
          </w:tcPr>
          <w:p>
            <w:pPr>
              <w:spacing w:after="0"/>
              <w:rPr>
                <w:sz w:val="19"/>
                <w:szCs w:val="19"/>
                <w:color w:val="auto"/>
              </w:rPr>
            </w:pPr>
          </w:p>
        </w:tc>
      </w:tr>
      <w:tr>
        <w:trPr>
          <w:trHeight w:val="226"/>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200,926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98,677</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156,676</w:t>
            </w:r>
          </w:p>
        </w:tc>
        <w:tc>
          <w:tcPr>
            <w:tcW w:w="20" w:type="dxa"/>
            <w:vAlign w:val="bottom"/>
          </w:tcPr>
          <w:p>
            <w:pPr>
              <w:spacing w:after="0"/>
              <w:rPr>
                <w:sz w:val="19"/>
                <w:szCs w:val="19"/>
                <w:color w:val="auto"/>
              </w:rPr>
            </w:pPr>
          </w:p>
        </w:tc>
      </w:tr>
      <w:tr>
        <w:trPr>
          <w:trHeight w:val="23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Adjusted EBITDA margin to ex-TAC Gross Profit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40575" cy="1586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5862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Net Income (Loss)</w:t>
      </w:r>
    </w:p>
    <w:p>
      <w:pPr>
        <w:spacing w:after="0" w:line="183"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calculate Non-GAAP Net Income (Loss) as net income (loss) adjusted to exclude revaluation of our Warrants liability, share-based compensation expense including Connexity holdback compensation expenses, M&amp;A costs and amortization of acquired intangible assets and the non-cash based Commercial agreement asset, foreign currency exchange rate gains (losses), net, and other noteworthy items that change from period to period and related tax effects.</w:t>
      </w:r>
    </w:p>
    <w:p>
      <w:pPr>
        <w:spacing w:after="0" w:line="84"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and the non-cash based Commercial agreement asset, foreign currency exchange rate (gains) losses, net and other noteworthy items that change from period to period and related tax effects. These items can vary substantially depending on our share price, acquisition activity, the method by which assets are acquired and other factors.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Limitations on the use of Non-GAAP Net Income (Loss) include the following:</w:t>
      </w:r>
    </w:p>
    <w:p>
      <w:pPr>
        <w:spacing w:after="0" w:line="127" w:lineRule="exact"/>
        <w:rPr>
          <w:sz w:val="20"/>
          <w:szCs w:val="20"/>
          <w:color w:val="auto"/>
        </w:rPr>
      </w:pPr>
    </w:p>
    <w:p>
      <w:pPr>
        <w:ind w:left="660" w:right="2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(Loss) excludes share-based compensation expense, which has been, and will continue to be for the foreseeable future, a significant recurring expense for our business and an important part of our compensation strategy;</w:t>
      </w:r>
    </w:p>
    <w:p>
      <w:pPr>
        <w:spacing w:after="0" w:line="70"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(Loss) will generally be more favorable than our net income (loss) for the same period due to the nature of the items being excluded from its calculation; and</w:t>
      </w:r>
    </w:p>
    <w:p>
      <w:pPr>
        <w:spacing w:after="0" w:line="5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(Loss) is a performance measure and should not be used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provides a reconciliation of net income (loss) to Non-GAAP Net Income (Loss) for the periods shown*: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7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7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9"/>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20"/>
                <w:szCs w:val="20"/>
                <w:color w:val="auto"/>
              </w:rPr>
            </w:pPr>
          </w:p>
        </w:tc>
      </w:tr>
      <w:tr>
        <w:trPr>
          <w:trHeight w:val="226"/>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acquired intangibles (1)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63,557</w:t>
            </w:r>
          </w:p>
        </w:tc>
        <w:tc>
          <w:tcPr>
            <w:tcW w:w="20" w:type="dxa"/>
            <w:vAlign w:val="bottom"/>
          </w:tcPr>
          <w:p>
            <w:pPr>
              <w:spacing w:after="0"/>
              <w:rPr>
                <w:sz w:val="19"/>
                <w:szCs w:val="19"/>
                <w:color w:val="auto"/>
              </w:rPr>
            </w:pPr>
          </w:p>
        </w:tc>
      </w:tr>
      <w:tr>
        <w:trPr>
          <w:trHeight w:val="233"/>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63,830</w:t>
            </w:r>
          </w:p>
        </w:tc>
        <w:tc>
          <w:tcPr>
            <w:tcW w:w="20" w:type="dxa"/>
            <w:vAlign w:val="bottom"/>
          </w:tcPr>
          <w:p>
            <w:pPr>
              <w:spacing w:after="0"/>
              <w:rPr>
                <w:sz w:val="20"/>
                <w:szCs w:val="20"/>
                <w:color w:val="auto"/>
              </w:rPr>
            </w:pPr>
          </w:p>
        </w:tc>
      </w:tr>
      <w:tr>
        <w:trPr>
          <w:trHeight w:val="22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Restructuring expenses (2)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20" w:type="dxa"/>
            <w:vAlign w:val="bottom"/>
          </w:tcPr>
          <w:p>
            <w:pPr>
              <w:spacing w:after="0"/>
              <w:rPr>
                <w:sz w:val="19"/>
                <w:szCs w:val="19"/>
                <w:color w:val="auto"/>
              </w:rPr>
            </w:pPr>
          </w:p>
        </w:tc>
      </w:tr>
      <w:tr>
        <w:trPr>
          <w:trHeight w:val="232"/>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Holdback compensation expenses (3)</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11,091</w:t>
            </w:r>
          </w:p>
        </w:tc>
        <w:tc>
          <w:tcPr>
            <w:tcW w:w="20" w:type="dxa"/>
            <w:vAlign w:val="bottom"/>
          </w:tcPr>
          <w:p>
            <w:pPr>
              <w:spacing w:after="0"/>
              <w:rPr>
                <w:sz w:val="20"/>
                <w:szCs w:val="20"/>
                <w:color w:val="auto"/>
              </w:rPr>
            </w:pPr>
          </w:p>
        </w:tc>
      </w:tr>
      <w:tr>
        <w:trPr>
          <w:trHeight w:val="22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M&amp;A and other costs (4)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0" w:type="dxa"/>
            <w:vAlign w:val="bottom"/>
          </w:tcPr>
          <w:p>
            <w:pPr>
              <w:spacing w:after="0"/>
              <w:rPr>
                <w:sz w:val="19"/>
                <w:szCs w:val="19"/>
                <w:color w:val="auto"/>
              </w:rPr>
            </w:pPr>
          </w:p>
        </w:tc>
      </w:tr>
      <w:tr>
        <w:trPr>
          <w:trHeight w:val="233"/>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Revaluation of Warrants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w:t>
            </w:r>
          </w:p>
        </w:tc>
        <w:tc>
          <w:tcPr>
            <w:tcW w:w="20" w:type="dxa"/>
            <w:vAlign w:val="bottom"/>
          </w:tcPr>
          <w:p>
            <w:pPr>
              <w:spacing w:after="0"/>
              <w:rPr>
                <w:sz w:val="20"/>
                <w:szCs w:val="20"/>
                <w:color w:val="auto"/>
              </w:rPr>
            </w:pPr>
          </w:p>
        </w:tc>
      </w:tr>
      <w:tr>
        <w:trPr>
          <w:trHeight w:val="227"/>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exchange rate losses (gains) (5)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Pr>
          <w:p>
            <w:pPr>
              <w:spacing w:after="0"/>
              <w:rPr>
                <w:sz w:val="19"/>
                <w:szCs w:val="19"/>
                <w:color w:val="auto"/>
              </w:rPr>
            </w:pPr>
          </w:p>
        </w:tc>
      </w:tr>
      <w:tr>
        <w:trPr>
          <w:trHeight w:val="249"/>
        </w:trPr>
        <w:tc>
          <w:tcPr>
            <w:tcW w:w="7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effects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(13,472)</w:t>
            </w:r>
          </w:p>
        </w:tc>
        <w:tc>
          <w:tcPr>
            <w:tcW w:w="20" w:type="dxa"/>
            <w:vAlign w:val="bottom"/>
            <w:tcBorders>
              <w:bottom w:val="single" w:sz="8" w:color="auto"/>
            </w:tcBorders>
          </w:tcPr>
          <w:p>
            <w:pPr>
              <w:spacing w:after="0"/>
              <w:rPr>
                <w:sz w:val="21"/>
                <w:szCs w:val="21"/>
                <w:color w:val="auto"/>
              </w:rPr>
            </w:pPr>
          </w:p>
        </w:tc>
      </w:tr>
      <w:tr>
        <w:trPr>
          <w:trHeight w:val="190"/>
        </w:trPr>
        <w:tc>
          <w:tcPr>
            <w:tcW w:w="7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Income</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122,377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32,580</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91,382</w:t>
            </w:r>
          </w:p>
        </w:tc>
        <w:tc>
          <w:tcPr>
            <w:tcW w:w="2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7140575" cy="199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19970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660" w:right="20" w:hanging="328"/>
        <w:spacing w:after="0" w:line="272"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December 31, 2024, includes one-time write-off of internal use software in the amount of $3,038. See Note 9 of Notes to the Consolidated Financial Statements. The year ended December 31, 2024 included $2,832 amortization expense of the non-cash based Commercial agreement asset. See Note 1b of Notes to the Unaudited Consolidated Interim Financial Statements.</w:t>
      </w:r>
    </w:p>
    <w:p>
      <w:pPr>
        <w:spacing w:after="0" w:line="7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the Company’s cost restructuring program implemented in September 2022.</w:t>
      </w:r>
    </w:p>
    <w:p>
      <w:pPr>
        <w:spacing w:after="0" w:line="11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due to holdback of Ordinary shares issuable under compensatory arrangements relating to Connexity acquisition.</w:t>
      </w:r>
    </w:p>
    <w:p>
      <w:pPr>
        <w:spacing w:after="0" w:line="113" w:lineRule="exact"/>
        <w:rPr>
          <w:rFonts w:ascii="Times New Roman" w:cs="Times New Roman" w:eastAsia="Times New Roman" w:hAnsi="Times New Roman"/>
          <w:sz w:val="16"/>
          <w:szCs w:val="16"/>
          <w:color w:val="auto"/>
        </w:rPr>
      </w:pPr>
    </w:p>
    <w:p>
      <w:pPr>
        <w:jc w:val="both"/>
        <w:ind w:left="660" w:right="20" w:hanging="328"/>
        <w:spacing w:after="0" w:line="272"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 ended December 31, 2024, includes $1,830 related to excess termination expenses from a headcount reduction due to the launch of Realize, $1,664 in professional and legal expenses related to a litigation matter in which the Company is the plaintiff and is not related to our ongoing business operations and certain one-time professional service costs. The year ended December 31, 2023, includes one-time costs related to the Commercial agreement.</w:t>
      </w:r>
    </w:p>
    <w:p>
      <w:pPr>
        <w:spacing w:after="0" w:line="76" w:lineRule="exact"/>
        <w:rPr>
          <w:rFonts w:ascii="Times New Roman" w:cs="Times New Roman" w:eastAsia="Times New Roman" w:hAnsi="Times New Roman"/>
          <w:sz w:val="16"/>
          <w:szCs w:val="16"/>
          <w:color w:val="auto"/>
        </w:rPr>
      </w:pPr>
    </w:p>
    <w:p>
      <w:pPr>
        <w:ind w:left="660" w:right="40" w:hanging="328"/>
        <w:spacing w:after="0" w:line="280"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foreign currency exchange rate gains or losses related to the remeasurement of monetary assets and liabilities to the Company’s functional currency using exchange rates in effect at the end of the reporting period.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Free Cash Flow</w:t>
      </w:r>
    </w:p>
    <w:p>
      <w:pPr>
        <w:spacing w:after="0" w:line="18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We calculate Free Cash Flow as Net cash flow provided by operating activities minus purchases of property, plant and equipment, including capitalized internal-use software. We expect our Free Cash Flow to fluctuate in future periods as we invest in our business to support our plans for growth.</w:t>
      </w:r>
    </w:p>
    <w:p>
      <w:pPr>
        <w:spacing w:after="0" w:line="70"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Limitations on the use of Free Cash Flow include the following:</w:t>
      </w:r>
    </w:p>
    <w:p>
      <w:pPr>
        <w:spacing w:after="0" w:line="113" w:lineRule="exact"/>
        <w:rPr>
          <w:sz w:val="20"/>
          <w:szCs w:val="20"/>
          <w:color w:val="auto"/>
        </w:rPr>
      </w:pPr>
    </w:p>
    <w:p>
      <w:pPr>
        <w:ind w:left="660" w:right="20" w:hanging="328"/>
        <w:spacing w:after="0" w:line="28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not be inferred that the entire Free Cash Flow amount is available for discretionary expenditures. For example, cash is still required to satisfy other working capital needs, including short-term investment policy, restricted cash, repayment of loan.</w:t>
      </w:r>
    </w:p>
    <w:p>
      <w:pPr>
        <w:spacing w:after="0" w:line="70"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has limitations as an analytical tool, and it should not be considered in isolation or as a substitute for analysis of other GAAP financial measures, such as net cash provided by operating activities; and</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metric does not reflect our future contractual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provides a reconciliation of net cash provided by operating activities to Free Cash Flow: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184,331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84,373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53,484</w:t>
            </w:r>
          </w:p>
        </w:tc>
        <w:tc>
          <w:tcPr>
            <w:tcW w:w="20" w:type="dxa"/>
            <w:vAlign w:val="bottom"/>
          </w:tcPr>
          <w:p>
            <w:pPr>
              <w:spacing w:after="0"/>
              <w:rPr>
                <w:sz w:val="20"/>
                <w:szCs w:val="20"/>
                <w:color w:val="auto"/>
              </w:rPr>
            </w:pPr>
          </w:p>
        </w:tc>
      </w:tr>
      <w:tr>
        <w:trPr>
          <w:trHeight w:val="227"/>
        </w:trPr>
        <w:tc>
          <w:tcPr>
            <w:tcW w:w="6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Purchase of property and equipment, including capitalized internal-use software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(35,155)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w w:val="98"/>
              </w:rPr>
              <w:t>(32,133)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rPr>
              <w:t>(34,914)</w:t>
            </w:r>
          </w:p>
        </w:tc>
        <w:tc>
          <w:tcPr>
            <w:tcW w:w="20" w:type="dxa"/>
            <w:vAlign w:val="bottom"/>
            <w:tcBorders>
              <w:bottom w:val="single" w:sz="8" w:color="auto"/>
            </w:tcBorders>
          </w:tcPr>
          <w:p>
            <w:pPr>
              <w:spacing w:after="0"/>
              <w:rPr>
                <w:sz w:val="19"/>
                <w:szCs w:val="19"/>
                <w:color w:val="auto"/>
              </w:rPr>
            </w:pPr>
          </w:p>
        </w:tc>
      </w:tr>
      <w:tr>
        <w:trPr>
          <w:trHeight w:val="210"/>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149,176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52,240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18,570</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4057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4457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-736600</wp:posOffset>
            </wp:positionV>
            <wp:extent cx="825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-736600</wp:posOffset>
            </wp:positionV>
            <wp:extent cx="889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40575"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69"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cost of revenue primarily includes traffic acquisition cost and also includes other cost of revenue.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Traffic acquisition cost</w:t>
      </w:r>
    </w:p>
    <w:p>
      <w:pPr>
        <w:spacing w:after="0" w:line="183" w:lineRule="exact"/>
        <w:rPr>
          <w:sz w:val="20"/>
          <w:szCs w:val="20"/>
          <w:color w:val="auto"/>
        </w:rPr>
      </w:pPr>
    </w:p>
    <w:p>
      <w:pPr>
        <w:jc w:val="both"/>
        <w:ind w:right="20" w:firstLine="243"/>
        <w:spacing w:after="0" w:line="257" w:lineRule="auto"/>
        <w:rPr>
          <w:sz w:val="20"/>
          <w:szCs w:val="20"/>
          <w:color w:val="auto"/>
        </w:rPr>
      </w:pPr>
      <w:r>
        <w:rPr>
          <w:rFonts w:ascii="Times New Roman" w:cs="Times New Roman" w:eastAsia="Times New Roman" w:hAnsi="Times New Roman"/>
          <w:sz w:val="16"/>
          <w:szCs w:val="16"/>
          <w:color w:val="auto"/>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and the amortization of the non-cash based Commercial agreement asset (see Note 1b of Notes to the Consolidated Financial Statements in this Annual Report), which are amortized over the shorter of respective contractual terms and the economic benefit period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cost of revenues</w:t>
      </w:r>
    </w:p>
    <w:p>
      <w:pPr>
        <w:spacing w:after="0" w:line="183"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169"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83"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expenses to remain relatively flat in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Finance income (expenses), net</w:t>
      </w:r>
    </w:p>
    <w:p>
      <w:pPr>
        <w:spacing w:after="0" w:line="18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Finance income (expenses), net, primarily consists of interest income (expense) including amortization of loan and credit facility issuance costs, Warrants liability fair value adjustments, gains (losses) from foreign exchange fluctuations and bank fees.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(expenses)</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statutory corporate tax rate in Israel was 23% for 2024, 2023 and 2022, although we are entitled to certain tax benefits under Israeli law. See Note 17 of Notes to the Consolidated Financial Statements in this Annual Report.</w:t>
      </w:r>
    </w:p>
    <w:p>
      <w:pPr>
        <w:spacing w:after="0" w:line="57"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Pursuant to the Israeli Law for Encouragement of Capital Investments-1959 (the “Investments Law”) and its various amendments, under which we have been granted “Beneficiary Enterprise” status, we were granted a tax exemption status for the years 2018 and 2019.</w:t>
      </w:r>
    </w:p>
    <w:p>
      <w:pPr>
        <w:spacing w:after="0" w:line="4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72"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In the fourth quarter of 2021, the Company utilized a special program initiated by the Israeli Tax Authority allowing Israeli companies to voluntarily release tax-exempted earnings at a reduced tax rate which resulted in GAAP tax expense of $4.4 million.</w:t>
      </w:r>
    </w:p>
    <w:p>
      <w:pPr>
        <w:spacing w:after="0" w:line="4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As of December 31, 2024, we have an accumulated tax loss carry-forward of approximately $23.8 million in Israel and $1.4 million federal tax in the U.S. Those tax losses can be offset indefinitely. Non-Israeli subsidiaries are taxed according to the tax laws in their respective jurisdictions.</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following section discusses our financial condition and results of operations for the year ended December 31, 2024 compared to the year ended December 31, 2023. For a discussion of our financial condition and results of operations for the year ended December 31, 2023 compared to the year ended December 31, 2021, refer to Part II, Item 7, “Management’s Discussion and Analysis of Financial Condition and Results of Operations”, in our Annual Report of Form 10-K for the fiscal year ended December 31, 2023, filed with the Securities and Exchange Commission on March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provides consolidated statements of loss data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Pr>
          <w:p>
            <w:pPr>
              <w:spacing w:after="0"/>
              <w:rPr>
                <w:sz w:val="16"/>
                <w:szCs w:val="16"/>
                <w:color w:val="auto"/>
              </w:rPr>
            </w:pPr>
          </w:p>
        </w:tc>
        <w:tc>
          <w:tcPr>
            <w:tcW w:w="17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vMerge w:val="restart"/>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4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1,766,220</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1,439,685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326,535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Traffic acquisition cost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1,101,556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903,866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197,690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cost of revenues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1,232,002</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1,014,127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217,875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534,218</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425,558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108,660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268,526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97,337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508,301</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489,295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income (expenses), net</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 expenses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221.8 %</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-2725420</wp:posOffset>
            </wp:positionV>
            <wp:extent cx="7140575" cy="2726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27260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Years Ended December 31, 2024 and 2023</w:t>
      </w:r>
    </w:p>
    <w:p>
      <w:pPr>
        <w:spacing w:after="0" w:line="169"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6"/>
          <w:szCs w:val="16"/>
          <w:color w:val="auto"/>
        </w:rPr>
        <w:t>Revenues increased by $326.5 million, or 22.7%, for the year ended December 31, 2024 compared to the year ended December 31, 2023. New digital property partners contributed approximately $291.7 million of new Revenues on a 12-month run rate basis calculated based on their first full month on the network, a majority of which is related to Yahoo supply. Existing digital property partners, including the growth of new digital property partners (beyond the revenue contribution determined based on the run-rate revenue generated by the partners when they are first on-boarded) increased by approximately $34.8 million. This increase was primarily driven by continued growth on Yahoo supply partially mitigated by lower advertiser rates on existing digital property partners due to spend being served on new Yahoo supply added to the network.</w:t>
      </w:r>
    </w:p>
    <w:p>
      <w:pPr>
        <w:spacing w:after="0" w:line="282" w:lineRule="exact"/>
        <w:rPr>
          <w:sz w:val="20"/>
          <w:szCs w:val="20"/>
          <w:color w:val="auto"/>
        </w:rPr>
      </w:pPr>
    </w:p>
    <w:p>
      <w:pPr>
        <w:jc w:val="both"/>
        <w:ind w:right="20" w:firstLine="243"/>
        <w:spacing w:after="0" w:line="259" w:lineRule="auto"/>
        <w:rPr>
          <w:sz w:val="20"/>
          <w:szCs w:val="20"/>
          <w:color w:val="auto"/>
        </w:rPr>
      </w:pPr>
      <w:r>
        <w:rPr>
          <w:rFonts w:ascii="Times New Roman" w:cs="Times New Roman" w:eastAsia="Times New Roman" w:hAnsi="Times New Roman"/>
          <w:sz w:val="16"/>
          <w:szCs w:val="16"/>
          <w:color w:val="auto"/>
        </w:rPr>
        <w:t>Cost of revenues increased by $217.9 million, or 21.5%, for the year ended December 31, 2024 compared to the year ended December 31, 2023. Most of the increase in Cost of revenues was driven by Traffic acquisition cost, which increased by $197.7 million, or 21.9%, for the year ended December 31, 2024 compared to the year ended December 31, 2023. The cost of guarantees (total payments due under guarantee arrangements in excess of amounts the Company would otherwise be required to pay under revenue sharing arrangements) as a percentage of traffic acquisition costs were approximately 18% and 19% for the years ended December 31, 2024 and December 31, 2023, respectively.</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Gross profit increased by $108.7 million, or 25.5%, for the year ended December 31, 2024 compared to the year ended December 31, 2023.</w:t>
      </w:r>
    </w:p>
    <w:p>
      <w:pPr>
        <w:spacing w:after="0" w:line="113"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Ex-TAC Gross Profit, a non-GAAP measure, increased by $131.7 million, or 24.6%, for the year ended December 31, 2024 compared to the year ended December 31, 2023, primarily due to revenue from advertisers transferred from Yahoo, as well as growth in spend from existing Taboola advertisers.</w:t>
      </w:r>
    </w:p>
    <w:p>
      <w:pPr>
        <w:spacing w:after="0" w:line="43"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Other cost of revenues increased by $20.2 million, or 18.3%, for the year ended December 31, 2024 compared to the year ended December 31, 2023, mainly due to a $13.9 million increase in data, content, communication and IT related expenses, $3.1 million increase in depreciation expenses related to new product innovation and $2.7 million increase in digital service tax expenses.</w:t>
      </w:r>
    </w:p>
    <w:p>
      <w:pPr>
        <w:spacing w:after="0" w:line="63"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Research and development expenses increased by $6.2 million, or 4.5%, for the year ended December 31, 2024 compared to the year ended December 31, 2023, primarily attributable to an increase of $4.4 million in employee and subcontractor headcount and related costs, including share-based compensation expenses, reflecting our continued effort to enhance our product offerings and a $1.7 million increase in depreciation expenses.</w:t>
      </w:r>
    </w:p>
    <w:p>
      <w:pPr>
        <w:spacing w:after="0" w:line="63"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Sales and marketing expenses increased by $22.2 million, or 9.0%, for the year ended December 31, 2024 compared to the year ended December 31, 2023, primarily attributed to $24.3 million increase in employee and subcontractor headcount and related costs, including share-based compensation expenses, supporting our growth partially offset by a decrease in amortization expenses of $3.2 million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decreased by $9.4 million, or 8.8%, for the year ended December 31, 2024 compared to the year ended December 31, 2023, primarily attributed to a decrease of $2.3 million in insurance expenses in connection with the Yahoo partnership, a decrease of $2.4 million in credit losses expenses and a decrease of $6.1 million in employee and subcontractors related costs, including share-based compensation expenses, and, partially offset by an increase of $1.0 million in depreciation expenses.</w:t>
      </w:r>
    </w:p>
    <w:p>
      <w:pPr>
        <w:spacing w:after="0" w:line="8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Finance expenses, net decreased by $0.8 million for the year ended December 31, 2024 compared to the year ended December 31, 2023, mainly attributable to $2.1 million Warrants liability revaluation and $5.3 million decrease in interest expense due to the voluntary repayments of a portion of the long-term loan in 2024 and lower average interest rates, partially offset by an increase of $6.6 million in Foreign currency exchange rate gains, net.</w:t>
      </w:r>
    </w:p>
    <w:p>
      <w:pPr>
        <w:spacing w:after="0" w:line="84"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Income (loss) before income taxes increased by $90.5 million, for the year ended December 31, 2024 compared to the year ended December 31, 2023, as a result of the factors described above.</w:t>
      </w:r>
    </w:p>
    <w:p>
      <w:pPr>
        <w:spacing w:after="0" w:line="70"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Tax expense increased by $12.2 million, or 221.8%, for the year ended December 31, 2024 compared to the year ended December 31, 2023. This increase was primarily driven by higher taxable income overall as well as adjustments in deferred tax expenses related to the U.S. entity.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We generated cash from operations for the years ended December 31, 2024, 2023, and 2022 of $184.3 million, $84.4 million, and $53.5 million, respectively.</w:t>
      </w:r>
    </w:p>
    <w:p>
      <w:pPr>
        <w:spacing w:after="0" w:line="7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spacing w:after="0" w:line="85"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As of December 31, 2024 and 2023, we had $230.4 million and $181.8 million of cash, cash equivalents and short-term investments, respectively, and $1.7 million and $5.7 million in short and long-term restricted deposits, respectively, used, mainly, as security for our lease commitments. Cash and cash equivalents consist of cash in banks and highly liquid marketable securities investments and money market account and funds, with an original maturity of three months or less at the date of purchase and are readily convertible to known amounts of cash. Short-term investments generally consist of U.S. government treasuries, commercial paper, corporate debt securities, and U.S. agency bonds.</w:t>
      </w:r>
    </w:p>
    <w:p>
      <w:pPr>
        <w:spacing w:after="0" w:line="8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spacing w:after="0" w:line="87"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On August 9, 2022 we entered into an incremental revolving credit facility amendment to our existing senior secured credit agreement (the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December 31, 2024, we had no outstanding borrowings under the Revolving Facility.</w:t>
      </w:r>
    </w:p>
    <w:p>
      <w:pPr>
        <w:spacing w:after="0" w:line="7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the years ended December 31, 2024 and 2023 we voluntarily prepaid the principal amount of debt outstanding under our long-term loan of $30.0 million and $79.3 million, respectively. We will consider the repurchase and retirement of additional debt based on, among other factors, our working capital and capital expenditures needs, liquidity position and possible alternative uses of cash.</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As of December 31, 2024, the outstanding principal amount related to our long-term loan, following the voluntary prepayments, was $122.7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firstLine="243"/>
        <w:spacing w:after="0" w:line="260" w:lineRule="auto"/>
        <w:rPr>
          <w:sz w:val="20"/>
          <w:szCs w:val="20"/>
          <w:color w:val="auto"/>
        </w:rPr>
      </w:pPr>
      <w:r>
        <w:rPr>
          <w:rFonts w:ascii="Times New Roman" w:cs="Times New Roman" w:eastAsia="Times New Roman" w:hAnsi="Times New Roman"/>
          <w:sz w:val="16"/>
          <w:szCs w:val="16"/>
          <w:color w:val="auto"/>
        </w:rPr>
        <w:t>In May 2023, our Board authorized a share buyback program for the repurchase of up to $40.0 million of the Company’s outstanding Shares, with no expiration date (the “Buyback Program”). In November 2023, our Board authorized up to an additional $40.0 million of buybacks under the Buyback Program and in February 2024, the Board authorized up to $100.0 million for use under the Buyback Program, including any remaining authority from the November 2023 Board authorization.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may be discontinued, modified or suspended at any time.</w:t>
      </w:r>
    </w:p>
    <w:p>
      <w:pPr>
        <w:spacing w:after="0" w:line="73" w:lineRule="exact"/>
        <w:rPr>
          <w:sz w:val="20"/>
          <w:szCs w:val="20"/>
          <w:color w:val="auto"/>
        </w:rPr>
      </w:pPr>
    </w:p>
    <w:p>
      <w:pPr>
        <w:jc w:val="both"/>
        <w:ind w:right="40" w:firstLine="243"/>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2024, we repurchased 18.3 million Shares, consisting of 17.3 million Ordinary shares, and 1.0 million Non-voting Ordinary shares (see Note 18) at an average price of $4.06 per share (excluding broker and transaction fees of $0.4 million). As of December 31, 2024 the Company had remaining authorization to repurchase shares up to an aggregate amount of $45.6 million.</w:t>
      </w:r>
    </w:p>
    <w:p>
      <w:pPr>
        <w:spacing w:after="0" w:line="76"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In February 26, 2025, our Board authorized up to an additional $200.0 million for use under the Buyback Program, subject to satisfying required conditions under the Israeli Companies Law and the Companies Regulations.</w:t>
      </w:r>
    </w:p>
    <w:p>
      <w:pPr>
        <w:spacing w:after="0" w:line="57"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See Part II, Item 5. Market for Registrant’s Common Equity, Related Stockholder Matters and Issuer Purchases of Equity Securities and Note 15 of Notes to the Consolidated Financial Statements in this Annual Report.</w:t>
      </w:r>
    </w:p>
    <w:p>
      <w:pPr>
        <w:spacing w:after="0" w:line="43" w:lineRule="exact"/>
        <w:rPr>
          <w:sz w:val="20"/>
          <w:szCs w:val="20"/>
          <w:color w:val="auto"/>
        </w:rPr>
      </w:pPr>
    </w:p>
    <w:p>
      <w:pPr>
        <w:jc w:val="both"/>
        <w:ind w:right="40" w:firstLine="243"/>
        <w:spacing w:after="0" w:line="280" w:lineRule="auto"/>
        <w:rPr>
          <w:sz w:val="20"/>
          <w:szCs w:val="20"/>
          <w:color w:val="auto"/>
        </w:rPr>
      </w:pPr>
      <w:r>
        <w:rPr>
          <w:rFonts w:ascii="Times New Roman" w:cs="Times New Roman" w:eastAsia="Times New Roman" w:hAnsi="Times New Roman"/>
          <w:sz w:val="16"/>
          <w:szCs w:val="16"/>
          <w:color w:val="auto"/>
        </w:rPr>
        <w:t>Our future capital requirements and the adequacy of available funds will depend on many factors, including the risks and uncertainties set forth under Part I, Item 1A, “Risk Factors.”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6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indicated: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66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 Data:</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(139,561)</w:t>
            </w:r>
          </w:p>
        </w:tc>
        <w:tc>
          <w:tcPr>
            <w:tcW w:w="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(62,873)</w:t>
            </w:r>
          </w:p>
        </w:tc>
        <w:tc>
          <w:tcPr>
            <w:tcW w:w="20" w:type="dxa"/>
            <w:vAlign w:val="bottom"/>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Exchange rate differences on balances of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2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-719455</wp:posOffset>
            </wp:positionV>
            <wp:extent cx="290576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576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-1148080</wp:posOffset>
            </wp:positionV>
            <wp:extent cx="889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-1148080</wp:posOffset>
            </wp:positionV>
            <wp:extent cx="825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-1148080</wp:posOffset>
            </wp:positionV>
            <wp:extent cx="939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-1388110</wp:posOffset>
            </wp:positionV>
            <wp:extent cx="8890"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-1388110</wp:posOffset>
            </wp:positionV>
            <wp:extent cx="8255" cy="394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3943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25"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Net cash provided by operating activities of $184.3 million was related to our net loss of $(3.8) million adjusted by positive adjustments of non-cash charges of $173.6 million and net cash inflows of $14.5 million provided by changes in working capital.</w:t>
      </w:r>
    </w:p>
    <w:p>
      <w:pPr>
        <w:spacing w:after="0" w:line="70" w:lineRule="exact"/>
        <w:rPr>
          <w:sz w:val="20"/>
          <w:szCs w:val="20"/>
          <w:color w:val="auto"/>
        </w:rPr>
      </w:pPr>
    </w:p>
    <w:p>
      <w:pPr>
        <w:jc w:val="both"/>
        <w:ind w:right="40" w:firstLine="243"/>
        <w:spacing w:after="0" w:line="280" w:lineRule="auto"/>
        <w:rPr>
          <w:sz w:val="20"/>
          <w:szCs w:val="20"/>
          <w:color w:val="auto"/>
        </w:rPr>
      </w:pPr>
      <w:r>
        <w:rPr>
          <w:rFonts w:ascii="Times New Roman" w:cs="Times New Roman" w:eastAsia="Times New Roman" w:hAnsi="Times New Roman"/>
          <w:sz w:val="16"/>
          <w:szCs w:val="16"/>
          <w:color w:val="auto"/>
        </w:rPr>
        <w:t>The $173.6 million of non-cash charges primarily consisted of depreciation and amortization of $100.9 million and share-based compensation expense related to vested equity awards of $67.1 million, partially offset by $2.8 million of Warrants liability devaluation.</w:t>
      </w:r>
    </w:p>
    <w:p>
      <w:pPr>
        <w:spacing w:after="0" w:line="70" w:lineRule="exact"/>
        <w:rPr>
          <w:sz w:val="20"/>
          <w:szCs w:val="20"/>
          <w:color w:val="auto"/>
        </w:rPr>
      </w:pPr>
    </w:p>
    <w:p>
      <w:pPr>
        <w:jc w:val="both"/>
        <w:ind w:right="20" w:firstLine="243"/>
        <w:spacing w:after="0" w:line="263" w:lineRule="auto"/>
        <w:rPr>
          <w:sz w:val="20"/>
          <w:szCs w:val="20"/>
          <w:color w:val="auto"/>
        </w:rPr>
      </w:pPr>
      <w:r>
        <w:rPr>
          <w:rFonts w:ascii="Times New Roman" w:cs="Times New Roman" w:eastAsia="Times New Roman" w:hAnsi="Times New Roman"/>
          <w:sz w:val="16"/>
          <w:szCs w:val="16"/>
          <w:color w:val="auto"/>
        </w:rPr>
        <w:t>The $14.5 million increase in cash resulting from changes in working capital primarily consisted of a $25.9 million increase in trade payables, $35.6 million increase in accrued expenses and other current liabilities and other long-term liabilities and $28.7 million decrease in prepaid expenses and other current assets and long-term prepaid expenses, partially offset by a $63.8 million increase in trade receivables, net and $9.3 million decrease in deferred taxes, net.</w:t>
      </w:r>
    </w:p>
    <w:p>
      <w:pPr>
        <w:spacing w:after="0" w:line="84"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2023 Net cash provided by operating activities of $84.4 million was related to our net loss of $82.0 million adjusted by positive adjustments of non-cash charges of $161.7 million and net cash outflows of $4.7 million provided by changes in working capital.</w:t>
      </w:r>
    </w:p>
    <w:p>
      <w:pPr>
        <w:spacing w:after="0" w:line="70" w:lineRule="exact"/>
        <w:rPr>
          <w:sz w:val="20"/>
          <w:szCs w:val="20"/>
          <w:color w:val="auto"/>
        </w:rPr>
      </w:pPr>
    </w:p>
    <w:p>
      <w:pPr>
        <w:jc w:val="both"/>
        <w:ind w:right="40" w:firstLine="243"/>
        <w:spacing w:after="0" w:line="280" w:lineRule="auto"/>
        <w:rPr>
          <w:sz w:val="20"/>
          <w:szCs w:val="20"/>
          <w:color w:val="auto"/>
        </w:rPr>
      </w:pPr>
      <w:r>
        <w:rPr>
          <w:rFonts w:ascii="Times New Roman" w:cs="Times New Roman" w:eastAsia="Times New Roman" w:hAnsi="Times New Roman"/>
          <w:sz w:val="16"/>
          <w:szCs w:val="16"/>
          <w:color w:val="auto"/>
        </w:rPr>
        <w:t>The $161.7 million of non-cash charges primarily consisted of depreciation and amortization of $96.5 million and share-based compensation expense related to vested equity awards of $64.3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4" w:right="31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$4.7 million increase in cash resulting from changes in working capital primarily consisted of a $36.6 million increase in trade payables, $25.2 million increase in accrued expenses and other current liabilities and other long-term liabilities and $5.9 million decrease in prepaid expenses and other current assets and long-term prepaid expenses, partially offset by a $49.6 million increase in trade receivables, net and $15.5 million decrease in deferred taxes, net.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3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Net cash used by investing activities was $30.1 million, primarily consisting of $35.2 million purchase of property and equipment, including capitalized internal-use software , partially offset by $5.8 million proceeds from maturities of short-term investments.</w:t>
      </w:r>
    </w:p>
    <w:p>
      <w:pPr>
        <w:spacing w:after="0" w:line="5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2023, Net cash provided by investing activities was $59.6 million, primarily consisting of $114.5 million proceeds from maturities of short-term investments, partially offset by $32.1 million purchase of property and equipment, including capitalized internal-use software and $22.0 million purchase of short-term investments..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2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Net cash used in financing activities was $100.0 million, primarily consisting of $73.6 million repurchase of Shares and a $30.0 million voluntary prepayment of our long-term loan, partially offset by $7.6 million received from exercised options.</w:t>
      </w:r>
    </w:p>
    <w:p>
      <w:pPr>
        <w:spacing w:after="0" w:line="70"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2023, Net cash used in financing activities was $134.6 million, primarily consisting of $82.3 million in repayments of our long-term loan and $55.5 million in repurchases of Ordinary shares, partially offset by $7.0 million received from exercised options.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following table discloses aggregate information about material contractual obligations and the periods in which they are due as of December 31, 2024. Future events could cause actual payments to differ from these estimates.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Obligations by Period</w:t>
            </w: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3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10"/>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Obligations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 (1)</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24,159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19,669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8,993</w:t>
            </w:r>
          </w:p>
        </w:tc>
      </w:tr>
      <w:tr>
        <w:trPr>
          <w:trHeight w:val="21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Non-cancellable purchase obligations (2)</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35,542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59,701</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27,514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16,678</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129,435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-573405</wp:posOffset>
            </wp:positionV>
            <wp:extent cx="45777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14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future minimum lease commitments under non-cancellable operating lease agreements.</w:t>
      </w:r>
    </w:p>
    <w:p>
      <w:pPr>
        <w:spacing w:after="0" w:line="1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non-cancellable amounts for contractual commitments in respect of software and information technology.</w:t>
      </w:r>
    </w:p>
    <w:p>
      <w:pPr>
        <w:spacing w:after="0" w:line="113"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December 31, 2024. As of December 31, 2024, we have a provision related to unrecognized tax benefit liabilities totaling $10.2 million and other provisions related to severance pay and contribution plans, which have been excluded from the table above as we do not believe it is practicable to make reliable estimates of the periods in which payments for these obligations will be made.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Commercial Commitments</w:t>
      </w:r>
    </w:p>
    <w:p>
      <w:pPr>
        <w:spacing w:after="0" w:line="1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6"/>
          <w:szCs w:val="16"/>
          <w:color w:val="auto"/>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8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See the section titled “Summary of Significant Accounting Policies” in Note 2 of Notes to the Consolidated Financial Statements in this Annual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69"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Our discussion and analysis of financial condition results of operations are based upon our consolidated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66"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critical accounting policies are those that materially affect our consolidated financial statements and involve difficult, subjective or complex judgments by management. A thorough understanding of these critical accounting policies is essential when reviewing our consolidated financial statements. We believe that the critical accounting policies listed below involve the most difficult management decisions because they require the use of significant estimates and assumptions as described above.</w:t>
      </w:r>
    </w:p>
    <w:p>
      <w:pPr>
        <w:spacing w:after="0" w:line="6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Please see Note 2 of Notes to the Consolidated Financial Statements included in this Annual Report for a summary of significant accounting policies and the effect on our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25"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We recognize revenues when we transfer control of promised services directly to our customers, which we collectively refer to as our Advertisers, in an amount that reflects the consideration to which we expect to be entitled to in exchange for those services.</w:t>
      </w:r>
    </w:p>
    <w:p>
      <w:pPr>
        <w:spacing w:after="0" w:line="4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determination of whether revenue should be reported gross of amounts billed to Advertisers (gross basis) or net of payments to digital properties partners (net basis) requires significant judgment and is based on management assessment of whether we are acting as the principal or an agent in the transaction. In this assessment, we consider if we obtain control of the specified goods or services before they are transferred to the customer, as well as other indicators such as the party primarily responsible for fulfillment, inventory risk, and discretion in establishing price. The assessment of whether we are considered the principal or the agent in a transaction could impact our revenue and cost of revenue recognized on the consolidated statements of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Internal-Use Software Development Costs</w:t>
      </w:r>
    </w:p>
    <w:p>
      <w:pPr>
        <w:spacing w:after="0" w:line="225"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Costs incurred to develop internal-use software are capitalized and amortized over the estimated useful life of the software, which is generally three years. In accordance with ASC 350-40, “Internal-Use Software”, capitalization of costs to develop internal-use software begins when preliminary development efforts are successfully completed, we have committed project funding and it is probable that the project will be completed, and the software will be used as intended. Costs related to the design or maintenance of internal-use software are expensed as incurred.</w:t>
      </w:r>
    </w:p>
    <w:p>
      <w:pPr>
        <w:spacing w:after="0" w:line="66"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We periodically review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spacing w:after="0" w:line="70"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When events or changes in circumstances require, we assess the likelihood of recovering the cost of internal-use software. If the net book value is not expected to be fully recoverable, internal-use software would be impaired to its fair value. Measurement of any impairment loss is based on the excess of the carrying value of the asset over the fair value.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225"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We recognize the cost of share-based awards granted to employees and directors based on the estimated grant-date fair value of the awards. We elected to recognize share-based compensation costs on a straight-line method for awards subject to graded vesting based only on a service condition and the accelerated method for awards that are subject to a performance condition. The compensation expense associated with performance based RSUs is adjusted based on the probability of achieving performance targets. Forfeitures are accounted for as they occur.</w:t>
      </w:r>
    </w:p>
    <w:p>
      <w:pPr>
        <w:spacing w:after="0" w:line="66"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For additional information regarding share-based compensation and the assumptions used for determining the fair value of Share options awards, refer to Note 2 and Note 14 of Notes to the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Accounting for business combinations requires us to make significant estimates and assumptions in determining the fair values of assets acquired and liabilities assumed, especially with respect to intangible assets. Critical estimates in valuing the acquired intangible assets include, but are not limited to, the appropriate valuation methodology and the prospective financial information underlying the valuation, e.g., projected revenues, revenues growth rates, operating margins including the appropriate weighted-average cost of capital. Although we believe the assumptions and estimates we have made in the past have been reasonable and appropriate, they are based, in part, on historical experience and information obtained from management of the acquired companies and are inherently uncertain.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3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Goodwill represents the excess of the aggregate fair value of the consideration transferred in a business combination over the fair value of the assets acquired, net of liabilities assumed. We determine the estimated fair values of assets acquired and liabilities assumed after review and consideration of relevant information including discounted cash flows, quoted market prices, and estimates made by management.</w:t>
      </w:r>
    </w:p>
    <w:p>
      <w:pPr>
        <w:spacing w:after="0" w:line="6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Goodwill is not amortized, but is subject to impairment testing. We test goodwill for impairment as of December 31 of each year, or more frequently if events or changes in circumstances indicate that this asset may be impaired.</w:t>
      </w:r>
    </w:p>
    <w:p>
      <w:pPr>
        <w:spacing w:after="0" w:line="7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6"/>
          <w:szCs w:val="16"/>
          <w:color w:val="auto"/>
        </w:rPr>
        <w:t>For the purposes of impairment testing, we have determined that we have one reporting unit. When performing the annual goodwill impairment testing, we either conduct a qualitative assessment to determine whether it is more likely than not that the asset is impaired, or we elect to bypass this qualitative assessment and perform a quantitative test for impairment. Under the qualitative assessment, we consider both positive and negative factors, including macroeconomic conditions, industry events, financial performance and other changes, and make a determination of whether it is more likely than not that the fair value of goodwill is less than its carrying amount. If, after assessing the qualitative factors, we determine it is more likely than not the asset is impaired, we then perform a quantitative test in which the estimated fair value of the reporting unit is compared with its carrying amount, including goodwill. If a quantitative analysis is necessary, we compare the fair value of our reporting unit to our carrying value. We determine the estimated fair value based on a different approach including income approach (discounted cash flows) and market approach (EV to EBITDA). Market approach and income approach are common measures used to value businesses in our industry. If the estimated fair value exceeds carrying value, goodwill is considered not to be impaired and no additional steps are necessary. However, if the carrying amount exceeds estimated fair value, an impairment loss is recognized in an amount equal to the excess, limited to the amount of goodwill allocated to the reporting unit.</w:t>
      </w:r>
    </w:p>
    <w:p>
      <w:pPr>
        <w:spacing w:after="0" w:line="8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revenues volumes deteriorate in the near future, discount rates increase significantly, or we do not meet our projected performance, we could have impairments to record in the next twelve months, and such impairments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25"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We assess the recoverability of our long-lived assets, whenever events or changes in circumstances indicate that their carrying value may not be recoverable, in accordance with ASC 360, “Property, Plant and Equipment”.</w:t>
      </w:r>
    </w:p>
    <w:p>
      <w:pPr>
        <w:spacing w:after="0" w:line="4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Recoverability of a long-lived asset is measured by comparing the carrying value of the asset group to the projected undiscounted cash flows over their remaining lives. If the carrying value exceeds the projected undiscounted cash flows, an impairment loss is recognized. Impairment equals the amount by which the carrying value exceeds estimated fair value. An impairment loss is charged to consolidated statements of income (loss) in the period in which management determines such impairment.</w:t>
      </w:r>
    </w:p>
    <w:p>
      <w:pPr>
        <w:spacing w:after="0" w:line="63"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The preparation of cash flow projections for use in any impairment indicators test or fair value analysis requires management to make critical estimates, judgments and assumptions with regards to estimated future cash flows, as they are, by their nature, subjective and actual results may differ materially from such estimates. Cash flow estimates are unpredictable and inherently uncertain, since they are based on the current regulatory, political and economic climates, recent operating information and projections. Such estimates could be negatively impacted by changes in federal, state or local regulations, economic downturns, competition, events affecting various forms of travel and access to our properties, and other factors. If our estimates of future cash flows are not met or if there are changes in significant assumptions and judgments used in the estimation process, we may have to record impairment charges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6"/>
          <w:szCs w:val="16"/>
          <w:color w:val="auto"/>
        </w:rPr>
        <w:t>We are subject to income taxes in Israel, the U.S., and other foreign jurisdictions. Significant judgment is required in determining the provision for income taxes and income tax assets and liabilities, including evaluating uncertainties in the application of accounting principles and complex tax laws. We recognize and measure benefits for uncertain tax positions using a two-step approach. The first step is to determine whether it is more likely than not that a tax position will be sustained upon examination, including the resolution of any related appeals or litigation based on the technical merits of that position. The second step is to measure a tax position that meets the more-likely-than-not threshold to determine the amount of benefit to be recognized in the financial statements. We evaluate uncertain tax positions on a quarterly basis, based upon a number of factors, including changes in facts or circumstances, changes in tax law, correspondence with tax authorities during the course of audits, and effective settlement of audit issues.</w:t>
      </w:r>
    </w:p>
    <w:p>
      <w:pPr>
        <w:spacing w:after="0" w:line="7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Significant judgment is also required in determining any valuation allowance against deferred tax assets. In assessing whether it is more likely than not that some portion or all of the deferred tax assets will not be realized, we consider all available evidence, including projected future taxable income, tax planning strategies, and past operating results. In the event that we change our determination, we will adjust our valuation allowance with a corresponding impact to the provision for income taxes in the period in which such determination is made.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7A:QUANTITATIVE AND QUALITATIVE DISCLOSURES ABOUT MARKET RISK</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Market risk represents the risk of loss that may impact our financial position because of adverse changes in financial market prices and rates. Our market risk exposure is primarily a result of exposure resulting from potential changes in inflation, exchange rates or interest rates. We do not hold financial instruments for trading purposes. We are also subject to the credit risk of counterparties to our various commercial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Risk</w:t>
      </w:r>
    </w:p>
    <w:p>
      <w:pPr>
        <w:spacing w:after="0" w:line="23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A 10% increase or decrease of the NIS, Euro, British pound sterling, or the Japanese yen against the U.S. dollar would have impacted the consolidated statements of loss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Operating income (loss) impact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1"/>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tcBorders>
              <w:bottom w:val="single" w:sz="8" w:color="auto"/>
            </w:tcBorders>
          </w:tcPr>
          <w:p>
            <w:pPr>
              <w:spacing w:after="0"/>
              <w:rPr>
                <w:sz w:val="18"/>
                <w:szCs w:val="18"/>
                <w:color w:val="auto"/>
              </w:rPr>
            </w:pPr>
          </w:p>
        </w:tc>
      </w:tr>
      <w:tr>
        <w:trPr>
          <w:trHeight w:val="209"/>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-10%</w:t>
            </w:r>
          </w:p>
        </w:tc>
      </w:tr>
      <w:tr>
        <w:trPr>
          <w:trHeight w:val="252"/>
        </w:trPr>
        <w:tc>
          <w:tcPr>
            <w:tcW w:w="3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NIS/USD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(5,168)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5,168</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EUR/USD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4,177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(4,177)</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GBP/USD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(4,143)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4,143</w:t>
            </w: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JPY/USD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1,881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(1,881)</w:t>
            </w:r>
          </w:p>
        </w:tc>
      </w:tr>
    </w:tbl>
    <w:p>
      <w:pPr>
        <w:spacing w:after="0" w:line="194"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Interest rate risk is the risk that the value or yield of fixed-income investments may decline if interest rates change.</w:t>
      </w:r>
    </w:p>
    <w:p>
      <w:pPr>
        <w:spacing w:after="0" w:line="127"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As of December 31, 2024, we had $122.7 million of outstanding borrowings under our long-term loan with a variable interest rate. See Liquidity and Capital Resources for information regarding our incremental revolving credit facility amendment.</w:t>
      </w:r>
    </w:p>
    <w:p>
      <w:pPr>
        <w:spacing w:after="0" w:line="57"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Risk</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23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Credit risk with respect to accounts receivable is generally not significant, as we routinely assess the creditworthiness of our partners and Advertisers. Historically, we generally have not experienced any material losses related to receivables from Advertisers during the years ended December 31, 2024, 2023 and 2022. We do not require collateral. Due to these factors, no additional credit risk beyond amounts provided for collection losses is believed by management to be probable in our accounts receivable. In addition, we try to reduce the credit exposures of our accounts receivable by credit limits and credit insurance for many of our customers. However, there can be no assurance that our efforts to identify potential credit risks will be successful.</w:t>
      </w:r>
    </w:p>
    <w:p>
      <w:pPr>
        <w:spacing w:after="0" w:line="74"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Our cash, cash equivalents and restricted deposits are invested in major banks mostly in the United States, United Kingdom and Israel. In the United States and United Kingdom, our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As of December 31, 2024 we maintained cash balances with U.S. and United Kingdom banks that significantly exceed FDIC and FSCS insurance limits and expect we will continue to do so. As of December 31, 2024, we have not experienced credit losses related to these</w:t>
      </w:r>
    </w:p>
    <w:p>
      <w:pPr>
        <w:sectPr>
          <w:pgSz w:w="11900" w:h="16838" w:orient="portrait"/>
          <w:cols w:equalWidth="0" w:num="1">
            <w:col w:w="11240"/>
          </w:cols>
          <w:pgMar w:left="320" w:top="164" w:right="339" w:bottom="0" w:gutter="0" w:footer="0" w:header="0"/>
        </w:sectPr>
      </w:pPr>
    </w:p>
    <w:bookmarkStart w:id="54" w:name="page55"/>
    <w:bookmarkEnd w:id="54"/>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balances. We regularly monitor bank financial strength and other factors in determining where to maintain cash deposits but may not be able to fully mitigate the risk of possible bank failures.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Our short-term investments, which were $3.8 million as of December 31, 2024, are deposited in a major Israeli bank and are not insured or guaranteed.</w:t>
      </w:r>
    </w:p>
    <w:p>
      <w:pPr>
        <w:spacing w:after="0" w:line="11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spacing w:after="0" w:line="63"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We have provided a summary of our significant accounting policies, estimates and judgments in Note 2 of Notes to the Consolidated Financial Statements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374"/>
        </w:trPr>
        <w:tc>
          <w:tcPr>
            <w:tcW w:w="20" w:type="dxa"/>
            <w:vAlign w:val="bottom"/>
          </w:tcPr>
          <w:p>
            <w:pPr>
              <w:spacing w:after="0"/>
              <w:rPr>
                <w:sz w:val="24"/>
                <w:szCs w:val="24"/>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w:t>
            </w:r>
            <w:r>
              <w:rPr>
                <w:rFonts w:ascii="Times New Roman" w:cs="Times New Roman" w:eastAsia="Times New Roman" w:hAnsi="Times New Roman"/>
                <w:sz w:val="16"/>
                <w:szCs w:val="16"/>
                <w:color w:val="000000"/>
              </w:rPr>
              <w:t>(PCAOB ID: 1281)</w:t>
            </w: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38</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16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5160" w:type="dxa"/>
            <w:vAlign w:val="bottom"/>
          </w:tcPr>
          <w:p>
            <w:pPr>
              <w:spacing w:after="0"/>
              <w:rPr>
                <w:sz w:val="24"/>
                <w:szCs w:val="24"/>
                <w:color w:val="auto"/>
              </w:rPr>
            </w:pP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40</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Income (Loss)</w:t>
            </w: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41</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41</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Consolidated Statements of Shareholders’ Equity</w:t>
            </w:r>
          </w:p>
        </w:tc>
        <w:tc>
          <w:tcPr>
            <w:tcW w:w="5160" w:type="dxa"/>
            <w:vAlign w:val="bottom"/>
          </w:tcPr>
          <w:p>
            <w:pPr>
              <w:spacing w:after="0"/>
              <w:rPr>
                <w:sz w:val="24"/>
                <w:szCs w:val="24"/>
                <w:color w:val="auto"/>
              </w:rPr>
            </w:pP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42</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2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5780" w:type="dxa"/>
            <w:vAlign w:val="bottom"/>
            <w:gridSpan w:val="2"/>
          </w:tcPr>
          <w:p>
            <w:pPr>
              <w:spacing w:after="0"/>
              <w:rPr>
                <w:sz w:val="24"/>
                <w:szCs w:val="24"/>
                <w:color w:val="auto"/>
              </w:rPr>
            </w:pP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43</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5900" w:type="dxa"/>
            <w:vAlign w:val="bottom"/>
            <w:gridSpan w:val="3"/>
          </w:tcPr>
          <w:p>
            <w:pPr>
              <w:spacing w:after="0"/>
              <w:rPr>
                <w:sz w:val="24"/>
                <w:szCs w:val="24"/>
                <w:color w:val="auto"/>
              </w:rPr>
            </w:pPr>
          </w:p>
        </w:tc>
        <w:tc>
          <w:tcPr>
            <w:tcW w:w="120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color w:val="0000FF"/>
                <w:w w:val="99"/>
              </w:rPr>
              <w:t>44</w:t>
            </w:r>
          </w:p>
        </w:tc>
        <w:tc>
          <w:tcPr>
            <w:tcW w:w="1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827405</wp:posOffset>
            </wp:positionV>
            <wp:extent cx="488315" cy="557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83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7840" w:type="dxa"/>
        <w:tblCellMar>
          <w:top w:w="0" w:type="dxa"/>
          <w:left w:w="0" w:type="dxa"/>
          <w:bottom w:w="0" w:type="dxa"/>
          <w:right w:w="0" w:type="dxa"/>
        </w:tblCellMar>
      </w:tblPr>
      <w:tr>
        <w:trPr>
          <w:trHeight w:val="154"/>
        </w:trPr>
        <w:tc>
          <w:tcPr>
            <w:tcW w:w="21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Kost Forer Gabbay &amp; Kasierer</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Tel: +972-3-6232525</w:t>
            </w:r>
          </w:p>
        </w:tc>
      </w:tr>
      <w:tr>
        <w:trPr>
          <w:trHeight w:val="216"/>
        </w:trPr>
        <w:tc>
          <w:tcPr>
            <w:tcW w:w="21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97"/>
              </w:rPr>
              <w:t>144 Menachem Begin Road, Building A,</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Fax: +972-3-5622555</w:t>
            </w:r>
          </w:p>
        </w:tc>
      </w:tr>
      <w:tr>
        <w:trPr>
          <w:trHeight w:val="216"/>
        </w:trPr>
        <w:tc>
          <w:tcPr>
            <w:tcW w:w="21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Tel-Aviv 6492102, Israel</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ey.com</w:t>
            </w:r>
          </w:p>
        </w:tc>
      </w:tr>
    </w:tbl>
    <w:p>
      <w:pPr>
        <w:spacing w:after="0" w:line="209" w:lineRule="exact"/>
        <w:rPr>
          <w:sz w:val="20"/>
          <w:szCs w:val="20"/>
          <w:color w:val="auto"/>
        </w:rPr>
      </w:pPr>
    </w:p>
    <w:p>
      <w:pPr>
        <w:ind w:left="260" w:right="2840" w:firstLine="2599"/>
        <w:spacing w:after="0" w:line="406"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Shareholders and the Board of Directors of Taboola.com Ltd.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6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Taboola.com Ltd. (the “Company”) as of December 31, 2024 and 2023, the related consolidated statements of income (loss), comprehensive income (loss), and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2"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26, 2025, expressed an unqualified opinion thereon.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8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8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Revenue Recognition-principle versus agent</w:t>
      </w:r>
    </w:p>
    <w:p>
      <w:pPr>
        <w:sectPr>
          <w:pgSz w:w="11900" w:h="16838" w:orient="portrait"/>
          <w:cols w:equalWidth="0" w:num="1">
            <w:col w:w="11240"/>
          </w:cols>
          <w:pgMar w:left="320" w:top="164" w:right="339" w:bottom="0" w:gutter="0" w:footer="0" w:header="0"/>
        </w:sectPr>
      </w:pP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20" w:firstLine="243"/>
        <w:spacing w:after="0" w:line="260" w:lineRule="auto"/>
        <w:rPr>
          <w:sz w:val="20"/>
          <w:szCs w:val="20"/>
          <w:color w:val="auto"/>
        </w:rPr>
      </w:pPr>
      <w:r>
        <w:rPr>
          <w:rFonts w:ascii="Times New Roman" w:cs="Times New Roman" w:eastAsia="Times New Roman" w:hAnsi="Times New Roman"/>
          <w:sz w:val="16"/>
          <w:szCs w:val="16"/>
          <w:color w:val="auto"/>
        </w:rPr>
        <w:t>As described in Note 2 to the consolidated financial statements, the Company follows the guidance provided in ASC 606, Revenue from Contracts with Customers, for determining whether the Company is the principal or an agent in arrangements</w:t>
      </w:r>
    </w:p>
    <w:p>
      <w:pPr>
        <w:spacing w:after="0" w:line="1" w:lineRule="exact"/>
        <w:rPr>
          <w:sz w:val="20"/>
          <w:szCs w:val="20"/>
          <w:color w:val="auto"/>
        </w:rPr>
      </w:pPr>
    </w:p>
    <w:p>
      <w:pPr>
        <w:sectPr>
          <w:pgSz w:w="11900" w:h="16838" w:orient="portrait"/>
          <w:cols w:equalWidth="0" w:num="2">
            <w:col w:w="2180" w:space="720"/>
            <w:col w:w="8340"/>
          </w:cols>
          <w:pgMar w:left="320" w:top="164" w:right="339" w:bottom="0" w:gutter="0" w:footer="0" w:header="0"/>
          <w:type w:val="continuous"/>
        </w:sectPr>
      </w:pPr>
    </w:p>
    <w:p>
      <w:pPr>
        <w:ind w:left="2900" w:right="120"/>
        <w:spacing w:after="0" w:line="255" w:lineRule="auto"/>
        <w:rPr>
          <w:sz w:val="20"/>
          <w:szCs w:val="20"/>
          <w:color w:val="auto"/>
        </w:rPr>
      </w:pPr>
      <w:r>
        <w:rPr>
          <w:rFonts w:ascii="Times New Roman" w:cs="Times New Roman" w:eastAsia="Times New Roman" w:hAnsi="Times New Roman"/>
          <w:sz w:val="16"/>
          <w:szCs w:val="16"/>
          <w:color w:val="auto"/>
        </w:rPr>
        <w:t>with its customers. This determination depends on the facts and circumstances of each arrangement and, in some instances, involves significant judgment. The Company has determined that it acts as principal in the majority of its arrangements</w:t>
      </w:r>
    </w:p>
    <w:p>
      <w:pPr>
        <w:spacing w:after="0" w:line="1" w:lineRule="exact"/>
        <w:rPr>
          <w:sz w:val="20"/>
          <w:szCs w:val="20"/>
          <w:color w:val="auto"/>
        </w:rPr>
      </w:pPr>
    </w:p>
    <w:p>
      <w:pPr>
        <w:jc w:val="both"/>
        <w:ind w:left="2900" w:right="120"/>
        <w:spacing w:after="0" w:line="252" w:lineRule="auto"/>
        <w:rPr>
          <w:sz w:val="20"/>
          <w:szCs w:val="20"/>
          <w:color w:val="auto"/>
        </w:rPr>
      </w:pPr>
      <w:r>
        <w:rPr>
          <w:rFonts w:ascii="Times New Roman" w:cs="Times New Roman" w:eastAsia="Times New Roman" w:hAnsi="Times New Roman"/>
          <w:sz w:val="16"/>
          <w:szCs w:val="16"/>
          <w:color w:val="auto"/>
        </w:rPr>
        <w:t>because it has the ability to control and direct the specified ad placements before they are transferred to the customers. The Company further concluded that (i) it is primarily responsible for fulfilling the promise to provide the service in the arrangement; and (ii) it has latitude in establishing the contract price with the advertisers. In addition, the Company has</w:t>
      </w:r>
    </w:p>
    <w:p>
      <w:pPr>
        <w:spacing w:after="0" w:line="1" w:lineRule="exact"/>
        <w:rPr>
          <w:sz w:val="20"/>
          <w:szCs w:val="20"/>
          <w:color w:val="auto"/>
        </w:rPr>
      </w:pPr>
    </w:p>
    <w:p>
      <w:pPr>
        <w:ind w:left="2900" w:right="120"/>
        <w:spacing w:after="0" w:line="270" w:lineRule="auto"/>
        <w:rPr>
          <w:sz w:val="20"/>
          <w:szCs w:val="20"/>
          <w:color w:val="auto"/>
        </w:rPr>
      </w:pPr>
      <w:r>
        <w:rPr>
          <w:rFonts w:ascii="Times New Roman" w:cs="Times New Roman" w:eastAsia="Times New Roman" w:hAnsi="Times New Roman"/>
          <w:sz w:val="16"/>
          <w:szCs w:val="16"/>
          <w:color w:val="auto"/>
        </w:rPr>
        <w:t>inventory risk on a portion of its multi-year agreement with digital properties. For those revenue arrangements where the Company acts as an agent, revenues are recognized on a net basis.</w:t>
      </w:r>
    </w:p>
    <w:p>
      <w:pPr>
        <w:spacing w:after="0" w:line="24" w:lineRule="exact"/>
        <w:rPr>
          <w:sz w:val="20"/>
          <w:szCs w:val="20"/>
          <w:color w:val="auto"/>
        </w:rPr>
      </w:pPr>
    </w:p>
    <w:p>
      <w:pPr>
        <w:ind w:left="2900" w:right="120" w:firstLine="243"/>
        <w:spacing w:after="0" w:line="260" w:lineRule="auto"/>
        <w:rPr>
          <w:sz w:val="20"/>
          <w:szCs w:val="20"/>
          <w:color w:val="auto"/>
        </w:rPr>
      </w:pPr>
      <w:r>
        <w:rPr>
          <w:rFonts w:ascii="Times New Roman" w:cs="Times New Roman" w:eastAsia="Times New Roman" w:hAnsi="Times New Roman"/>
          <w:sz w:val="16"/>
          <w:szCs w:val="16"/>
          <w:color w:val="auto"/>
        </w:rPr>
        <w:t>Auditing the Company’s determination of whether revenue should be reported gross of amounts billed to advertisers (gross basis) or net of payments to digital properties partners (net basis) requires a high degree of auditor judgment due to the</w:t>
      </w:r>
    </w:p>
    <w:p>
      <w:pPr>
        <w:spacing w:after="0" w:line="1" w:lineRule="exact"/>
        <w:rPr>
          <w:sz w:val="20"/>
          <w:szCs w:val="20"/>
          <w:color w:val="auto"/>
        </w:rPr>
      </w:pPr>
    </w:p>
    <w:p>
      <w:pPr>
        <w:ind w:left="2900" w:right="120"/>
        <w:spacing w:after="0" w:line="270" w:lineRule="auto"/>
        <w:rPr>
          <w:sz w:val="20"/>
          <w:szCs w:val="20"/>
          <w:color w:val="auto"/>
        </w:rPr>
      </w:pPr>
      <w:r>
        <w:rPr>
          <w:rFonts w:ascii="Times New Roman" w:cs="Times New Roman" w:eastAsia="Times New Roman" w:hAnsi="Times New Roman"/>
          <w:sz w:val="16"/>
          <w:szCs w:val="16"/>
          <w:color w:val="auto"/>
        </w:rPr>
        <w:t>subjectivity in determining whether the Company is principal in its arrangements. These judgments have a significant impact on the presentation and disclosure of the Company’s revenue in its financial statements.</w:t>
      </w:r>
    </w:p>
    <w:p>
      <w:pPr>
        <w:sectPr>
          <w:pgSz w:w="11900" w:h="16838" w:orient="portrait"/>
          <w:cols w:equalWidth="0" w:num="1">
            <w:col w:w="11240"/>
          </w:cols>
          <w:pgMar w:left="320" w:top="164" w:right="339" w:bottom="0" w:gutter="0" w:footer="0" w:header="0"/>
          <w:type w:val="continuous"/>
        </w:sectPr>
      </w:pPr>
    </w:p>
    <w:p>
      <w:pPr>
        <w:spacing w:after="0" w:line="292"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640" w:firstLine="243"/>
        <w:spacing w:after="0" w:line="260" w:lineRule="auto"/>
        <w:rPr>
          <w:sz w:val="20"/>
          <w:szCs w:val="20"/>
          <w:color w:val="auto"/>
        </w:rPr>
      </w:pPr>
      <w:r>
        <w:rPr>
          <w:rFonts w:ascii="Times New Roman" w:cs="Times New Roman" w:eastAsia="Times New Roman" w:hAnsi="Times New Roman"/>
          <w:sz w:val="16"/>
          <w:szCs w:val="16"/>
          <w:color w:val="auto"/>
        </w:rPr>
        <w:t>Our audit procedures related to the Company’s revenue transactions included, among others, testing the design and operating effectiveness of management’s controls over the determination of principal versus agent recognition in its</w:t>
      </w:r>
    </w:p>
    <w:p>
      <w:pPr>
        <w:spacing w:after="0" w:line="1" w:lineRule="exact"/>
        <w:rPr>
          <w:sz w:val="20"/>
          <w:szCs w:val="20"/>
          <w:color w:val="auto"/>
        </w:rPr>
      </w:pPr>
    </w:p>
    <w:p>
      <w:pPr>
        <w:sectPr>
          <w:pgSz w:w="11900" w:h="16838" w:orient="portrait"/>
          <w:cols w:equalWidth="0" w:num="2">
            <w:col w:w="2860" w:space="40"/>
            <w:col w:w="8340"/>
          </w:cols>
          <w:pgMar w:left="320" w:top="164" w:right="339" w:bottom="0" w:gutter="0" w:footer="0" w:header="0"/>
          <w:type w:val="continuous"/>
        </w:sectPr>
      </w:pPr>
    </w:p>
    <w:p>
      <w:pPr>
        <w:ind w:left="2900" w:right="300"/>
        <w:spacing w:after="0" w:line="255" w:lineRule="auto"/>
        <w:rPr>
          <w:sz w:val="20"/>
          <w:szCs w:val="20"/>
          <w:color w:val="auto"/>
        </w:rPr>
      </w:pPr>
      <w:r>
        <w:rPr>
          <w:rFonts w:ascii="Times New Roman" w:cs="Times New Roman" w:eastAsia="Times New Roman" w:hAnsi="Times New Roman"/>
          <w:sz w:val="16"/>
          <w:szCs w:val="16"/>
          <w:color w:val="auto"/>
        </w:rPr>
        <w:t>arrangements with advertisers and digital properties vendors for traffic acquisition, evaluating the Company’s assessment of the indicators of control over the promised service, which included determining whether the Company was primarily</w:t>
      </w:r>
    </w:p>
    <w:p>
      <w:pPr>
        <w:spacing w:after="0" w:line="1" w:lineRule="exact"/>
        <w:rPr>
          <w:sz w:val="20"/>
          <w:szCs w:val="20"/>
          <w:color w:val="auto"/>
        </w:rPr>
      </w:pPr>
    </w:p>
    <w:p>
      <w:pPr>
        <w:jc w:val="both"/>
        <w:ind w:left="2900" w:right="220"/>
        <w:spacing w:after="0" w:line="252" w:lineRule="auto"/>
        <w:rPr>
          <w:sz w:val="20"/>
          <w:szCs w:val="20"/>
          <w:color w:val="auto"/>
        </w:rPr>
      </w:pPr>
      <w:r>
        <w:rPr>
          <w:rFonts w:ascii="Times New Roman" w:cs="Times New Roman" w:eastAsia="Times New Roman" w:hAnsi="Times New Roman"/>
          <w:sz w:val="16"/>
          <w:szCs w:val="16"/>
          <w:color w:val="auto"/>
        </w:rPr>
        <w:t>responsible for fulfilling the promised service, has discretion in establishing pricing and has inventory risk on a portion of its contracts with digital properties. We also reviewed on a sample basis, the arrangement terms, both with customers and digital properties vendors for traffic acquisition and assessed the impact of those terms and attributes on revenue presentation. In</w:t>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addition, we assessed the appropriateness of the related disclosures in the consolidated financial statements.</w:t>
      </w:r>
    </w:p>
    <w:p>
      <w:pPr>
        <w:sectPr>
          <w:pgSz w:w="11900" w:h="16838" w:orient="portrait"/>
          <w:cols w:equalWidth="0" w:num="1">
            <w:col w:w="11240"/>
          </w:cols>
          <w:pgMar w:left="320" w:top="164" w:right="339" w:bottom="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Kost Forer Gabbay &amp; Kasierer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Member of EY Global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2014.</w:t>
      </w:r>
    </w:p>
    <w:p>
      <w:pPr>
        <w:sectPr>
          <w:pgSz w:w="11900" w:h="16838" w:orient="portrait"/>
          <w:cols w:equalWidth="0" w:num="1">
            <w:col w:w="11240"/>
          </w:cols>
          <w:pgMar w:left="320" w:top="164" w:right="339"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5"/>
          <w:szCs w:val="15"/>
          <w:color w:val="auto"/>
        </w:rPr>
        <w:t>Tel-Aviv, Israel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981710</wp:posOffset>
            </wp:positionV>
            <wp:extent cx="488315"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83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7840" w:type="dxa"/>
        <w:tblCellMar>
          <w:top w:w="0" w:type="dxa"/>
          <w:left w:w="0" w:type="dxa"/>
          <w:bottom w:w="0" w:type="dxa"/>
          <w:right w:w="0" w:type="dxa"/>
        </w:tblCellMar>
      </w:tblPr>
      <w:tr>
        <w:trPr>
          <w:trHeight w:val="154"/>
        </w:trPr>
        <w:tc>
          <w:tcPr>
            <w:tcW w:w="21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Kost Forer Gabbay &amp; Kasierer</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Tel: +972-3-6232525</w:t>
            </w:r>
          </w:p>
        </w:tc>
      </w:tr>
      <w:tr>
        <w:trPr>
          <w:trHeight w:val="216"/>
        </w:trPr>
        <w:tc>
          <w:tcPr>
            <w:tcW w:w="21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97"/>
              </w:rPr>
              <w:t>144 Menachem Begin Road, Building A,</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Fax: +972-3-5622555</w:t>
            </w:r>
          </w:p>
        </w:tc>
      </w:tr>
      <w:tr>
        <w:trPr>
          <w:trHeight w:val="216"/>
        </w:trPr>
        <w:tc>
          <w:tcPr>
            <w:tcW w:w="21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Tel-Aviv 6492102, Israel</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ey.com</w:t>
            </w: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Taboola.com Ltd.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have audited Taboola.com Ltd’s. internal control over financial reporting as of December 31, 2024, based on criteria established in Internal Control— Integrated Framework issued by the Committee of Sponsoring Organizations of the Treadway Commission (2013 framework), (the COSO criteria). In our opinion, Taboola.com Ltd. (the “Company”) maintained, in all material respects, effective internal control over financial reporting as of December 31, 2024, based on the COSO criteria.</w:t>
      </w:r>
    </w:p>
    <w:p>
      <w:pPr>
        <w:spacing w:after="0" w:line="6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income (loss), comprehensive income (loss), and shareholders’ equity and cash flows for each of the three years in the period ended December 31, 2024, and the related notes and our report dated February 26, 2025, expressed an unqualified opinion thereon.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Kost Forer Gabbay &amp; Kasierer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Member of EY Global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Tel-Aviv, Israel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 2025</w:t>
      </w:r>
    </w:p>
    <w:p>
      <w:pPr>
        <w:sectPr>
          <w:pgSz w:w="11900" w:h="16838" w:orient="portrait"/>
          <w:cols w:equalWidth="0" w:num="1">
            <w:col w:w="11240"/>
          </w:cols>
          <w:pgMar w:left="320" w:top="1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FF"/>
              </w:rPr>
              <w:t>Table of Contents</w:t>
            </w:r>
          </w:p>
        </w:tc>
        <w:tc>
          <w:tcPr>
            <w:tcW w:w="444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w w:val="99"/>
              </w:rPr>
              <w:t>TABOOLA.COM LTD.</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444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tc>
        <w:tc>
          <w:tcPr>
            <w:tcW w:w="4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4057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226,583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deposits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0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Trade receivables (net of allowance for credit losses of $11,815 and $10,207 as of December 31, 2024 and 2023,</w:t>
            </w:r>
          </w:p>
        </w:tc>
        <w:tc>
          <w:tcPr>
            <w:tcW w:w="2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370,110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306,307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respectively) (1)</w:t>
            </w:r>
          </w:p>
        </w:tc>
        <w:tc>
          <w:tcPr>
            <w:tcW w:w="2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656,001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559,412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prepaid expenses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agreement asset</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286,619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deposits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555,931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1,062,657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1,148,390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1,718,658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1,707,802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payables (2)</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309,229</w:t>
            </w:r>
          </w:p>
        </w:tc>
        <w:tc>
          <w:tcPr>
            <w:tcW w:w="8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loan</w:t>
            </w:r>
          </w:p>
        </w:tc>
        <w:tc>
          <w:tcPr>
            <w:tcW w:w="2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485,582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423,965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loan, net of current maturities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Warrants liability</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181,170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226,775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17)</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50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Ordinary shares with no par value- Authorized: 700,000,000 as of December 31, 2024 and 2023; 325,674,930 and</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50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310,911,091 shares issued, and 293,134,865 and 295,670,620 outstanding as of December 31, 2024 and 2023,</w:t>
            </w:r>
          </w:p>
        </w:tc>
        <w:tc>
          <w:tcPr>
            <w:tcW w:w="280" w:type="dxa"/>
            <w:vAlign w:val="bottom"/>
          </w:tcPr>
          <w:p>
            <w:pPr>
              <w:spacing w:after="0"/>
              <w:rPr>
                <w:sz w:val="14"/>
                <w:szCs w:val="14"/>
                <w:color w:val="auto"/>
              </w:rPr>
            </w:pPr>
          </w:p>
        </w:tc>
        <w:tc>
          <w:tcPr>
            <w:tcW w:w="1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50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6"/>
                <w:szCs w:val="16"/>
                <w:color w:val="auto"/>
              </w:rPr>
              <w:t>Non-voting Ordinary shares with no par value- Authorized: 46,000,000 as of December 31, 2024 and 2023;</w:t>
            </w: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50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45,198,702 shares issued, and 44,210,406 and 45,198,702 outstanding as of December 31, 2024 and 2023,</w:t>
            </w:r>
          </w:p>
        </w:tc>
        <w:tc>
          <w:tcPr>
            <w:tcW w:w="28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0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Treasury Ordinary shares, at cost - 33,528,361 (32,540,065 Ordinary shares and 988,296 Non-voting Ordinary</w:t>
            </w:r>
          </w:p>
        </w:tc>
        <w:tc>
          <w:tcPr>
            <w:tcW w:w="2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(130,117)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(55,513)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and 15,240,471 shares as of December 31, 2024 and 2023, respectively</w:t>
            </w:r>
          </w:p>
        </w:tc>
        <w:tc>
          <w:tcPr>
            <w:tcW w:w="2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1,335,825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(150,460)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1,051,906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1,057,062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1,718,658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1,707,802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-6908800</wp:posOffset>
            </wp:positionV>
            <wp:extent cx="7140575" cy="6909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6909435"/>
                    </a:xfrm>
                    <a:prstGeom prst="rect">
                      <a:avLst/>
                    </a:prstGeom>
                    <a:noFill/>
                  </pic:spPr>
                </pic:pic>
              </a:graphicData>
            </a:graphic>
          </wp:anchor>
        </w:drawing>
      </w:r>
    </w:p>
    <w:p>
      <w:pPr>
        <w:spacing w:after="0" w:line="290"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trade receivables of $76,677 and $12,297, as of December 31, 2024 and 2023,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trade payables of $68,556 and $38,657, as of December 31, 2024 December 31, 2023, respectively.</w:t>
      </w:r>
    </w:p>
    <w:p>
      <w:pPr>
        <w:sectPr>
          <w:pgSz w:w="11900" w:h="16838" w:orient="portrait"/>
          <w:cols w:equalWidth="0" w:num="1">
            <w:col w:w="11260"/>
          </w:cols>
          <w:pgMar w:left="320" w:top="15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58" w:right="31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FF"/>
              </w:rPr>
              <w:t>Table of Contents</w:t>
            </w:r>
          </w:p>
        </w:tc>
        <w:tc>
          <w:tcPr>
            <w:tcW w:w="444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w w:val="99"/>
              </w:rPr>
              <w:t>TABOOLA.COM LTD.</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(LOSS)</w:t>
            </w:r>
          </w:p>
        </w:tc>
        <w:tc>
          <w:tcPr>
            <w:tcW w:w="444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tc>
        <w:tc>
          <w:tcPr>
            <w:tcW w:w="4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 (1)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Traffic acquisition cost (2)</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cost of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130,446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cost of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1,232,002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1,014,127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936,897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534,218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246,342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508,301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489,295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Finance income (expenses),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 expenses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3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attributable to Ordinary and Non-voting Ordinary shares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32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6"/>
                <w:szCs w:val="16"/>
                <w:color w:val="auto"/>
              </w:rPr>
              <w:t>Net loss per share attributable to Ordinary and Non-voting Ordinary shareholders, basic and</w:t>
            </w: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-3968115</wp:posOffset>
            </wp:positionV>
            <wp:extent cx="7140575" cy="3977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3977640"/>
                    </a:xfrm>
                    <a:prstGeom prst="rect">
                      <a:avLst/>
                    </a:prstGeom>
                    <a:noFill/>
                  </pic:spPr>
                </pic:pic>
              </a:graphicData>
            </a:graphic>
          </wp:anchor>
        </w:drawing>
      </w:r>
    </w:p>
    <w:p>
      <w:pPr>
        <w:spacing w:after="0" w:line="290"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revenues from related party of $233,640 and $40,902, for the year ended December 31, 2024 and 2023,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traffic acquisition cost to related party of $275,539 and $45,183, for the year ended December 31, 2024 and 2023, respectively.</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0B5394"/>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0575" cy="1440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1440180"/>
                    </a:xfrm>
                    <a:prstGeom prst="rect">
                      <a:avLst/>
                    </a:prstGeom>
                    <a:noFill/>
                  </pic:spPr>
                </pic:pic>
              </a:graphicData>
            </a:graphic>
          </wp:anchor>
        </w:drawing>
      </w:r>
    </w:p>
    <w:p>
      <w:pPr>
        <w:spacing w:after="0" w:line="280"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center"/>
        <w:ind w:left="6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r>
      <w:tr>
        <w:trPr>
          <w:trHeight w:val="211"/>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18"/>
                <w:szCs w:val="18"/>
                <w:color w:val="auto"/>
              </w:rPr>
            </w:pPr>
          </w:p>
        </w:tc>
      </w:tr>
      <w:tr>
        <w:trPr>
          <w:trHeight w:val="227"/>
        </w:trPr>
        <w:tc>
          <w:tcPr>
            <w:tcW w:w="6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gains (losses) on available-for-sale marketable securities, net</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0" w:type="dxa"/>
            <w:vAlign w:val="bottom"/>
          </w:tcPr>
          <w:p>
            <w:pPr>
              <w:spacing w:after="0"/>
              <w:rPr>
                <w:sz w:val="20"/>
                <w:szCs w:val="20"/>
                <w:color w:val="auto"/>
              </w:rPr>
            </w:pPr>
          </w:p>
        </w:tc>
      </w:tr>
      <w:tr>
        <w:trPr>
          <w:trHeight w:val="226"/>
        </w:trPr>
        <w:tc>
          <w:tcPr>
            <w:tcW w:w="6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Unrealized gains (losses) on derivative instruments, net</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Borders>
              <w:bottom w:val="single" w:sz="8" w:color="auto"/>
            </w:tcBorders>
          </w:tcPr>
          <w:p>
            <w:pPr>
              <w:spacing w:after="0"/>
              <w:rPr>
                <w:sz w:val="19"/>
                <w:szCs w:val="19"/>
                <w:color w:val="auto"/>
              </w:rPr>
            </w:pPr>
          </w:p>
        </w:tc>
      </w:tr>
      <w:tr>
        <w:trPr>
          <w:trHeight w:val="213"/>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0" w:type="dxa"/>
            <w:vAlign w:val="bottom"/>
            <w:tcBorders>
              <w:bottom w:val="single" w:sz="8" w:color="auto"/>
            </w:tcBorders>
          </w:tcPr>
          <w:p>
            <w:pPr>
              <w:spacing w:after="0"/>
              <w:rPr>
                <w:sz w:val="18"/>
                <w:szCs w:val="18"/>
                <w:color w:val="auto"/>
              </w:rPr>
            </w:pP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(80,264)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(12,809)</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58" w:right="319" w:bottom="1440" w:gutter="0" w:footer="0" w:header="0"/>
        </w:sectPr>
      </w:pPr>
    </w:p>
    <w:bookmarkStart w:id="61" w:name="page62"/>
    <w:bookmarkEnd w:id="61"/>
    <w:p>
      <w:pPr>
        <w:ind w:left="20"/>
        <w:spacing w:after="0"/>
        <w:tabs>
          <w:tab w:leader="none" w:pos="95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U.S. dollars in thousands, except share and per share data</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Non-voting Ordinary</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10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2"/>
                <w:szCs w:val="12"/>
                <w:color w:val="auto"/>
              </w:rPr>
            </w:pPr>
          </w:p>
        </w:tc>
        <w:tc>
          <w:tcPr>
            <w:tcW w:w="80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16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52"/>
        </w:trPr>
        <w:tc>
          <w:tcPr>
            <w:tcW w:w="2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234,031,749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824,016</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(56,445)</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767,571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76,853</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options and vested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18,875,104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Connexity issuance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1,227,010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Holdback</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Payments of tax withholding</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share-based compensation</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254,133,863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903,789</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(68,420)</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834,535</w:t>
            </w:r>
          </w:p>
        </w:tc>
        <w:tc>
          <w:tcPr>
            <w:tcW w:w="0" w:type="dxa"/>
            <w:vAlign w:val="bottom"/>
          </w:tcPr>
          <w:p>
            <w:pPr>
              <w:spacing w:after="0"/>
              <w:rPr>
                <w:sz w:val="1"/>
                <w:szCs w:val="1"/>
                <w:color w:val="auto"/>
              </w:rPr>
            </w:pPr>
          </w:p>
        </w:tc>
      </w:tr>
      <w:tr>
        <w:trPr>
          <w:trHeight w:val="214"/>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(15,240,471)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(55,513)</w:t>
            </w: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options and vested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16,088,737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Connexity issuance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1,162,800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Holdback</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Ordinary shares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and Non-voting Ordinary</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related to Commercial</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45,198,702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39,525,691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288,063</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agreement</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Payments of tax withholding</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share-based compensation</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0" w:type="dxa"/>
            <w:vAlign w:val="bottom"/>
          </w:tcPr>
          <w:p>
            <w:pPr>
              <w:spacing w:after="0"/>
              <w:rPr>
                <w:sz w:val="1"/>
                <w:szCs w:val="1"/>
                <w:color w:val="auto"/>
              </w:rPr>
            </w:pPr>
          </w:p>
        </w:tc>
      </w:tr>
      <w:tr>
        <w:trPr>
          <w:trHeight w:val="145"/>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45,198,702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295,670,620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1,262,093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(150,460)</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1,057,062</w:t>
            </w: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69,254</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(17,299,594)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(74,604)</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Exercise of options and vested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13,601,042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Connexity issuance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1,162,797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Holdback</w:t>
            </w: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Payments of tax withholding</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share-based compensation</w:t>
            </w: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0" w:type="dxa"/>
            <w:vAlign w:val="bottom"/>
          </w:tcPr>
          <w:p>
            <w:pPr>
              <w:spacing w:after="0"/>
              <w:rPr>
                <w:sz w:val="1"/>
                <w:szCs w:val="1"/>
                <w:color w:val="auto"/>
              </w:rPr>
            </w:pPr>
          </w:p>
        </w:tc>
      </w:tr>
      <w:tr>
        <w:trPr>
          <w:trHeight w:val="145"/>
        </w:trPr>
        <w:tc>
          <w:tcPr>
            <w:tcW w:w="2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44,210,406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293,134,865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(130,117)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1,335,825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(154,220)</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1,051,906</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-3676650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0000FF"/>
              </w:rPr>
              <w:t>Table of Content</w:t>
            </w:r>
          </w:p>
        </w:tc>
        <w:tc>
          <w:tcPr>
            <w:tcW w:w="452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auto"/>
                <w:w w:val="99"/>
              </w:rPr>
              <w:t>TABOOLA.COM LTD.</w:t>
            </w: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452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thousands</w:t>
            </w:r>
          </w:p>
        </w:tc>
        <w:tc>
          <w:tcPr>
            <w:tcW w:w="4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6420" w:type="dxa"/>
            <w:vAlign w:val="bottom"/>
            <w:gridSpan w:val="5"/>
          </w:tcPr>
          <w:p>
            <w:pPr>
              <w:spacing w:after="0" w:line="159"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64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loss to net cash flows provided by operating activities: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amortization and write-off</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91,221</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74,921</w:t>
            </w:r>
          </w:p>
        </w:tc>
        <w:tc>
          <w:tcPr>
            <w:tcW w:w="2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agreement asset amortization</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loss (gain) from financing expenses</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Revaluation of the Warrants liability</w:t>
            </w:r>
          </w:p>
        </w:tc>
        <w:tc>
          <w:tcPr>
            <w:tcW w:w="3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Amortization of loan and credit facility issuance costs</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2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premium and accretion of discount on short-term investments, net</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Loss from disposal of property and equipment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6420" w:type="dxa"/>
            <w:vAlign w:val="bottom"/>
            <w:gridSpan w:val="5"/>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Increase in trade receivables, net (1)</w:t>
            </w:r>
          </w:p>
        </w:tc>
        <w:tc>
          <w:tcPr>
            <w:tcW w:w="372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(63,803)</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(49,599)</w:t>
            </w:r>
          </w:p>
        </w:tc>
        <w:tc>
          <w:tcPr>
            <w:tcW w:w="1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(11,242)</w:t>
            </w:r>
          </w:p>
        </w:tc>
        <w:tc>
          <w:tcPr>
            <w:tcW w:w="2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prepaid expenses and other current assets and long-term prepaid expenses</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Increase (decrease) in trade payables (2)</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(16,825)</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accrued expenses and other current liabilities and other long-term liabilities</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(21,932)</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Decrease in deferred taxes, net</w:t>
            </w:r>
          </w:p>
        </w:tc>
        <w:tc>
          <w:tcPr>
            <w:tcW w:w="3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(17,329)</w:t>
            </w:r>
          </w:p>
        </w:tc>
        <w:tc>
          <w:tcPr>
            <w:tcW w:w="2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operating lease right of use assets</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15,528</w:t>
            </w:r>
          </w:p>
        </w:tc>
        <w:tc>
          <w:tcPr>
            <w:tcW w:w="20" w:type="dxa"/>
            <w:vAlign w:val="bottom"/>
          </w:tcPr>
          <w:p>
            <w:pPr>
              <w:spacing w:after="0"/>
              <w:rPr>
                <w:sz w:val="20"/>
                <w:szCs w:val="20"/>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Change in operating lease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(22,436)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(19,433)</w:t>
            </w: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184,331</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84,373</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20" w:type="dxa"/>
            <w:vAlign w:val="bottom"/>
            <w:tcBorders>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20" w:type="dxa"/>
            <w:vAlign w:val="bottom"/>
            <w:shd w:val="clear" w:color="auto" w:fill="CCEEFF"/>
          </w:tcPr>
          <w:p>
            <w:pPr>
              <w:spacing w:after="0"/>
              <w:rPr>
                <w:sz w:val="15"/>
                <w:szCs w:val="15"/>
                <w:color w:val="auto"/>
              </w:rPr>
            </w:pPr>
          </w:p>
        </w:tc>
        <w:tc>
          <w:tcPr>
            <w:tcW w:w="64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Purchase of property and equipment, including capitalized internal-use software</w:t>
            </w:r>
          </w:p>
        </w:tc>
        <w:tc>
          <w:tcPr>
            <w:tcW w:w="3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(35,155)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(34,914)</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w:t>
            </w:r>
          </w:p>
        </w:tc>
        <w:tc>
          <w:tcPr>
            <w:tcW w:w="3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w:t>
            </w:r>
          </w:p>
        </w:tc>
        <w:tc>
          <w:tcPr>
            <w:tcW w:w="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Proceeds from (investment in) restricted deposits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29,624</w:t>
            </w:r>
          </w:p>
        </w:tc>
        <w:tc>
          <w:tcPr>
            <w:tcW w:w="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(126,381)</w:t>
            </w:r>
          </w:p>
        </w:tc>
        <w:tc>
          <w:tcPr>
            <w:tcW w:w="20" w:type="dxa"/>
            <w:vAlign w:val="bottom"/>
          </w:tcPr>
          <w:p>
            <w:pPr>
              <w:spacing w:after="0"/>
              <w:rPr>
                <w:sz w:val="19"/>
                <w:szCs w:val="19"/>
                <w:color w:val="auto"/>
              </w:rPr>
            </w:pPr>
          </w:p>
        </w:tc>
      </w:tr>
      <w:tr>
        <w:trPr>
          <w:trHeight w:val="23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420" w:type="dxa"/>
            <w:vAlign w:val="bottom"/>
            <w:tcBorders>
              <w:top w:val="single" w:sz="8" w:color="CCEEFF"/>
              <w:bottom w:val="single" w:sz="8" w:color="CCEEFF"/>
            </w:tcBorders>
            <w:gridSpan w:val="5"/>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gridSpan w:val="3"/>
            <w:shd w:val="clear" w:color="auto" w:fill="CCEEFF"/>
          </w:tcPr>
          <w:p>
            <w:pPr>
              <w:jc w:val="right"/>
              <w:ind w:right="20"/>
              <w:spacing w:after="0" w:line="172" w:lineRule="exact"/>
              <w:rPr>
                <w:sz w:val="20"/>
                <w:szCs w:val="20"/>
                <w:color w:val="auto"/>
              </w:rPr>
            </w:pPr>
            <w:r>
              <w:rPr>
                <w:rFonts w:ascii="Times New Roman" w:cs="Times New Roman" w:eastAsia="Times New Roman" w:hAnsi="Times New Roman"/>
                <w:sz w:val="16"/>
                <w:szCs w:val="16"/>
                <w:color w:val="auto"/>
              </w:rPr>
              <w:t>(30,109)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59,640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(139,561)</w:t>
            </w:r>
          </w:p>
        </w:tc>
        <w:tc>
          <w:tcPr>
            <w:tcW w:w="20" w:type="dxa"/>
            <w:vAlign w:val="bottom"/>
            <w:tcBorders>
              <w:top w:val="single" w:sz="8" w:color="auto"/>
              <w:bottom w:val="single" w:sz="8" w:color="auto"/>
            </w:tcBorders>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64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2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4060" w:type="dxa"/>
            <w:vAlign w:val="bottom"/>
            <w:tcBorders>
              <w:top w:val="single" w:sz="8" w:color="CCEEFF"/>
            </w:tcBorders>
            <w:gridSpan w:val="3"/>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(695)</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options and vested RSUs</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Payment of tax withholding for share-based compensation expenses</w:t>
            </w:r>
          </w:p>
        </w:tc>
        <w:tc>
          <w:tcPr>
            <w:tcW w:w="3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3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(73,602)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(55,513)</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Payments on account of repurchase of Ordinary shares</w:t>
            </w:r>
          </w:p>
        </w:tc>
        <w:tc>
          <w:tcPr>
            <w:tcW w:w="3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long-term loan</w:t>
            </w:r>
          </w:p>
        </w:tc>
        <w:tc>
          <w:tcPr>
            <w:tcW w:w="3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(82,250)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(64,264)</w:t>
            </w:r>
          </w:p>
        </w:tc>
        <w:tc>
          <w:tcPr>
            <w:tcW w:w="2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Costs associated with entering into a revolving credit facility</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20" w:type="dxa"/>
            <w:vAlign w:val="bottom"/>
          </w:tcPr>
          <w:p>
            <w:pPr>
              <w:spacing w:after="0"/>
              <w:rPr>
                <w:sz w:val="19"/>
                <w:szCs w:val="19"/>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(134,614)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(62,873)</w:t>
            </w:r>
          </w:p>
        </w:tc>
        <w:tc>
          <w:tcPr>
            <w:tcW w:w="20" w:type="dxa"/>
            <w:vAlign w:val="bottom"/>
            <w:tcBorders>
              <w:top w:val="single" w:sz="8" w:color="auto"/>
              <w:bottom w:val="single" w:sz="8" w:color="auto"/>
            </w:tcBorders>
          </w:tcPr>
          <w:p>
            <w:pPr>
              <w:spacing w:after="0"/>
              <w:rPr>
                <w:sz w:val="18"/>
                <w:szCs w:val="18"/>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Exchange rate differences on balances of cash and cash equivalents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(3,764)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20" w:type="dxa"/>
            <w:vAlign w:val="bottom"/>
            <w:tcBorders>
              <w:bottom w:val="single" w:sz="8" w:color="auto"/>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(153,426)</w:t>
            </w:r>
          </w:p>
        </w:tc>
        <w:tc>
          <w:tcPr>
            <w:tcW w:w="20" w:type="dxa"/>
            <w:vAlign w:val="bottom"/>
          </w:tcPr>
          <w:p>
            <w:pPr>
              <w:spacing w:after="0"/>
              <w:rPr>
                <w:sz w:val="18"/>
                <w:szCs w:val="18"/>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Cash and cash equivalents - at the beginning of the period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176,108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165,893</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319,319</w:t>
            </w:r>
          </w:p>
        </w:tc>
        <w:tc>
          <w:tcPr>
            <w:tcW w:w="20" w:type="dxa"/>
            <w:vAlign w:val="bottom"/>
            <w:tcBorders>
              <w:bottom w:val="single" w:sz="8" w:color="auto"/>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at the end of the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226,583</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176,108</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165,893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-6454140</wp:posOffset>
            </wp:positionV>
            <wp:extent cx="7140575" cy="64465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644652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64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Cash paid during the year for:</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20,712</w:t>
            </w:r>
          </w:p>
        </w:tc>
        <w:tc>
          <w:tcPr>
            <w:tcW w:w="2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42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including capitalized internal-use software</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 included in capitalized internal-use software</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4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Creation of operating lease right-of-use assets</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w:t>
            </w:r>
          </w:p>
        </w:tc>
        <w:tc>
          <w:tcPr>
            <w:tcW w:w="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Issuance of Ordinary shares and Non-voting Ordinary shares related to Commercial agreement</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288,063</w:t>
            </w:r>
          </w:p>
        </w:tc>
        <w:tc>
          <w:tcPr>
            <w:tcW w:w="14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Restricted deposit to Short-term deposit</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889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889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460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-1953895</wp:posOffset>
            </wp:positionV>
            <wp:extent cx="3051810" cy="1962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51810" cy="1962785"/>
                    </a:xfrm>
                    <a:prstGeom prst="rect">
                      <a:avLst/>
                    </a:prstGeom>
                    <a:noFill/>
                  </pic:spPr>
                </pic:pic>
              </a:graphicData>
            </a:graphic>
          </wp:anchor>
        </w:drawing>
      </w:r>
    </w:p>
    <w:p>
      <w:pPr>
        <w:sectPr>
          <w:pgSz w:w="11900" w:h="16838" w:orient="portrait"/>
          <w:cols w:equalWidth="0" w:num="1">
            <w:col w:w="11260"/>
          </w:cols>
          <w:pgMar w:left="320" w:top="158" w:right="319" w:bottom="97" w:gutter="0" w:footer="0" w:header="0"/>
        </w:sectPr>
      </w:pPr>
    </w:p>
    <w:p>
      <w:pPr>
        <w:spacing w:after="0" w:line="337" w:lineRule="exact"/>
        <w:rPr>
          <w:sz w:val="20"/>
          <w:szCs w:val="20"/>
          <w:color w:val="auto"/>
        </w:rPr>
      </w:pP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increase in related party trade receivables of $64,380 and $12,297, as of December 31, 2024 and 2023,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increase in related party trade payables of $29,899 and $38,657, as of December 31, 2024 and 2023, respectively.</w:t>
      </w:r>
    </w:p>
    <w:p>
      <w:pPr>
        <w:sectPr>
          <w:pgSz w:w="11900" w:h="16838" w:orient="portrait"/>
          <w:cols w:equalWidth="0" w:num="1">
            <w:col w:w="11260"/>
          </w:cols>
          <w:pgMar w:left="320" w:top="158" w:right="319" w:bottom="97"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4" w:name="page65"/>
    <w:bookmarkEnd w:id="64"/>
    <w:p>
      <w:pPr>
        <w:ind w:left="20"/>
        <w:spacing w:after="0"/>
        <w:tabs>
          <w:tab w:leader="none" w:pos="9560" w:val="left"/>
        </w:tabs>
        <w:rPr>
          <w:sz w:val="20"/>
          <w:szCs w:val="20"/>
          <w:color w:val="auto"/>
        </w:rPr>
      </w:pPr>
      <w:r>
        <w:rPr>
          <w:rFonts w:ascii="Times New Roman" w:cs="Times New Roman" w:eastAsia="Times New Roman" w:hAnsi="Times New Roman"/>
          <w:sz w:val="28"/>
          <w:szCs w:val="28"/>
          <w:b w:val="1"/>
          <w:bCs w:val="1"/>
          <w:i w:val="1"/>
          <w:iCs w:val="1"/>
          <w:color w:val="0000FF"/>
          <w:vertAlign w:val="superscript"/>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NOTE 1:-</w:t>
        <w:tab/>
        <w:t>GENERAL</w:t>
      </w:r>
    </w:p>
    <w:p>
      <w:pPr>
        <w:spacing w:after="0" w:line="169"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Taboola.com Ltd. (together with its subsidiaries, the “Company” or “Taboola”) was incorporated under the laws of the state of Israel on September 3, 2006.</w:t>
      </w:r>
    </w:p>
    <w:p>
      <w:pPr>
        <w:spacing w:after="0" w:line="126" w:lineRule="exact"/>
        <w:rPr>
          <w:rFonts w:ascii="Times New Roman" w:cs="Times New Roman" w:eastAsia="Times New Roman" w:hAnsi="Times New Roman"/>
          <w:sz w:val="16"/>
          <w:szCs w:val="16"/>
          <w:color w:val="auto"/>
        </w:rPr>
      </w:pPr>
    </w:p>
    <w:p>
      <w:pPr>
        <w:jc w:val="both"/>
        <w:ind w:left="6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p>
      <w:pPr>
        <w:spacing w:after="0" w:line="73"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$3.40 per share, the aggregate fair value of the issued shares amounted to $288,063. As part of the Ordinary shares and Non-voting Ordinary shares issuance, the Company incurred $1,388 of issuance expenses.</w:t>
      </w:r>
    </w:p>
    <w:p>
      <w:pPr>
        <w:spacing w:after="0" w:line="72" w:lineRule="exact"/>
        <w:rPr>
          <w:rFonts w:ascii="Times New Roman" w:cs="Times New Roman" w:eastAsia="Times New Roman" w:hAnsi="Times New Roman"/>
          <w:sz w:val="16"/>
          <w:szCs w:val="16"/>
          <w:color w:val="auto"/>
        </w:rPr>
      </w:pPr>
    </w:p>
    <w:p>
      <w:pPr>
        <w:jc w:val="both"/>
        <w:ind w:left="6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Non-voting Ordinary shares are not entitled to vote on or receive notices with respect to any matter pursuant to the Company Articles and are not entitled to vote or to be counted for purposes of determining whether any vote required under the Articles has been approved by the requisite percentage of voting securities or to be counted towards any quorum required pursuant to the Articles, except in limited circumstances as permitted in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spacing w:after="0" w:line="86" w:lineRule="exact"/>
        <w:rPr>
          <w:rFonts w:ascii="Times New Roman" w:cs="Times New Roman" w:eastAsia="Times New Roman" w:hAnsi="Times New Roman"/>
          <w:sz w:val="16"/>
          <w:szCs w:val="16"/>
          <w:color w:val="auto"/>
        </w:rPr>
      </w:pPr>
    </w:p>
    <w:p>
      <w:pPr>
        <w:jc w:val="both"/>
        <w:ind w:left="6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accounts for the consideration paid to Yahoo as an up-front payment for Traffic acquisition costs paid to the digital property partner (the “Commercial agreement asset”), which is amortized over the shorter of respective contractual terms and the economic benefit period of the digital property arrangement, estimated at 18 years.</w:t>
      </w:r>
    </w:p>
    <w:p>
      <w:pPr>
        <w:spacing w:after="0" w:line="83" w:lineRule="exact"/>
        <w:rPr>
          <w:rFonts w:ascii="Times New Roman" w:cs="Times New Roman" w:eastAsia="Times New Roman" w:hAnsi="Times New Roman"/>
          <w:sz w:val="16"/>
          <w:szCs w:val="16"/>
          <w:color w:val="auto"/>
        </w:rPr>
      </w:pPr>
    </w:p>
    <w:p>
      <w:pPr>
        <w:jc w:val="both"/>
        <w:ind w:left="6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2024, the Company concluded it had obtained exclusivity to the extent contemplated by the Commercial agreement as currently in effect, and therefore began to record amortization expenses of the Commercial agreement asset. For the year ended December 31, 2024, the Company recorded $2,832 of amortization expenses of the Commercial agreement asset. For the year ended December 31, 2023, the Company did not record amortization expenses of the Commercial agreement asset.</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For related parties see Note 18.</w:t>
      </w:r>
    </w:p>
    <w:p>
      <w:pPr>
        <w:spacing w:after="0" w:line="1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NOTE 2:-</w:t>
        <w:tab/>
        <w:t>SIGNIFICANT ACCOUNTING POLICIES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25"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United States Generally Accepted Accounting Principles (“U.S. GAAP”) and are denominated in U.S. dollars.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 owned subsidiaries. All intercompany balances and transactions have been eliminated in consolidation.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3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conformity with the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 and accompanying notes. Actual results could differ from those estimates.</w:t>
      </w:r>
    </w:p>
    <w:p>
      <w:pPr>
        <w:spacing w:after="0" w:line="63"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spacing w:after="0" w:line="73"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Functional Currency</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Company’s functional currency is the U.S. dollars (“dollars”), as majority of the Company’s revenues and costs of revenues are denominated in dollars. Accordingly, foreign currency assets and liabilities are remeasured into dollars at the end-of-period exchange rates except for non-monetary assets and liabilities, which are measured at historical exchange rates. Revenue and expenses are remeasured each day at the exchange rate in effect on the day the transaction occurred or the average exchange rate in the month in accordance with ASC 830, “Foreign Currency Matters”. Gains or losses from foreign currency exchange rate re-measurement and settlements are included in finance income (expenses), net in the consolidated statements of income (loss).</w:t>
      </w:r>
    </w:p>
    <w:p>
      <w:pPr>
        <w:sectPr>
          <w:pgSz w:w="11900" w:h="16838" w:orient="portrait"/>
          <w:cols w:equalWidth="0" w:num="1">
            <w:col w:w="11240"/>
          </w:cols>
          <w:pgMar w:left="320" w:top="167" w:right="339" w:bottom="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ectPr>
          <w:pgSz w:w="11900" w:h="16838" w:orient="portrait"/>
          <w:cols w:equalWidth="0" w:num="1">
            <w:col w:w="11240"/>
          </w:cols>
          <w:pgMar w:left="320" w:top="167" w:right="339" w:bottom="0" w:gutter="0" w:footer="0" w:header="0"/>
          <w:type w:val="continuous"/>
        </w:sectPr>
      </w:pPr>
    </w:p>
    <w:bookmarkStart w:id="65" w:name="page66"/>
    <w:bookmarkEnd w:id="65"/>
    <w:p>
      <w:pPr>
        <w:spacing w:after="0" w:line="3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Cash and cash equivalents consist of cash in banks and highly liquid marketable securities investments, money market account and funds, commercial paper and corporate debt securities, with an original maturity of three months or less at the date of purchase and are readily convertible to known amounts of cash.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Deposits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Company’s restricted deposits primarily consist of bank deposits collateralizing the Company’s operating leases.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Fair value is defined as the exchange price that would be received from the sale of an asset or paid to transfer a liability, considering the principal or most advantageous market in which it would transact and assumptions that market participants would use when pricing the asset or liability, in an orderly transaction between market participants at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Three levels of inputs may be used to measure fair value:</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Level 2 - Includes other inputs that are directly or indirectly observable in the marketplace.</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Level 3 - Unobservable inputs which are supported by little or no market activity.</w:t>
      </w:r>
    </w:p>
    <w:p>
      <w:pPr>
        <w:spacing w:after="0" w:line="11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Financial instruments consist of cash equivalents, restricted deposits, short-term investments, trade receivables, prepaid expenses and other current assets, trade payables, accrued expenses and other current liabilities, Warrants liability and derivative financial instruments. Short-term investments, Warrants liability and derivative financial instruments are stated at fair value on a recurring basis. Cash equivalents, restricted deposits, trade receivables, prepaid expenses and other current assets, trade payables, accrued expenses and other current liabilities, are stated at their carrying value, which approximates their fair value due to the short time to the expected receipt or payment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enters into foreign currency forward and put and call option contracts with financial institutions to protect itself against the foreign exchange risks, mainly exposure to changes in the exchange rate of the New Israeli Shekel (“NIS”) against the U.S. dollar that are associated with forecasted future cash flows related to salary expenses, for up to twelve months, as part of the Company’s risk management strategy. The Company does not enter into derivative transactions for trading or speculative purposes.</w:t>
      </w:r>
    </w:p>
    <w:p>
      <w:pPr>
        <w:spacing w:after="0" w:line="71"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In accordance with ASC 815, “Derivatives and Hedging”, the Company recognizes all derivatives on the consolidated balance sheets at fair value. The accounting for changes in the fair value (i.e., gains or losses) of a derivative instrument depends on their intended use and their designation.</w:t>
      </w:r>
    </w:p>
    <w:p>
      <w:pPr>
        <w:spacing w:after="0" w:line="4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For derivative instruments that hedge the exposure to variability in expected future cash flows that are designated as cash flow hedge, changes in the fair value of these derivatives are recorded in accumulated other comprehensive income (loss) as a component of shareholders’ equity in the consolidated balance sheets until the forecasted transaction occurs. Upon occurrence, the Company reclassifies the related gains or losses on the derivative to the same financial statement line item in the consolidated statements of income (loss) to which the derivative relates. In case the Company discontinues cash flow hedges, it records the related amount in finance income (expenses), net, on the consolidated statements of income (loss).</w:t>
      </w:r>
    </w:p>
    <w:p>
      <w:pPr>
        <w:spacing w:after="0" w:line="72"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Company accounts for its derivative financial instruments as either prepaid expenses and other current assets or accrued expenses and other current liabilities in the consolidated balance sheets at their fair value.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Company’s short-term investments consist of marketable securities and short-term deposits. 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w:t>
      </w:r>
    </w:p>
    <w:p>
      <w:pPr>
        <w:spacing w:after="0" w:line="8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Company carries these securities at fair value and records unrealized gains and losses, net of taxes, in accumulated other comprehensive income (loss) as a component of shareholders’ equity, except for changes in allowance for expected credit losses, which are recorded in finance income (expenses), net.</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periodically evaluates its available-for-sale debt securities for impairment.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finance income (expenses), net, in the consolidated statements of income (loss).</w:t>
      </w:r>
    </w:p>
    <w:p>
      <w:pPr>
        <w:spacing w:after="0" w:line="71"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If neither of these criteria are met, the Company determines whether credit loss exists. Credit loss is estimated by considering changes to the rating of the security by a rating agency, any adverse conditions specifically related to the security, as well as other factors.</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Realized gains and losses on available-for-sale marketable securities are included in the consolidated statements of income (loss).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Trade Receivables and Allowance for Credit Losses</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Trade receivables are recorded at the invoiced amount and amounts for which revenue has been recognized but not invoiced, net of allowance for credit losses. Payment terms and conditions vary by contract type, although terms generally include a requirement to pay within 30 days of the invoice.</w:t>
      </w:r>
    </w:p>
    <w:p>
      <w:pPr>
        <w:spacing w:after="0" w:line="70"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Company’s expected loss allowance methodology for accounts receivable is developed using historical collection experience and current and future economic and market conditions.</w:t>
      </w:r>
    </w:p>
    <w:p>
      <w:pPr>
        <w:spacing w:after="0" w:line="5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estimate of the amount that may not be collected is based on the geographic location, aging and customer financial condition. Additionally, specific allowance amounts are established to record the appropriate provision for customers that have a higher probability of default. The Company writes-off receivables when they are deemed uncollectible, having exhausted all collection efforts.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Credit Risk</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cash equivalents, restricted deposits, short-term investments, trade receivables and other current assets, and derivative instruments.</w:t>
      </w:r>
    </w:p>
    <w:p>
      <w:pPr>
        <w:spacing w:after="0" w:line="7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The Company’s cash, cash equivalents and restricted deposits are invested in major banks mostly in the United States, the United Kingdom and Israel. The Company maintains cash and cash equivalents with diverse financial institutions and monitors the amount of credit exposure to each financial institution.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As of December 31, 2024, the Company maintained cash balances with U.S. and United Kingdom banks that significantly exceed FDIC and FSCS insurance limits and expect we will continue to do so. As of December 31, 2024, the Company has not experienced credit losses related to these balances.</w:t>
      </w:r>
    </w:p>
    <w:p>
      <w:pPr>
        <w:sectPr>
          <w:pgSz w:w="11900" w:h="16871" w:orient="portrait"/>
          <w:cols w:equalWidth="0" w:num="1">
            <w:col w:w="11240"/>
          </w:cols>
          <w:pgMar w:left="320" w:top="126" w:right="339" w:bottom="0" w:gutter="0" w:footer="0" w:header="0"/>
        </w:sectPr>
      </w:pPr>
    </w:p>
    <w:bookmarkStart w:id="66" w:name="page67"/>
    <w:bookmarkEnd w:id="66"/>
    <w:p>
      <w:pPr>
        <w:spacing w:after="0" w:line="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Company’s short-term investments consist of marketable securities and short-term bank deposits. Investments in marketable securities are made in instruments with high credit ratings, in accordance with the Company’s investment policy, and are not insured or guaranteed. Short-term bank deposits are held with a major Israeli bank and are not insured or guaranteed.</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Company’s trade receivables are geographically diversified and derived mainly from sales in the United States, Israel, Germany and United Kingdom.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w:t>
      </w:r>
    </w:p>
    <w:p>
      <w:pPr>
        <w:spacing w:after="0" w:line="6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Company’s derivatives expose it to credit risk to the extent that the counterparties may be unable to meet the terms of the agreement. The Company seeks to mitigate such risk by limiting its counterparties to major financial institutions and by spreading the risk across a number of major financial institutions.</w:t>
      </w:r>
    </w:p>
    <w:p>
      <w:pPr>
        <w:spacing w:after="0" w:line="4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As of December 31, 2024 and December 31, 2023, no single customer accounted for 10% or more of accounts receivable or total revenue for those respective years then ended, except as disclosed in Note 18.</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225"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Company accounts for its leases under ASU 2016-02, “Leases”. The Company determines if an arrangement is or contains a lease at inception. The Company has elected not to recognize short-term leases on the balance sheet, nor separate lease and non-lease components and currently does not have any finance leases.</w:t>
      </w:r>
    </w:p>
    <w:p>
      <w:pPr>
        <w:spacing w:after="0" w:line="4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operating lease right of use assets, or ROU assets, and related lease liability are initially measured at the present value of the future lease payments discounted using the Company’s incremental borrowing rate, because the rate implicit in the Company’s leases is not readily determinable. The Company’s incremental borrowing rate is estimated to approximate the interest rate on similar terms and payments and in economic environments where the leased asset is located.</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Some of the Company’s leases contain one or more options to extend. The exercise of lease renewal options is typically at the Company’s sole discretion. The Company considers various factors such as market conditions and the terms of any renewal options that may exist to determine whether it is reasonably certain to exercise the options to extend the lease at lease inception date.</w:t>
      </w:r>
    </w:p>
    <w:p>
      <w:pPr>
        <w:spacing w:after="0" w:line="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Some of the real estate leases contain variable lease payments, including payments based on a Consumer Price Index (“CPI”). Variable lease payments based on a CPI are initially measured using the index in effect at lease inception, and will not be subsequently adjusted, unless the liability is reassessed for other reasons. Additional payments based on the change in a CPI are recorded as a period expense when incurred.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22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Property and equipment are stated at cost, net of accumulated depreciation. Depreciation is calculated using the straight-line method over the estimated useful lives of the assets at the following annual rates: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Internal-use software</w:t>
            </w:r>
          </w:p>
        </w:tc>
        <w:tc>
          <w:tcPr>
            <w:tcW w:w="3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2"/>
        </w:trPr>
        <w:tc>
          <w:tcPr>
            <w:tcW w:w="10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Over the shorter</w:t>
            </w:r>
          </w:p>
        </w:tc>
        <w:tc>
          <w:tcPr>
            <w:tcW w:w="0" w:type="dxa"/>
            <w:vAlign w:val="bottom"/>
          </w:tcPr>
          <w:p>
            <w:pPr>
              <w:spacing w:after="0"/>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of expected lease</w:t>
            </w:r>
          </w:p>
        </w:tc>
        <w:tc>
          <w:tcPr>
            <w:tcW w:w="0" w:type="dxa"/>
            <w:vAlign w:val="bottom"/>
          </w:tcPr>
          <w:p>
            <w:pPr>
              <w:spacing w:after="0"/>
              <w:rPr>
                <w:sz w:val="1"/>
                <w:szCs w:val="1"/>
                <w:color w:val="auto"/>
              </w:rPr>
            </w:pPr>
          </w:p>
        </w:tc>
      </w:tr>
    </w:tbl>
    <w:p>
      <w:pPr>
        <w:spacing w:after="0" w:line="1"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6"/>
          <w:szCs w:val="16"/>
          <w:color w:val="auto"/>
        </w:rPr>
        <w:t>term or estimated</w:t>
      </w:r>
    </w:p>
    <w:p>
      <w:pPr>
        <w:jc w:val="center"/>
        <w:ind w:left="9980"/>
        <w:spacing w:after="0"/>
        <w:rPr>
          <w:sz w:val="20"/>
          <w:szCs w:val="20"/>
          <w:color w:val="auto"/>
        </w:rPr>
      </w:pPr>
      <w:r>
        <w:rPr>
          <w:rFonts w:ascii="Times New Roman" w:cs="Times New Roman" w:eastAsia="Times New Roman" w:hAnsi="Times New Roman"/>
          <w:sz w:val="16"/>
          <w:szCs w:val="16"/>
          <w:color w:val="auto"/>
        </w:rPr>
        <w:t>useful life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Internal-Use Software Development Costs</w:t>
      </w:r>
    </w:p>
    <w:p>
      <w:pPr>
        <w:spacing w:after="0" w:line="23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According to ASC 350-40 the Company capitalizes certain internal-use software development costs associated with creating and enhancing internal-use software related to its platform and technology infrastructure. These costs include personnel and related employee benefits expenses for employees who are directly associated with and who devote time to software projects, and services consumed in developing or obtaining the software.</w:t>
      </w:r>
    </w:p>
    <w:p>
      <w:pPr>
        <w:spacing w:after="0" w:line="6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Capitalized internal-use software is included in property and equipment, net in the consolidated balance sheets. Software development costs that do not meet the criteria for capitalization are expensed as incurred and recorded in research and development expenses in the consolidated statements of income (loss).</w:t>
      </w:r>
    </w:p>
    <w:p>
      <w:pPr>
        <w:spacing w:after="0" w:line="70"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Costs incurred in the application and infrastructure development stages, including significant enhancements and upgrades, are capitalized. Capitalization ends once a project is substantially complete, and the software and technologies are ready for their intended purpose.</w:t>
      </w:r>
    </w:p>
    <w:p>
      <w:pPr>
        <w:spacing w:after="0" w:line="87"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Internal-use software development costs are amortized using a straight-line method over the estimated useful life of three years, commencing when the software is ready for its intended use.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22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Company records acquisitions based on the fair value of the consideration transferred and then allocates the purchase price to the identifiable assets acquired and liabilities assumed based on their respective fair values as of the acquisition date.</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excess of the value of consideration transferred over the aggregate fair value of those net assets is recorded as goodwill. Any identified definite lived intangible assets will be amortized over their estimated useful lives and any identified intangible assets with indefinite useful lives and goodwill will not be amortized but will be tested for impairment at least annually. When determining the fair value of assets acquired and liabilities assumed, management makes significant estimates and assumptions, including the selection of valuation methodologies, estimates of future revenues and cash flows, discount rates, especially with respect to intangible assets.</w:t>
      </w:r>
    </w:p>
    <w:p>
      <w:pPr>
        <w:spacing w:after="0" w:line="71"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Critical estimates in valuing certain intangible assets include, but are not limited to, future expected cash flows from customer relationships, merchant/network affiliate relationships, publisher relationships, technology, tradenames and discount rates. The Company estimates fair value based upon assumptions that are believed to be reasonable, but which are inherently uncertain and unpredictable and, as a result, actual results may differ from estimates.</w:t>
      </w:r>
    </w:p>
    <w:p>
      <w:pPr>
        <w:spacing w:after="0" w:line="6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Upon the conclusion of the measurement period or final determination of the fair value of assets acquired or liabilities assumed, whichever comes first, any subsequent adjustments are recorded to the Company’s consolidated statements of income (loss).</w:t>
      </w:r>
    </w:p>
    <w:p>
      <w:pPr>
        <w:spacing w:after="0" w:line="4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Acquisition-related transaction costs are not included as a component of consideration transferred, but are accounted for as an expense in the period in which the costs are incurred.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p>
      <w:pPr>
        <w:spacing w:after="0" w:line="225"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Intangible assets consist of identifiable intangible assets that the Company has acquired from previous business combinations. Intangible assets are recorded at fair value, net of accumulated amortization. The Company amortizes its intangible assets reflecting the pattern in which the economic benefits of the intangible assets are consumed. When a pattern cannot be reliably determined, the Company uses a straight-line amortization method. Each period the Company evaluates the estimated remaining useful lives of its intangible assets and whether events or changes in circumstances require a revision to the remaining period of amortization.</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estimated useful lives of the Company’s intangible assets are as follows:</w:t>
      </w:r>
    </w:p>
    <w:p>
      <w:pPr>
        <w:sectPr>
          <w:pgSz w:w="11900" w:h="16845" w:orient="portrait"/>
          <w:cols w:equalWidth="0" w:num="1">
            <w:col w:w="11240"/>
          </w:cols>
          <w:pgMar w:left="320" w:top="126" w:right="339"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5"/>
        </w:trPr>
        <w:tc>
          <w:tcPr>
            <w:tcW w:w="10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13"/>
        </w:trPr>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 Network affiliate relationships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380" w:type="dxa"/>
            <w:vAlign w:val="bottom"/>
            <w:shd w:val="clear" w:color="auto" w:fill="CCEEFF"/>
          </w:tcPr>
          <w:p>
            <w:pPr>
              <w:spacing w:after="0"/>
              <w:rPr>
                <w:sz w:val="18"/>
                <w:szCs w:val="18"/>
                <w:color w:val="auto"/>
              </w:rPr>
            </w:pPr>
          </w:p>
        </w:tc>
      </w:tr>
      <w:tr>
        <w:trPr>
          <w:trHeight w:val="213"/>
        </w:trPr>
        <w:tc>
          <w:tcPr>
            <w:tcW w:w="10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Publisher relationships</w:t>
            </w:r>
          </w:p>
        </w:tc>
        <w:tc>
          <w:tcPr>
            <w:tcW w:w="3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380" w:type="dxa"/>
            <w:vAlign w:val="bottom"/>
          </w:tcPr>
          <w:p>
            <w:pPr>
              <w:spacing w:after="0"/>
              <w:rPr>
                <w:sz w:val="18"/>
                <w:szCs w:val="18"/>
                <w:color w:val="auto"/>
              </w:rPr>
            </w:pPr>
          </w:p>
        </w:tc>
      </w:tr>
      <w:tr>
        <w:trPr>
          <w:trHeight w:val="219"/>
        </w:trPr>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10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assesses the recoverability of its long-lived assets, whenever events or changes in circumstances indicate that their carrying value may not be recoverable, in accordance with ASC 360, “Property, Plant and Equipment”. Recoverability of a long-lived asset is measured by comparing the carrying value of the asset group to the projected undiscounted cash flows over their remaining lives. If the carrying value exceeds the projected undiscounted cash flows, an impairment loss is recognized. Impairment equals the amount by which the carrying value exceeds estimated fair value. An impairment loss is charged to consolidated statements of income (loss) in the period in which management determines such impairment.</w:t>
      </w:r>
    </w:p>
    <w:p>
      <w:pPr>
        <w:spacing w:after="0" w:line="72"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2024, the Company recognized a write-off of internal use software totaling $3,038. There was no impairment of long-lived assets in the years ended December 31, 2023 and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Goodwill represents the excess of the aggregate fair value of the consideration transferred in a business combination over the fair value of the assets acquired, net of liabilities assumed. Goodwill is not amortized, but is subject to impairment testing at the reporting unit level conducted annually on December 31, or more frequently if events or changes in circumstances indicate that goodwill may be impaired. The Company identified a single reporting unit for the purpose of goodwill impairment testing.</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There was no impairment of goodwill in the years ended December 31, 2024,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operates in one operating and reportable segment. Operating segments are defined as components of an enterprise about which separate financial information is evaluated regularly by the Chief Operating Decision Maker (“CODM”), who is the Company’s Chief Executive Officer (“CEO”), in deciding how to allocate resources and assessing performance. The CODM allocates resources and assesses performance based upon discrete financial information at the consolidated level.</w:t>
      </w:r>
    </w:p>
    <w:p>
      <w:pPr>
        <w:spacing w:after="0" w:line="84"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Consolidated net income in the consolidated statements of income (loss) is the measure of financial profit and loss most closely aligned with generally accepted accounting principles that is used by the CEO to assess performance and resource allocation.</w:t>
      </w:r>
    </w:p>
    <w:p>
      <w:pPr>
        <w:spacing w:after="0" w:line="57"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Further, the CODM reviews and utilizes functional expenses (Traffic acquisition cost, Other cost of revenues, sales and marketing, research and development, and general and administrative) at the consolidated level to manage the Company’s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Under ASC 606, “Revenues from Contracts with Customers”, the Company recognizes revenue when its customer obtains control of promised goods or services in an amount that reflects the consideration that the Company expects to receive in exchange for those goods or services. To determine revenue recognition for contracts that are within the scope of the standard, the Company performs the following five steps:</w:t>
      </w:r>
    </w:p>
    <w:p>
      <w:pPr>
        <w:spacing w:after="0" w:line="84"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 with a customer;</w:t>
      </w:r>
    </w:p>
    <w:p>
      <w:pPr>
        <w:spacing w:after="0" w:line="11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performance obligations in the contract, including whether they are distinct in the context of the contract;</w:t>
      </w:r>
    </w:p>
    <w:p>
      <w:pPr>
        <w:spacing w:after="0" w:line="1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 including the constraint on variable consideration;</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performance obligations in the contract;</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Company satisfies the performance obligations.</w:t>
      </w:r>
    </w:p>
    <w:p>
      <w:pPr>
        <w:spacing w:after="0" w:line="12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Company generates revenues when people click on, purchase from or, in some cases, view the ads that appear within its recommendation platform. The Company’s customers are the advertisers, agencies, merchants and affiliate networks that advertise on the Company’s platform (collectively, “Advertisers”). Advertisers pay Taboola for those clicks, purchases or impressions and Taboola generally shares the resulting revenue with the digital properties who display those ads.</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Advertisers accept the Company’s terms of service upon signature on an IO (insertion order) or any applicable form and registration to the platform.</w:t>
      </w:r>
    </w:p>
    <w:p>
      <w:pPr>
        <w:spacing w:after="0" w:line="113" w:lineRule="exact"/>
        <w:rPr>
          <w:sz w:val="20"/>
          <w:szCs w:val="20"/>
          <w:color w:val="auto"/>
        </w:rPr>
      </w:pPr>
    </w:p>
    <w:p>
      <w:pPr>
        <w:ind w:left="660" w:hanging="324"/>
        <w:spacing w:after="0" w:line="269" w:lineRule="auto"/>
        <w:rPr>
          <w:sz w:val="20"/>
          <w:szCs w:val="20"/>
          <w:color w:val="auto"/>
        </w:rPr>
      </w:pPr>
      <w:r>
        <w:rPr>
          <w:rFonts w:ascii="Times New Roman" w:cs="Times New Roman" w:eastAsia="Times New Roman" w:hAnsi="Times New Roman"/>
          <w:sz w:val="16"/>
          <w:szCs w:val="16"/>
          <w:color w:val="auto"/>
        </w:rPr>
        <w:t>– For campaigns priced on a cost-per-click (“CPC”) basis, the Company bills the customers and recognizes revenues when a user clicks on an advertisement displayed.</w:t>
      </w:r>
    </w:p>
    <w:p>
      <w:pPr>
        <w:spacing w:after="0" w:line="293" w:lineRule="exact"/>
        <w:rPr>
          <w:sz w:val="20"/>
          <w:szCs w:val="20"/>
          <w:color w:val="auto"/>
        </w:rPr>
      </w:pPr>
    </w:p>
    <w:p>
      <w:pPr>
        <w:ind w:left="660" w:hanging="324"/>
        <w:spacing w:after="0" w:line="298" w:lineRule="auto"/>
        <w:rPr>
          <w:sz w:val="20"/>
          <w:szCs w:val="20"/>
          <w:color w:val="auto"/>
        </w:rPr>
      </w:pPr>
      <w:r>
        <w:rPr>
          <w:rFonts w:ascii="Times New Roman" w:cs="Times New Roman" w:eastAsia="Times New Roman" w:hAnsi="Times New Roman"/>
          <w:sz w:val="16"/>
          <w:szCs w:val="16"/>
          <w:color w:val="auto"/>
        </w:rPr>
        <w:t>– For campaigns priced on a cost-per-thousand impression basis (“CPM”), the Company bills the customers and recognizes revenues based on the number of times an advertisement is displayed to a user.</w:t>
      </w:r>
    </w:p>
    <w:p>
      <w:pPr>
        <w:spacing w:after="0" w:line="42" w:lineRule="exact"/>
        <w:rPr>
          <w:sz w:val="20"/>
          <w:szCs w:val="20"/>
          <w:color w:val="auto"/>
        </w:rPr>
      </w:pPr>
    </w:p>
    <w:p>
      <w:pPr>
        <w:ind w:left="660" w:hanging="324"/>
        <w:spacing w:after="0" w:line="280" w:lineRule="auto"/>
        <w:rPr>
          <w:sz w:val="20"/>
          <w:szCs w:val="20"/>
          <w:color w:val="auto"/>
        </w:rPr>
      </w:pPr>
      <w:r>
        <w:rPr>
          <w:rFonts w:ascii="Times New Roman" w:cs="Times New Roman" w:eastAsia="Times New Roman" w:hAnsi="Times New Roman"/>
          <w:sz w:val="16"/>
          <w:szCs w:val="16"/>
          <w:color w:val="auto"/>
        </w:rPr>
        <w:t>– For campaigns priced on a performance-based cost-per-action (“CPA”) basis, the Company bills the customers and recognizes revenues when a user makes an acquisition.</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determination of whether revenue should be reported gross of amounts billed to Advertisers (gross basis) or net of payments to digital properties partners (net basis) requires significant judgment and is based on management assessment of whether the Company is acting as the principal or an agent in the transaction. The Company has determined that in certain arrangements it acts as principal because it has the ability to direct the services to its customers, while in others it does not.</w:t>
      </w:r>
    </w:p>
    <w:p>
      <w:pPr>
        <w:spacing w:after="0" w:line="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On revenues presented on a gross basis the Company has contracts with its digital properties that provide exclusivity and cover multiple years at inception. These agreements typically require that the Company’s code be integrated on the digital property web page. Thus, in the vast majority of the Company’s business, it does not bid for an ad placement, but rather it controls the specified pages before they are transferred to the customer, sees all users that visit the respective pages and is able to run a predictive auction and direct the ad placement to the relevant customer. The Company further concluded that (i) the Company is primarily responsible for fulfilling the promise to provide the service in the arrangement and controls what recommendations to place; (ii) the Company has latitude in establishing the contract price with the advertisers, and (iii) the Company has inventory risk on a portion of its multi-year agreement with digital properties. Therefore, based on these and other factors, the Company reports revenue earned on a gross basis.</w:t>
      </w:r>
    </w:p>
    <w:p>
      <w:pPr>
        <w:spacing w:after="0" w:line="8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For those revenue arrangements where the Company does not control the advertising inventory before it is transferred to its Advertisers, does not have inventory risks as the Company does not purchase the advertising inventory upfront or has limited discretion in establishing prices, the Company believes it acts as an agent and recognizes revenue and related costs incurred on a net basis.</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Revenue is recognized net of any taxes collected from customers which are subsequently remitted to governmental entities.</w:t>
      </w:r>
    </w:p>
    <w:p>
      <w:pPr>
        <w:spacing w:after="0" w:line="11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Trade receivables are recorded at the amount of gross billings the Company is responsible to collect, trade payables, representing liabilities towards digital properties, are recorded at the amount payable to publishers.</w:t>
      </w:r>
    </w:p>
    <w:p>
      <w:pPr>
        <w:sectPr>
          <w:pgSz w:w="11900" w:h="16838" w:orient="portrait"/>
          <w:cols w:equalWidth="0" w:num="1">
            <w:col w:w="11240"/>
          </w:cols>
          <w:pgMar w:left="320" w:top="164" w:right="339" w:bottom="0" w:gutter="0" w:footer="0" w:header="0"/>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Practical Expedients</w:t>
      </w:r>
    </w:p>
    <w:p>
      <w:pPr>
        <w:sectPr>
          <w:pgSz w:w="11900" w:h="16838" w:orient="portrait"/>
          <w:cols w:equalWidth="0" w:num="1">
            <w:col w:w="11240"/>
          </w:cols>
          <w:pgMar w:left="320" w:top="164" w:right="339" w:bottom="0" w:gutter="0" w:footer="0" w:header="0"/>
          <w:type w:val="continuous"/>
        </w:sectPr>
      </w:pPr>
    </w:p>
    <w:bookmarkStart w:id="68" w:name="page69"/>
    <w:bookmarkEnd w:id="68"/>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70"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Additionally, the Company has elected to apply the practical expedient such that it does not evaluate payment terms of one year or less for the existence of a significant financing component.</w:t>
      </w:r>
    </w:p>
    <w:p>
      <w:pPr>
        <w:spacing w:after="0" w:line="70"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Company generally expenses sales commissions when incurred because the amortization period would have been one year or less. These costs are recorded within sales and marketing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Company’s cost of revenue primarily includes Traffic acquisition costs and other cost of revenue.</w:t>
      </w:r>
    </w:p>
    <w:p>
      <w:pPr>
        <w:spacing w:after="0" w:line="111" w:lineRule="exact"/>
        <w:rPr>
          <w:sz w:val="20"/>
          <w:szCs w:val="20"/>
          <w:color w:val="auto"/>
        </w:rPr>
      </w:pPr>
    </w:p>
    <w:p>
      <w:pPr>
        <w:jc w:val="both"/>
        <w:ind w:firstLine="243"/>
        <w:spacing w:after="0" w:line="264" w:lineRule="auto"/>
        <w:rPr>
          <w:sz w:val="20"/>
          <w:szCs w:val="20"/>
          <w:color w:val="auto"/>
        </w:rPr>
      </w:pPr>
      <w:r>
        <w:rPr>
          <w:rFonts w:ascii="Times New Roman" w:cs="Times New Roman" w:eastAsia="Times New Roman" w:hAnsi="Times New Roman"/>
          <w:sz w:val="16"/>
          <w:szCs w:val="16"/>
          <w:i w:val="1"/>
          <w:iCs w:val="1"/>
          <w:u w:val="single" w:color="auto"/>
          <w:color w:val="auto"/>
        </w:rPr>
        <w:t>Traffic Acquisition 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Traffic acquisition cost, or TAC, consists primarily of cost related to digital property compensation for placing Taboola’s platform on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digital property and cost for advertising impressions purchased from real-time advertising exchanges and other third parties. Traffic acquisition cost also includes up-front payments, incentive payments, or bonuses paid to the digital property partners, which are amortized over the shorter of respective contractual terms and the economic benefit period of the digital property arrangement. Taboola has two primary compensation models for digital properties. The most common model is a revenue share model. In this model, Taboola agrees to pay a fixed percentage of the revenue that it generates from advertisements placed on the digital properties.</w:t>
      </w:r>
    </w:p>
    <w:p>
      <w:pPr>
        <w:spacing w:after="0" w:line="70"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second model includes guarantees. Under this model, Taboola mostly pays a greater of a fixed percentage of the revenue generated and a committed guaranteed amount per thousand page views (“Minimum guarantee model”). Actual compensation is settled on a monthly basis. Expenses under both the revenue share model as well as the Minimum guarantee model are recorded as incurred, based on actual revenues generated by Taboola at the respective month.</w:t>
      </w:r>
    </w:p>
    <w:p>
      <w:pPr>
        <w:spacing w:after="0" w:line="61"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Other cost of revenue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cost of revenue primarily consists of data center and related costs, depreciation expense related to hardware supporting Taboola’s platform,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expense related to capitalized internal-use software and acquired intangibles, personnel costs, and allocated facilities costs. Personnel costs include salaries, bonuses, share-based compensation, and employee benefit costs, and are primarily attributable to the operations group, which supports the Company’s platform and clients.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Research and development expenses consist primarily of personnel costs, including salaries, bonuses, share-based compensation and employee benefits costs, allocated facilities costs, professional services and depreciation.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Liability</w:t>
      </w:r>
    </w:p>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6"/>
          <w:szCs w:val="16"/>
          <w:color w:val="auto"/>
        </w:rPr>
        <w:t>The Company evaluated the Public Warrants and Private Warrants (collectively: “Warrants”) in accordance with ASC 815-40, ‘‘Derivatives and Hedging— Contracts in Entity’s Own Equity’’, and concluded that a provision in the Warrants Agreement related to certain tender or exchange offers, as well as provisions that provided for potential changes to the settlement amounts dependent upon the characteristics of the holder of the warrant, preclude the Warrants from being accounted for as components of equity.</w:t>
      </w:r>
    </w:p>
    <w:p>
      <w:pPr>
        <w:spacing w:after="0" w:line="27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As the Warrants meet the definition of a derivative as contemplated in ASC 815 and are not eligible for an exception from derivative accounting, the Warrants are recorded as derivative liabilities in the consolidated balance sheets and measured at fair value at inception (on June 29, 2021, the date of the Business Combination) and at each reporting period in accordance with ASC 820, ‘‘Fair Value Measurement’’, with changes in fair value presented within finance income (expense), net in the consolidated statements of income (loss) in the period of change.</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Private Warrants were classified as Level 3 at the initial measurement date due to the use of unobservable inputs.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key inputs into the Black-Scholes model for the Private Warrants as of December 31, 2024 and 2023,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Input</w:t>
            </w:r>
          </w:p>
        </w:tc>
        <w:tc>
          <w:tcPr>
            <w:tcW w:w="9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0" w:type="dxa"/>
            <w:vAlign w:val="bottom"/>
            <w:tcBorders>
              <w:bottom w:val="single" w:sz="8" w:color="auto"/>
            </w:tcBorders>
          </w:tcPr>
          <w:p>
            <w:pPr>
              <w:spacing w:after="0"/>
              <w:rPr>
                <w:sz w:val="18"/>
                <w:szCs w:val="18"/>
                <w:color w:val="auto"/>
              </w:rPr>
            </w:pPr>
          </w:p>
        </w:tc>
      </w:tr>
      <w:tr>
        <w:trPr>
          <w:trHeight w:val="211"/>
        </w:trPr>
        <w:tc>
          <w:tcPr>
            <w:tcW w:w="79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4.28%</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 —</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61.1 %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63.9%</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$11.50</w:t>
            </w:r>
          </w:p>
        </w:tc>
        <w:tc>
          <w:tcPr>
            <w:tcW w:w="1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$11.50</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Underlying stock price</w:t>
            </w:r>
          </w:p>
        </w:tc>
        <w:tc>
          <w:tcPr>
            <w:tcW w:w="9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$3.65</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$4.33</w:t>
            </w:r>
          </w:p>
        </w:tc>
        <w:tc>
          <w:tcPr>
            <w:tcW w:w="6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Company’s use of a Black-Scholes model required the use of subjective assumptions:</w:t>
      </w:r>
    </w:p>
    <w:p>
      <w:pPr>
        <w:spacing w:after="0" w:line="113" w:lineRule="exact"/>
        <w:rPr>
          <w:sz w:val="20"/>
          <w:szCs w:val="20"/>
          <w:color w:val="auto"/>
        </w:rPr>
      </w:pPr>
    </w:p>
    <w:p>
      <w:pPr>
        <w:ind w:left="660" w:hanging="328"/>
        <w:spacing w:after="0" w:line="280"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risk-free interest rate assumption was interpolated based on constant maturity U.S. Treasury rates over a term commensurate with the expected term of the Private Warrants.</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term was based on the maturity of the Private Warrants of five years following June 29, 2021, the Business Combination date, and for certain Private Warrants the maturity was determined to be five years from the date of the October 1, 2020, ION initial public offering effective date.</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share volatility assumption was based on the implied volatility from a set of comparable publicly-traded companies as determined based on size and proximity, for the years ended December 31, 2023 and 2022</w:t>
      </w:r>
    </w:p>
    <w:p>
      <w:pPr>
        <w:spacing w:after="0" w:line="56"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volatility is calculated as the standard deviation of continuously compounded returns for Taboola’s common stock, using a look back period commensurate with the remaining term of each respective warrant, with the exception of the Public Warrants for which the volatility is determined iteratively to calibrate to the traded price.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Share-based compensation expense related to share-based awards is recognized based on the fair value of the awards granted and recognized as an expense over the requisite service period for share options and RSUs. The Company elects the straight-line recognition method for awards subject to graded vesting based only on a service condition and implements the accelerated method for awards that are subject to a performance condition. The compensation expense associated with performance based RSUs is adjusted based on the probability of achieving performance targets. Forfeitures are accounted for as they occur.</w:t>
      </w:r>
    </w:p>
    <w:p>
      <w:pPr>
        <w:spacing w:after="0" w:line="7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award, the expected volatility of the price of the Company’s ordinary shares, risk-free interest rates, and the expected dividend yield of ordinary shares. The fair value of each RSU award is based on the fair value of the underlying ordinary shares on the grant date. The assumptions used to determine the fair value of the share awards represent management’s best estimates. These estimates involve inherent uncertainties and the application of management’s judgment.</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fair value of each option award is estimated using the following assumptions:</w:t>
      </w:r>
    </w:p>
    <w:p>
      <w:pPr>
        <w:sectPr>
          <w:pgSz w:w="11900" w:h="16838" w:orient="portrait"/>
          <w:cols w:equalWidth="0" w:num="1">
            <w:col w:w="11240"/>
          </w:cols>
          <w:pgMar w:left="320" w:top="126" w:right="339" w:bottom="425"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2"/>
        </w:trPr>
        <w:tc>
          <w:tcPr>
            <w:tcW w:w="97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9"/>
        </w:trPr>
        <w:tc>
          <w:tcPr>
            <w:tcW w:w="9700" w:type="dxa"/>
            <w:vAlign w:val="bottom"/>
          </w:tcPr>
          <w:p>
            <w:pPr>
              <w:spacing w:after="0"/>
              <w:rPr>
                <w:sz w:val="19"/>
                <w:szCs w:val="19"/>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97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r>
      <w:tr>
        <w:trPr>
          <w:trHeight w:val="211"/>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66.0 %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66.9%</w:t>
            </w:r>
          </w:p>
        </w:tc>
      </w:tr>
      <w:tr>
        <w:trPr>
          <w:trHeight w:val="213"/>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 —</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3.78%</w:t>
            </w:r>
          </w:p>
        </w:tc>
      </w:tr>
      <w:tr>
        <w:trPr>
          <w:trHeight w:val="21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 —</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6.1</w:t>
            </w:r>
          </w:p>
        </w:tc>
      </w:tr>
    </w:tbl>
    <w:p>
      <w:pPr>
        <w:spacing w:after="0" w:line="3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 did not grant options awards during the years ended December 31, 2024 and 2023.</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These assumptions and estimates were determined as follows: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Fair Value of Ordinary Shares is determined by the closing price of the Company’s Ordinary shares as reported on the date of grant.</w:t>
      </w:r>
    </w:p>
    <w:p>
      <w:pPr>
        <w:spacing w:after="0" w:line="127"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risk-free rate for the expected term of the options is based on the yields of the U.S. Treasury securities with maturities appropriate for the expected term of employee share option awards.</w:t>
      </w:r>
    </w:p>
    <w:p>
      <w:pPr>
        <w:spacing w:after="0" w:line="57"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expected term represents the period that options are expected to be outstanding. The Company determines the expected term using the simplified method. The simplified method deems the term to be the average of the time-to-vesting and the contractual life of the options.</w:t>
      </w:r>
    </w:p>
    <w:p>
      <w:pPr>
        <w:spacing w:after="0" w:line="4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Since the Company has a limited trading history of its Ordinary shares, the expected volatility is derived from the average historical share volatilities based on peer group public companies that the Company considers to be comparable to its own business over a period equivalent to the option’s expected term.</w:t>
      </w:r>
    </w:p>
    <w:p>
      <w:pPr>
        <w:spacing w:after="0" w:line="4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 Company has never declared or paid any cash dividends and does not presently plan to pay cash dividends in the foreseeable future. As a result, an expected dividend yield of zero percent was used.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is subject to income taxes in Israel, the U.S., and other foreign jurisdictions. These foreign jurisdictions may have different statutory rates than in Israel. Income taxes are accounted for in accordance with ASC 740, “Income Taxes”.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72"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financial effect of changes in tax laws or rates is accounted for in the period of enactment. Valuation allowances are provided when necessary to reduce deferred tax assets to the amount expected to be realized.</w:t>
      </w:r>
    </w:p>
    <w:p>
      <w:pPr>
        <w:spacing w:after="0" w:line="7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it can provide no assurance that the final tax outcome of these matters will not be materially different. The Company 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The Company classifies interest and penalties on income taxes (which includes uncertain tax positions) as taxes on income.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Contingency</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evaluates the likelihood of an unfavorable outcome in legal or regulatory proceedings to which it is a party and records a loss contingency when it is probable that a liability has been incurred and the amount of the loss can be reasonably estimated. These judgments are subjective, based on the status of such legal or regulatory proceedings, the merits of the Company’s defenses and consultation with corporate and external legal counsel. Actual outcomes may differ materially from the Company’s estimates. Legal costs associated with the proceedings are expensed as incurred.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 Ordinary Shares</w:t>
      </w:r>
    </w:p>
    <w:p>
      <w:pPr>
        <w:spacing w:after="0" w:line="225"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 Company may repurchase its Ordinary shares and Non-voting Ordinary shares from time to time in the open market, or in other transactions, and holds such shares as treasury Ordinary shares. The Company presents the cost to repurchase treasury Ordinary shares as a separate component and as a reduction of shareholders’ equity.</w:t>
      </w:r>
    </w:p>
    <w:p>
      <w:pPr>
        <w:spacing w:after="0" w:line="70" w:lineRule="exact"/>
        <w:rPr>
          <w:sz w:val="20"/>
          <w:szCs w:val="20"/>
          <w:color w:val="auto"/>
        </w:rPr>
      </w:pPr>
    </w:p>
    <w:p>
      <w:pPr>
        <w:ind w:right="1000" w:firstLine="243"/>
        <w:spacing w:after="0" w:line="492" w:lineRule="auto"/>
        <w:rPr>
          <w:sz w:val="20"/>
          <w:szCs w:val="20"/>
          <w:color w:val="auto"/>
        </w:rPr>
      </w:pPr>
      <w:r>
        <w:rPr>
          <w:rFonts w:ascii="Times New Roman" w:cs="Times New Roman" w:eastAsia="Times New Roman" w:hAnsi="Times New Roman"/>
          <w:sz w:val="16"/>
          <w:szCs w:val="16"/>
          <w:color w:val="auto"/>
        </w:rPr>
        <w:t xml:space="preserve">The Company may reissue treasury Ordinary shares from time to time for various corporate purposes, including in connection with compensatory awards. </w:t>
      </w:r>
      <w:r>
        <w:rPr>
          <w:rFonts w:ascii="Times New Roman" w:cs="Times New Roman" w:eastAsia="Times New Roman" w:hAnsi="Times New Roman"/>
          <w:sz w:val="16"/>
          <w:szCs w:val="16"/>
          <w:b w:val="1"/>
          <w:bCs w:val="1"/>
          <w:i w:val="1"/>
          <w:iCs w:val="1"/>
          <w:color w:val="auto"/>
        </w:rPr>
        <w:t>Net income (loss) Per Share Attributable to Ordinary and Non-voting Ordinary Shareholders</w:t>
      </w:r>
    </w:p>
    <w:p>
      <w:pPr>
        <w:spacing w:after="0" w:line="1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calculates basic net income (loss) per share by dividing the net income (loss) by the weighted-average number of Ordinary shares and Non-voting Ordinary shares outstanding during the period. Diluted net income (loss) per share is computed by giving effect to all potentially dilutive securities outstanding for the period. Diluted net loss per share was the same as basic net loss per share in periods when the effects of potentially dilutive securities were anti-dilutive.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22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(Topics 740): Improvements to Income Tax Disclosures”, which expands the disclosure requirements for income taxes, primarily related to the rate reconciliation and income taxes paid. This ASU is effective for the fiscal years beginning after December 15, 2024. Early adoption permitted. The Company is currently evaluating the impact of this guidance on its consolidated financial statement and related disclosures and will adopt the guidance effective January 1, 2025.</w:t>
      </w:r>
    </w:p>
    <w:p>
      <w:pPr>
        <w:spacing w:after="0" w:line="8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39"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Improvements to Reportable Segment Disclosures”, which expands the annual and interim disclosure requirements for public company reportable segments, primarily through enhanced information about the significant expenses. This ASU is effective for fiscal years beginning after December 15, 2023, and for interim periods within fiscal years beginning after December 15, 2024. The Company adopted this guidance in this Annual Report on Form 10-K in its Notes to Consolidated Financial Statements. The disclosures are included in Note 19 - “Segments and Geographic Information”. There was no impact to the Company’s consolidated balance sheets, consolidated statements of income (loss), consolidated statements of stockholders’ equity or consolidated statements of cash flows.</w:t>
      </w:r>
    </w:p>
    <w:p>
      <w:pPr>
        <w:sectPr>
          <w:pgSz w:w="11900" w:h="16838" w:orient="portrait"/>
          <w:cols w:equalWidth="0" w:num="1">
            <w:col w:w="11240"/>
          </w:cols>
          <w:pgMar w:left="320" w:top="353" w:right="339" w:bottom="0" w:gutter="0" w:footer="0" w:header="0"/>
        </w:sectPr>
      </w:pPr>
    </w:p>
    <w:bookmarkStart w:id="70" w:name="page71"/>
    <w:bookmarkEnd w:id="70"/>
    <w:p>
      <w:pPr>
        <w:jc w:val="both"/>
        <w:spacing w:after="0" w:line="26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1036320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0000FF"/>
              </w:rPr>
              <w:t>Table of Contents</w:t>
            </w:r>
          </w:p>
        </w:tc>
        <w:tc>
          <w:tcPr>
            <w:tcW w:w="300" w:type="dxa"/>
            <w:vAlign w:val="bottom"/>
          </w:tcPr>
          <w:p>
            <w:pPr>
              <w:spacing w:after="0"/>
              <w:rPr>
                <w:sz w:val="19"/>
                <w:szCs w:val="19"/>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tc>
      </w:tr>
      <w:tr>
        <w:trPr>
          <w:trHeight w:val="404"/>
        </w:trPr>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thousands, except share and per share data</w:t>
            </w:r>
          </w:p>
        </w:tc>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933"/>
        </w:trPr>
        <w:tc>
          <w:tcPr>
            <w:tcW w:w="8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NOTE 3:- CASH AND CASH EQUIVALENTS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The following table presents for each reported period, the breakdown of cash and cash equivalents: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99,811</w:t>
            </w:r>
          </w:p>
        </w:tc>
      </w:tr>
      <w:tr>
        <w:trPr>
          <w:trHeight w:val="213"/>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market accounts and funds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72,510</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w:t>
            </w:r>
          </w:p>
        </w:tc>
      </w:tr>
      <w:tr>
        <w:trPr>
          <w:trHeight w:val="207"/>
        </w:trPr>
        <w:tc>
          <w:tcPr>
            <w:tcW w:w="2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226,583</w:t>
            </w:r>
          </w:p>
        </w:tc>
        <w:tc>
          <w:tcPr>
            <w:tcW w:w="100" w:type="dxa"/>
            <w:vAlign w:val="bottom"/>
          </w:tcPr>
          <w:p>
            <w:pPr>
              <w:spacing w:after="0"/>
              <w:rPr>
                <w:sz w:val="17"/>
                <w:szCs w:val="17"/>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176,108</w:t>
            </w:r>
          </w:p>
        </w:tc>
      </w:tr>
      <w:tr>
        <w:trPr>
          <w:trHeight w:val="1488"/>
        </w:trPr>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2" w:name="page73"/>
    <w:bookmarkEnd w:id="72"/>
    <w:p>
      <w:pPr>
        <w:ind w:left="20"/>
        <w:spacing w:after="0"/>
        <w:tabs>
          <w:tab w:leader="none" w:pos="9560" w:val="left"/>
        </w:tabs>
        <w:rPr>
          <w:sz w:val="20"/>
          <w:szCs w:val="20"/>
          <w:color w:val="auto"/>
        </w:rPr>
      </w:pPr>
      <w:r>
        <w:rPr>
          <w:rFonts w:ascii="Times New Roman" w:cs="Times New Roman" w:eastAsia="Times New Roman" w:hAnsi="Times New Roman"/>
          <w:sz w:val="14"/>
          <w:szCs w:val="14"/>
          <w:b w:val="1"/>
          <w:bCs w:val="1"/>
          <w:i w:val="1"/>
          <w:iCs w:val="1"/>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NOTE 4:-</w:t>
      </w:r>
      <w:r>
        <w:rPr>
          <w:sz w:val="20"/>
          <w:szCs w:val="20"/>
          <w:color w:val="auto"/>
        </w:rPr>
        <w:tab/>
      </w:r>
      <w:r>
        <w:rPr>
          <w:rFonts w:ascii="Times New Roman" w:cs="Times New Roman" w:eastAsia="Times New Roman" w:hAnsi="Times New Roman"/>
          <w:sz w:val="15"/>
          <w:szCs w:val="15"/>
          <w:b w:val="1"/>
          <w:bCs w:val="1"/>
          <w:color w:val="auto"/>
        </w:rPr>
        <w:t>FAIR VALUE MEASUREMENTS</w:t>
      </w:r>
    </w:p>
    <w:p>
      <w:pPr>
        <w:spacing w:after="0" w:line="169" w:lineRule="exact"/>
        <w:rPr>
          <w:sz w:val="20"/>
          <w:szCs w:val="20"/>
          <w:color w:val="auto"/>
        </w:rPr>
      </w:pPr>
    </w:p>
    <w:p>
      <w:pPr>
        <w:ind w:firstLine="243"/>
        <w:spacing w:after="0" w:line="298" w:lineRule="auto"/>
        <w:rPr>
          <w:sz w:val="20"/>
          <w:szCs w:val="20"/>
          <w:color w:val="auto"/>
        </w:rPr>
      </w:pPr>
      <w:r>
        <w:rPr>
          <w:rFonts w:ascii="Times New Roman" w:cs="Times New Roman" w:eastAsia="Times New Roman" w:hAnsi="Times New Roman"/>
          <w:sz w:val="16"/>
          <w:szCs w:val="16"/>
          <w:color w:val="auto"/>
        </w:rPr>
        <w:t>The Company evaluates assets and liabilities subject to fair value measurements on a recurring basis to determine the appropriate level to classify them for each reporting period. The Company did not have any transfers between fair value measurements levels in the years ended December 31, 2024 and 2023.</w:t>
      </w:r>
    </w:p>
    <w:p>
      <w:pPr>
        <w:spacing w:after="0" w:line="43" w:lineRule="exact"/>
        <w:rPr>
          <w:sz w:val="20"/>
          <w:szCs w:val="20"/>
          <w:color w:val="auto"/>
        </w:rPr>
      </w:pPr>
    </w:p>
    <w:p>
      <w:pPr>
        <w:ind w:firstLine="243"/>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Company’s assets and liabilities that were measured at fair value as of December 31, 2024 and 2023, by level within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20"/>
                <w:szCs w:val="20"/>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Hierarchy</w:t>
            </w:r>
          </w:p>
        </w:tc>
        <w:tc>
          <w:tcPr>
            <w:tcW w:w="18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940" w:type="dxa"/>
            <w:vAlign w:val="bottom"/>
            <w:gridSpan w:val="6"/>
          </w:tcPr>
          <w:p>
            <w:pPr>
              <w:spacing w:after="0" w:line="179" w:lineRule="exact"/>
              <w:rPr>
                <w:sz w:val="20"/>
                <w:szCs w:val="20"/>
                <w:color w:val="auto"/>
              </w:rPr>
            </w:pPr>
            <w:r>
              <w:rPr>
                <w:rFonts w:ascii="Times New Roman" w:cs="Times New Roman" w:eastAsia="Times New Roman" w:hAnsi="Times New Roman"/>
                <w:sz w:val="16"/>
                <w:szCs w:val="16"/>
                <w:color w:val="auto"/>
              </w:rPr>
              <w:t>Cash equivalents: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accounts and funds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5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auto"/>
              </w:rPr>
              <w:t>Derivative instruments asset:</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 designated as cash flow hedging instruments</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auto"/>
              </w:rPr>
              <w:t>Warrants liability:</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(3,302,613)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 liability:</w:t>
            </w:r>
          </w:p>
        </w:tc>
        <w:tc>
          <w:tcPr>
            <w:tcW w:w="3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Derivative instruments designated as cash flow hedging instruments</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-149860</wp:posOffset>
            </wp:positionV>
            <wp:extent cx="32918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-287020</wp:posOffset>
            </wp:positionV>
            <wp:extent cx="32918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-441325</wp:posOffset>
            </wp:positionV>
            <wp:extent cx="32918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-595630</wp:posOffset>
            </wp:positionV>
            <wp:extent cx="1165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5860"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-732790</wp:posOffset>
            </wp:positionV>
            <wp:extent cx="1165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65860"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-869950</wp:posOffset>
            </wp:positionV>
            <wp:extent cx="20745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74545"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-1041400</wp:posOffset>
            </wp:positionV>
            <wp:extent cx="20745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745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-1195705</wp:posOffset>
            </wp:positionV>
            <wp:extent cx="1165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65860"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-1332865</wp:posOffset>
            </wp:positionV>
            <wp:extent cx="32918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-1478280</wp:posOffset>
            </wp:positionV>
            <wp:extent cx="32918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-1633220</wp:posOffset>
            </wp:positionV>
            <wp:extent cx="32918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-1786890</wp:posOffset>
            </wp:positionV>
            <wp:extent cx="23831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83155" cy="1714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-1924050</wp:posOffset>
            </wp:positionV>
            <wp:extent cx="32918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91840" cy="17145"/>
                    </a:xfrm>
                    <a:prstGeom prst="rect">
                      <a:avLst/>
                    </a:prstGeom>
                    <a:noFill/>
                  </pic:spPr>
                </pic:pic>
              </a:graphicData>
            </a:graphic>
          </wp:anchor>
        </w:drawing>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 classifies its money market accounts and funds as Level 1 based on quoted market prices in active markets.</w:t>
      </w:r>
    </w:p>
    <w:p>
      <w:pPr>
        <w:spacing w:after="0" w:line="11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 Company classifies its short-term investments and derivative instruments within Level 2 as they are valued using inputs other than quoted prices which are directly or indirectly observable in the market, including readily-available pricing sources for the identical underlying security which may not be actively traded.</w:t>
      </w:r>
    </w:p>
    <w:p>
      <w:pPr>
        <w:spacing w:after="0" w:line="70"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8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The following table presents the changes in the fair value of Warrants liability:</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60" w:type="dxa"/>
            <w:vAlign w:val="bottom"/>
          </w:tcPr>
          <w:p>
            <w:pPr>
              <w:spacing w:after="0"/>
              <w:rPr>
                <w:sz w:val="24"/>
                <w:szCs w:val="24"/>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20" w:type="dxa"/>
            <w:vAlign w:val="bottom"/>
          </w:tcPr>
          <w:p>
            <w:pPr>
              <w:spacing w:after="0"/>
              <w:rPr>
                <w:sz w:val="15"/>
                <w:szCs w:val="15"/>
                <w:color w:val="auto"/>
              </w:rPr>
            </w:pPr>
          </w:p>
        </w:tc>
        <w:tc>
          <w:tcPr>
            <w:tcW w:w="78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Input</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Warrants</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60" w:type="dxa"/>
            <w:vAlign w:val="bottom"/>
          </w:tcPr>
          <w:p>
            <w:pPr>
              <w:spacing w:after="0"/>
              <w:rPr>
                <w:sz w:val="15"/>
                <w:szCs w:val="15"/>
                <w:color w:val="auto"/>
              </w:rPr>
            </w:pPr>
          </w:p>
        </w:tc>
        <w:tc>
          <w:tcPr>
            <w:tcW w:w="960" w:type="dxa"/>
            <w:vAlign w:val="bottom"/>
          </w:tcPr>
          <w:p>
            <w:pPr>
              <w:jc w:val="right"/>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Warrants</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r>
      <w:tr>
        <w:trPr>
          <w:trHeight w:val="213"/>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 from private to public holdings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r>
      <w:tr>
        <w:trPr>
          <w:trHeight w:val="207"/>
        </w:trPr>
        <w:tc>
          <w:tcPr>
            <w:tcW w:w="20" w:type="dxa"/>
            <w:vAlign w:val="bottom"/>
          </w:tcPr>
          <w:p>
            <w:pPr>
              <w:spacing w:after="0"/>
              <w:rPr>
                <w:sz w:val="17"/>
                <w:szCs w:val="17"/>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Fair value as of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w:t>
            </w:r>
          </w:p>
        </w:tc>
      </w:tr>
      <w:tr>
        <w:trPr>
          <w:trHeight w:val="1515"/>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3" w:name="page74"/>
    <w:bookmarkEnd w:id="73"/>
    <w:p>
      <w:pPr>
        <w:ind w:left="20"/>
        <w:spacing w:after="0"/>
        <w:tabs>
          <w:tab w:leader="none" w:pos="9560" w:val="left"/>
        </w:tabs>
        <w:rPr>
          <w:sz w:val="20"/>
          <w:szCs w:val="20"/>
          <w:color w:val="auto"/>
        </w:rPr>
      </w:pPr>
      <w:r>
        <w:rPr>
          <w:rFonts w:ascii="Times New Roman" w:cs="Times New Roman" w:eastAsia="Times New Roman" w:hAnsi="Times New Roman"/>
          <w:sz w:val="14"/>
          <w:szCs w:val="14"/>
          <w:b w:val="1"/>
          <w:bCs w:val="1"/>
          <w:i w:val="1"/>
          <w:iCs w:val="1"/>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SHORT-TERM INVESTMENTS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 short-term investments, which were $3,780 as of December 31, 2024, are composed of short-term bank deposits.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is a summary of available-for-sale marketable securities as of December 31, 2023:</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415"/>
        </w:trPr>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62"/>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4"/>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5,725</w:t>
            </w:r>
          </w:p>
        </w:tc>
      </w:tr>
    </w:tbl>
    <w:p>
      <w:pPr>
        <w:spacing w:after="0" w:line="18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As of December 31, 2023, the unrealized losses related to marketable securities (which were accumulated in a period of less than 12 months) were not due to credit losses, and therefore, the Company did not record an allowance for credit losses for its available-for-sale marketable securities.</w:t>
      </w:r>
    </w:p>
    <w:p>
      <w:pPr>
        <w:spacing w:after="0" w:line="3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NOTE 6:-</w:t>
        <w:tab/>
        <w:t>DERIVATIVE INSTRUMENTS AND HEDGING ACTIVITIES</w:t>
      </w:r>
    </w:p>
    <w:p>
      <w:pPr>
        <w:spacing w:after="0" w:line="16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 Company records all cash flow hedging instruments on the consolidated balance sheets at fair value. The fair values of outstanding derivative instruments designated as cash flow hedging instruments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5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76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As of December 31, 2024 and 2023, the notional amounts of the Company’s derivative instruments designated as cash flow hedging instruments outstanding in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amounted to $49,502 and $39,347,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 of Foreign Currency Contracts on the Consolidated Statements of loss</w:t>
      </w:r>
    </w:p>
    <w:p>
      <w:pPr>
        <w:spacing w:after="0" w:line="23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effect of foreign currency contracts designated as cash flow hedge on the consolidated statements of income (loss), for the years ended December 31, 2024, 2023 and 2022,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gains (losses) recognized in the consolidated statements of loss, net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 of Foreign Currency Contracts on Accumulated Other Comprehensive Income (Loss)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Net unrealized gains (losses) of foreign currency contracts designated as cash flow hedging instruments are recorded in accumulated other comprehensive income (loss).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changes in unrealized gains (losses) on the Company’s derivative instruments recorded in accumulated other comprehensive income (loss)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losses on derivative instruments, beginning of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fair value of derivative instruments</w:t>
            </w:r>
          </w:p>
        </w:tc>
        <w:tc>
          <w:tcPr>
            <w:tcW w:w="8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0" w:type="dxa"/>
            <w:vAlign w:val="bottom"/>
          </w:tcPr>
          <w:p>
            <w:pPr>
              <w:spacing w:after="0"/>
              <w:rPr>
                <w:sz w:val="1"/>
                <w:szCs w:val="1"/>
                <w:color w:val="auto"/>
              </w:rPr>
            </w:pPr>
          </w:p>
        </w:tc>
      </w:tr>
      <w:tr>
        <w:trPr>
          <w:trHeight w:val="165"/>
        </w:trPr>
        <w:tc>
          <w:tcPr>
            <w:tcW w:w="7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gains (losses) recognized in the consolidated statements of income (loss) from</w:t>
            </w:r>
          </w:p>
        </w:tc>
        <w:tc>
          <w:tcPr>
            <w:tcW w:w="8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 instruments, end of period</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All net deferred gains (losses) in accumulated other comprehensive income (loss) as of December 31, 2024, are expected to be recognized over the next twelve months as operating expenses in the same financial statement line item in the consolidated statements of income (loss) to which the derivative relates.</w:t>
      </w:r>
    </w:p>
    <w:p>
      <w:pPr>
        <w:spacing w:after="0" w:line="3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NOTE 7:-</w:t>
        <w:tab/>
        <w:t>BUSINESS COMBINATION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Gravity R&amp;D Zrt.</w:t>
      </w:r>
    </w:p>
    <w:p>
      <w:pPr>
        <w:spacing w:after="0" w:line="239"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July 2022, the Company completed the acquisition of Gravity R&amp;D Zrt. (“Gravity R&amp;D”) a privately-held company based in Budapest, Hungary, which provides personalization recommendation services, for a total consideration of $7,035, net of cash acquired. As part of a purchase price allocation, $1,780 was attributed to identified intangible assets and $5,925 to goodwill. Goodwill is not deductible for income tax purposes.</w:t>
      </w:r>
    </w:p>
    <w:p>
      <w:pPr>
        <w:sectPr>
          <w:pgSz w:w="11900" w:h="16838" w:orient="portrait"/>
          <w:cols w:equalWidth="0" w:num="1">
            <w:col w:w="11240"/>
          </w:cols>
          <w:pgMar w:left="320" w:top="167" w:right="339" w:bottom="0" w:gutter="0" w:footer="0" w:header="0"/>
        </w:sectPr>
      </w:pPr>
    </w:p>
    <w:bookmarkStart w:id="74" w:name="page75"/>
    <w:bookmarkEnd w:id="74"/>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In 2022, total acquisition-related transaction costs of $742 were incurred in relation to the acquisition, which were recognized as an expense and included in general and administrative expenses in the consolidated statements of loss.</w:t>
      </w:r>
    </w:p>
    <w:p>
      <w:pPr>
        <w:spacing w:after="0" w:line="70"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results of Gravity R&amp;D operations were consolidated in the Company’s consolidated financial statements commencing on the date of the acquisition and were immaterial to the Company’s results of operations for the year ended December 31, 2022. Pro forma information has not been provided, since the impact of Gravity R&amp;D’s financial results were immaterial to the revenue and net loss of the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PREPAID EXPENSES AND OTHER CURRENT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80" w:type="dxa"/>
            <w:vAlign w:val="bottom"/>
          </w:tcPr>
          <w:p>
            <w:pPr>
              <w:spacing w:after="0"/>
              <w:rPr>
                <w:sz w:val="18"/>
                <w:szCs w:val="18"/>
                <w:color w:val="auto"/>
              </w:rPr>
            </w:pPr>
          </w:p>
        </w:tc>
      </w:tr>
      <w:tr>
        <w:trPr>
          <w:trHeight w:val="219"/>
        </w:trPr>
        <w:tc>
          <w:tcPr>
            <w:tcW w:w="7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19"/>
                <w:szCs w:val="19"/>
                <w:color w:val="auto"/>
              </w:rPr>
            </w:pPr>
          </w:p>
        </w:tc>
      </w:tr>
      <w:tr>
        <w:trPr>
          <w:trHeight w:val="211"/>
        </w:trPr>
        <w:tc>
          <w:tcPr>
            <w:tcW w:w="7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48,878</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institutions</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current asset</w:t>
            </w: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9,348</w:t>
            </w:r>
          </w:p>
        </w:tc>
      </w:tr>
      <w:tr>
        <w:trPr>
          <w:trHeight w:val="20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69,865</w:t>
            </w:r>
          </w:p>
        </w:tc>
      </w:tr>
      <w:tr>
        <w:trPr>
          <w:trHeight w:val="1677"/>
        </w:trPr>
        <w:tc>
          <w:tcPr>
            <w:tcW w:w="7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0000FF"/>
              </w:rPr>
              <w:t>Table of Contents</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tc>
      </w:tr>
      <w:tr>
        <w:trPr>
          <w:trHeight w:val="404"/>
        </w:trPr>
        <w:tc>
          <w:tcPr>
            <w:tcW w:w="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c>
        <w:tc>
          <w:tcPr>
            <w:tcW w:w="1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thousands, except share and per share data</w:t>
            </w:r>
          </w:p>
        </w:tc>
        <w:tc>
          <w:tcPr>
            <w:tcW w:w="2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933"/>
        </w:trPr>
        <w:tc>
          <w:tcPr>
            <w:tcW w:w="6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NOTE 9:- PROPERTY AND EQUIPMENT, NET</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Property and equipment, net consist of the following:</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60" w:type="dxa"/>
            <w:vAlign w:val="bottom"/>
            <w:tcBorders>
              <w:bottom w:val="single" w:sz="8" w:color="auto"/>
            </w:tcBorders>
          </w:tcPr>
          <w:p>
            <w:pPr>
              <w:spacing w:after="0"/>
              <w:rPr>
                <w:sz w:val="24"/>
                <w:szCs w:val="24"/>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equipment and software</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192,555</w:t>
            </w:r>
          </w:p>
        </w:tc>
      </w:tr>
      <w:tr>
        <w:trPr>
          <w:trHeight w:val="213"/>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Internal-use software</w:t>
            </w:r>
          </w:p>
        </w:tc>
        <w:tc>
          <w:tcPr>
            <w:tcW w:w="1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62,864</w:t>
            </w:r>
          </w:p>
        </w:tc>
      </w:tr>
      <w:tr>
        <w:trPr>
          <w:trHeight w:val="219"/>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18,926</w:t>
            </w:r>
          </w:p>
        </w:tc>
      </w:tr>
      <w:tr>
        <w:trPr>
          <w:trHeight w:val="213"/>
        </w:trPr>
        <w:tc>
          <w:tcPr>
            <w:tcW w:w="20" w:type="dxa"/>
            <w:vAlign w:val="bottom"/>
            <w:tcBorders>
              <w:bottom w:val="single" w:sz="8" w:color="CCEEFF"/>
            </w:tcBorders>
          </w:tcPr>
          <w:p>
            <w:pPr>
              <w:spacing w:after="0"/>
              <w:rPr>
                <w:sz w:val="18"/>
                <w:szCs w:val="18"/>
                <w:color w:val="auto"/>
              </w:rPr>
            </w:pPr>
          </w:p>
        </w:tc>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w:t>
            </w:r>
          </w:p>
        </w:tc>
      </w:tr>
      <w:tr>
        <w:trPr>
          <w:trHeight w:val="212"/>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305,563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278,024</w:t>
            </w:r>
          </w:p>
        </w:tc>
      </w:tr>
      <w:tr>
        <w:trPr>
          <w:trHeight w:val="213"/>
        </w:trPr>
        <w:tc>
          <w:tcPr>
            <w:tcW w:w="20" w:type="dxa"/>
            <w:vAlign w:val="bottom"/>
            <w:tcBorders>
              <w:bottom w:val="single" w:sz="8" w:color="CCEEFF"/>
            </w:tcBorders>
          </w:tcPr>
          <w:p>
            <w:pPr>
              <w:spacing w:after="0"/>
              <w:rPr>
                <w:sz w:val="18"/>
                <w:szCs w:val="18"/>
                <w:color w:val="auto"/>
              </w:rPr>
            </w:pPr>
          </w:p>
        </w:tc>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(236,175)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(205,869)</w:t>
            </w:r>
          </w:p>
        </w:tc>
      </w:tr>
      <w:tr>
        <w:trPr>
          <w:trHeight w:val="209"/>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72,155</w:t>
            </w:r>
          </w:p>
        </w:tc>
      </w:tr>
    </w:tbl>
    <w:p>
      <w:pPr>
        <w:spacing w:after="0" w:line="175"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Company capitalized internal-use software costs of $15,665 and $14,431 for the years ended December 31, 2024 and 2023, respectively. The Company’s capitalized internal-use software amortization is included in cost of revenues in the Company’s consolidated statements of income (loss) and totaled to $17,263, $12,446 and $5,422 for the years ended December 31, 2024, 2023 and 2022, respectively.</w:t>
      </w:r>
    </w:p>
    <w:p>
      <w:pPr>
        <w:spacing w:after="0" w:line="6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Total depreciation expenses (including amortization of internal-use software) for the years ended December 31, 2024, 2023 and 2022, were $37,335, $32,624 and $27,664, respectively.</w:t>
      </w:r>
    </w:p>
    <w:p>
      <w:pPr>
        <w:spacing w:after="0" w:line="4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2024, 2023 and 2022, the Company wrote off fully depreciated property and equipment, which were no longer in use, with a cost basis of $7,147, $6,599 and $2,393, respectively.</w:t>
      </w:r>
    </w:p>
    <w:p>
      <w:pPr>
        <w:spacing w:after="0" w:line="43"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During the fiscal year ended December 31, 2024, the Company recognized a one-time write-off of internal use software totaling $3,038. In the fiscal year ended December 31, 2023, and December 31, 2022, the Company did not record any write-offs related to internal us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932180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6" w:name="page77"/>
    <w:bookmarkEnd w:id="76"/>
    <w:p>
      <w:pPr>
        <w:ind w:left="20"/>
        <w:spacing w:after="0"/>
        <w:tabs>
          <w:tab w:leader="none" w:pos="9560" w:val="left"/>
        </w:tabs>
        <w:rPr>
          <w:sz w:val="20"/>
          <w:szCs w:val="20"/>
          <w:color w:val="auto"/>
        </w:rPr>
      </w:pPr>
      <w:r>
        <w:rPr>
          <w:rFonts w:ascii="Times New Roman" w:cs="Times New Roman" w:eastAsia="Times New Roman" w:hAnsi="Times New Roman"/>
          <w:sz w:val="14"/>
          <w:szCs w:val="14"/>
          <w:b w:val="1"/>
          <w:bCs w:val="1"/>
          <w:i w:val="1"/>
          <w:iCs w:val="1"/>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GOODWILL AND INTANGIBLE ASSETS, 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and 2023 the carrying amount of the Company's total goodwill was $555,931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18"/>
        </w:trPr>
        <w:tc>
          <w:tcPr>
            <w:tcW w:w="5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Definite-lived intangible assets, net consist of the following:</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1"/>
        </w:trPr>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Gross Fair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2"/>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Merchant/Network affiliate relationships</w:t>
            </w:r>
          </w:p>
        </w:tc>
        <w:tc>
          <w:tcPr>
            <w:tcW w:w="280" w:type="dxa"/>
            <w:vAlign w:val="bottom"/>
            <w:tcBorders>
              <w:top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146,547</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37,989</w:t>
            </w: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19,154</w:t>
            </w: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Publisher relationships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w:t>
            </w: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301,244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(236,177)</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65,067</w:t>
            </w:r>
          </w:p>
        </w:tc>
      </w:tr>
      <w:tr>
        <w:trPr>
          <w:trHeight w:val="571"/>
        </w:trPr>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Fair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Merchant/Network affiliate relationships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146,547</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70,560</w:t>
            </w: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(43,535)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30,658</w:t>
            </w: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Publisher relationships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17,889</w:t>
            </w: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(18,739)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13,146</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300,916</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(175,658)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125,258</w:t>
            </w: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Amortization expenses for intangible assets were $60,518, $63,888 and $63,557 for the years ended December 31, 2024, 2023 and 2022,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estimated future amortization expense of definite-lived intangible assets as of December 31, 2024, is as follows: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40"/>
        </w:trPr>
        <w:tc>
          <w:tcPr>
            <w:tcW w:w="10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9"/>
        </w:trPr>
        <w:tc>
          <w:tcPr>
            <w:tcW w:w="10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51,407</w:t>
            </w:r>
          </w:p>
        </w:tc>
      </w:tr>
      <w:tr>
        <w:trPr>
          <w:trHeight w:val="213"/>
        </w:trPr>
        <w:tc>
          <w:tcPr>
            <w:tcW w:w="10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13,291</w:t>
            </w:r>
          </w:p>
        </w:tc>
      </w:tr>
      <w:tr>
        <w:trPr>
          <w:trHeight w:val="219"/>
        </w:trPr>
        <w:tc>
          <w:tcPr>
            <w:tcW w:w="10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3"/>
        </w:trPr>
        <w:tc>
          <w:tcPr>
            <w:tcW w:w="10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0"/>
        </w:trPr>
        <w:tc>
          <w:tcPr>
            <w:tcW w:w="10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65,067</w:t>
            </w:r>
          </w:p>
        </w:tc>
      </w:tr>
      <w:tr>
        <w:trPr>
          <w:trHeight w:val="1718"/>
        </w:trPr>
        <w:tc>
          <w:tcPr>
            <w:tcW w:w="10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0000FF"/>
              </w:rPr>
              <w:t>Table of Contents</w:t>
            </w: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TABOOLA.COM LTD.</w:t>
            </w:r>
          </w:p>
        </w:tc>
      </w:tr>
      <w:tr>
        <w:trPr>
          <w:trHeight w:val="404"/>
        </w:trPr>
        <w:tc>
          <w:tcPr>
            <w:tcW w:w="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thousands, except share and per share data</w:t>
            </w:r>
          </w:p>
        </w:tc>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933"/>
        </w:trPr>
        <w:tc>
          <w:tcPr>
            <w:tcW w:w="6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NOTE 11:- ACCRUED EXPENSES AND OTHER CURRENT LIABILITIES</w:t>
            </w: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80" w:type="dxa"/>
            <w:vAlign w:val="bottom"/>
            <w:tcBorders>
              <w:bottom w:val="single" w:sz="8" w:color="auto"/>
            </w:tcBorders>
          </w:tcPr>
          <w:p>
            <w:pPr>
              <w:spacing w:after="0"/>
              <w:rPr>
                <w:sz w:val="24"/>
                <w:szCs w:val="24"/>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and related benefits</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42,976</w:t>
            </w:r>
          </w:p>
        </w:tc>
      </w:tr>
      <w:tr>
        <w:trPr>
          <w:trHeight w:val="213"/>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20,782</w:t>
            </w: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 authorities</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w:t>
            </w:r>
          </w:p>
        </w:tc>
      </w:tr>
      <w:tr>
        <w:trPr>
          <w:trHeight w:val="213"/>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Advances from customers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w:t>
            </w: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vacation pay</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12,659</w:t>
            </w:r>
          </w:p>
        </w:tc>
      </w:tr>
      <w:tr>
        <w:trPr>
          <w:trHeight w:val="213"/>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8,226</w:t>
            </w:r>
          </w:p>
        </w:tc>
      </w:tr>
      <w:tr>
        <w:trPr>
          <w:trHeight w:val="207"/>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44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154,472</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118,689</w:t>
            </w: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LEASES</w:t>
      </w:r>
    </w:p>
    <w:p>
      <w:pPr>
        <w:spacing w:after="0" w:line="169"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The main operating lease expenses include leases of office locations, data centers and vehicles. The lease terms of the Company’s operating leases generally range from 2 years to 11 years, with various expiration dates through 2033.</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presents supplemental information related to the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106045</wp:posOffset>
            </wp:positionV>
            <wp:extent cx="19888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88820" cy="163195"/>
                    </a:xfrm>
                    <a:prstGeom prst="rect">
                      <a:avLst/>
                    </a:prstGeom>
                    <a:noFill/>
                  </pic:spPr>
                </pic:pic>
              </a:graphicData>
            </a:graphic>
          </wp:anchor>
        </w:drawing>
      </w:r>
    </w:p>
    <w:p>
      <w:pPr>
        <w:spacing w:after="0" w:line="17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CCEEFF"/>
            </w:tcBorders>
          </w:tcPr>
          <w:p>
            <w:pPr>
              <w:spacing w:after="0"/>
              <w:rPr>
                <w:sz w:val="18"/>
                <w:szCs w:val="18"/>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operating lease term in years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8"/>
                <w:szCs w:val="18"/>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of operating leases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5.45 %</w:t>
            </w:r>
          </w:p>
        </w:tc>
        <w:tc>
          <w:tcPr>
            <w:tcW w:w="20" w:type="dxa"/>
            <w:vAlign w:val="bottom"/>
          </w:tcPr>
          <w:p>
            <w:pPr>
              <w:spacing w:after="0"/>
              <w:rPr>
                <w:sz w:val="18"/>
                <w:szCs w:val="18"/>
                <w:color w:val="auto"/>
              </w:rPr>
            </w:pPr>
          </w:p>
        </w:tc>
      </w:tr>
      <w:tr>
        <w:trPr>
          <w:trHeight w:val="634"/>
        </w:trPr>
        <w:tc>
          <w:tcPr>
            <w:tcW w:w="9900" w:type="dxa"/>
            <w:vAlign w:val="bottom"/>
            <w:gridSpan w:val="11"/>
          </w:tcPr>
          <w:p>
            <w:pPr>
              <w:ind w:left="260"/>
              <w:spacing w:after="0"/>
              <w:rPr>
                <w:sz w:val="20"/>
                <w:szCs w:val="20"/>
                <w:color w:val="auto"/>
              </w:rPr>
            </w:pPr>
            <w:r>
              <w:rPr>
                <w:rFonts w:ascii="Times New Roman" w:cs="Times New Roman" w:eastAsia="Times New Roman" w:hAnsi="Times New Roman"/>
                <w:sz w:val="16"/>
                <w:szCs w:val="16"/>
                <w:color w:val="auto"/>
              </w:rPr>
              <w:t>The Company lease agreements generally do not contain any material residual value guarantees or material restrictive covenants.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830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auto"/>
              </w:rPr>
              <w:t>The components of lease expense related to leases for the years ended December 31, 2024, 2023 and 2022,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6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19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Components of lease expense:</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23,499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20,286</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18,218</w:t>
            </w:r>
          </w:p>
        </w:tc>
        <w:tc>
          <w:tcPr>
            <w:tcW w:w="20" w:type="dxa"/>
            <w:vAlign w:val="bottom"/>
          </w:tcPr>
          <w:p>
            <w:pPr>
              <w:spacing w:after="0"/>
              <w:rPr>
                <w:sz w:val="18"/>
                <w:szCs w:val="18"/>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 and variable lease cost</w:t>
            </w: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20" w:type="dxa"/>
            <w:vAlign w:val="bottom"/>
            <w:shd w:val="clear" w:color="auto" w:fill="CCEEFF"/>
          </w:tcPr>
          <w:p>
            <w:pPr>
              <w:spacing w:after="0"/>
              <w:rPr>
                <w:sz w:val="19"/>
                <w:szCs w:val="19"/>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34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0" w:type="dxa"/>
            <w:vAlign w:val="bottom"/>
          </w:tcPr>
          <w:p>
            <w:pPr>
              <w:spacing w:after="0"/>
              <w:rPr>
                <w:sz w:val="18"/>
                <w:szCs w:val="18"/>
                <w:color w:val="auto"/>
              </w:rPr>
            </w:pPr>
          </w:p>
        </w:tc>
      </w:tr>
      <w:tr>
        <w:trPr>
          <w:trHeight w:val="459"/>
        </w:trPr>
        <w:tc>
          <w:tcPr>
            <w:tcW w:w="6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Maturities of lease liabilities as of December 31, 2024, were as follows: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24,069</w:t>
            </w:r>
          </w:p>
        </w:tc>
        <w:tc>
          <w:tcPr>
            <w:tcW w:w="20" w:type="dxa"/>
            <w:vAlign w:val="bottom"/>
            <w:shd w:val="clear" w:color="auto" w:fill="CCEEFF"/>
          </w:tcPr>
          <w:p>
            <w:pPr>
              <w:spacing w:after="0"/>
              <w:rPr>
                <w:sz w:val="18"/>
                <w:szCs w:val="18"/>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19,609</w:t>
            </w:r>
          </w:p>
        </w:tc>
        <w:tc>
          <w:tcPr>
            <w:tcW w:w="20" w:type="dxa"/>
            <w:vAlign w:val="bottom"/>
          </w:tcPr>
          <w:p>
            <w:pPr>
              <w:spacing w:after="0"/>
              <w:rPr>
                <w:sz w:val="18"/>
                <w:szCs w:val="18"/>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20" w:type="dxa"/>
            <w:vAlign w:val="bottom"/>
            <w:shd w:val="clear" w:color="auto" w:fill="CCEEFF"/>
          </w:tcPr>
          <w:p>
            <w:pPr>
              <w:spacing w:after="0"/>
              <w:rPr>
                <w:sz w:val="19"/>
                <w:szCs w:val="19"/>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20" w:type="dxa"/>
            <w:vAlign w:val="bottom"/>
          </w:tcPr>
          <w:p>
            <w:pPr>
              <w:spacing w:after="0"/>
              <w:rPr>
                <w:sz w:val="18"/>
                <w:szCs w:val="18"/>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20" w:type="dxa"/>
            <w:vAlign w:val="bottom"/>
            <w:shd w:val="clear" w:color="auto" w:fill="CCEEFF"/>
          </w:tcPr>
          <w:p>
            <w:pPr>
              <w:spacing w:after="0"/>
              <w:rPr>
                <w:sz w:val="19"/>
                <w:szCs w:val="19"/>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20" w:type="dxa"/>
            <w:vAlign w:val="bottom"/>
            <w:tcBorders>
              <w:bottom w:val="single" w:sz="8" w:color="auto"/>
            </w:tcBorders>
          </w:tcPr>
          <w:p>
            <w:pPr>
              <w:spacing w:after="0"/>
              <w:rPr>
                <w:sz w:val="18"/>
                <w:szCs w:val="18"/>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72,114</w:t>
            </w:r>
          </w:p>
        </w:tc>
        <w:tc>
          <w:tcPr>
            <w:tcW w:w="20" w:type="dxa"/>
            <w:vAlign w:val="bottom"/>
            <w:shd w:val="clear" w:color="auto" w:fill="CCEEFF"/>
          </w:tcPr>
          <w:p>
            <w:pPr>
              <w:spacing w:after="0"/>
              <w:rPr>
                <w:sz w:val="18"/>
                <w:szCs w:val="18"/>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20" w:type="dxa"/>
            <w:vAlign w:val="bottom"/>
            <w:tcBorders>
              <w:bottom w:val="single" w:sz="8" w:color="auto"/>
            </w:tcBorders>
          </w:tcPr>
          <w:p>
            <w:pPr>
              <w:spacing w:after="0"/>
              <w:rPr>
                <w:sz w:val="18"/>
                <w:szCs w:val="18"/>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64,442</w:t>
            </w:r>
          </w:p>
        </w:tc>
        <w:tc>
          <w:tcPr>
            <w:tcW w:w="20" w:type="dxa"/>
            <w:vAlign w:val="bottom"/>
            <w:tcBorders>
              <w:bottom w:val="single" w:sz="8" w:color="auto"/>
            </w:tcBorders>
            <w:shd w:val="clear" w:color="auto" w:fill="CCEEFF"/>
          </w:tcPr>
          <w:p>
            <w:pPr>
              <w:spacing w:after="0"/>
              <w:rPr>
                <w:sz w:val="18"/>
                <w:szCs w:val="18"/>
                <w:color w:val="auto"/>
              </w:rPr>
            </w:pPr>
          </w:p>
        </w:tc>
      </w:tr>
      <w:tr>
        <w:trPr>
          <w:trHeight w:val="1515"/>
        </w:trPr>
        <w:tc>
          <w:tcPr>
            <w:tcW w:w="6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-4688205</wp:posOffset>
            </wp:positionV>
            <wp:extent cx="1714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14541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8" w:name="page79"/>
    <w:bookmarkEnd w:id="78"/>
    <w:p>
      <w:pPr>
        <w:spacing w:after="0" w:line="87" w:lineRule="exact"/>
        <w:rPr>
          <w:sz w:val="20"/>
          <w:szCs w:val="20"/>
          <w:color w:val="auto"/>
        </w:rPr>
      </w:pPr>
    </w:p>
    <w:p>
      <w:pPr>
        <w:ind w:left="20"/>
        <w:spacing w:after="0"/>
        <w:tabs>
          <w:tab w:leader="none" w:pos="9560" w:val="left"/>
        </w:tabs>
        <w:rPr>
          <w:sz w:val="20"/>
          <w:szCs w:val="20"/>
          <w:color w:val="auto"/>
        </w:rPr>
      </w:pPr>
      <w:r>
        <w:rPr>
          <w:rFonts w:ascii="Times New Roman" w:cs="Times New Roman" w:eastAsia="Times New Roman" w:hAnsi="Times New Roman"/>
          <w:sz w:val="14"/>
          <w:szCs w:val="14"/>
          <w:b w:val="1"/>
          <w:bCs w:val="1"/>
          <w:i w:val="1"/>
          <w:iCs w:val="1"/>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FINANCING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loan</w:t>
      </w:r>
    </w:p>
    <w:p>
      <w:pPr>
        <w:spacing w:after="0" w:line="23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spacing w:after="0" w:line="6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Facility was fully drawn at closing, net of issuance expenses of $11,250, and the proceeds were used by the Company to finance a portion of the Connexity Acquisition.</w:t>
      </w:r>
    </w:p>
    <w:p>
      <w:pPr>
        <w:spacing w:after="0" w:line="70"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Facility is subject to customary borrowing conditions. The Credit Agreement was amended on June 12, 2023, to replace LIBOR with SOFR and accordingly the Facility bears interest at a variable annual rate based on Term SOFR or Base Rate plus a fixed margin. The Facility will mature on the seventh anniversary of the closing date. and amortizes at a rate of 1.00% per annum payable in equal quarterly installments, with the remaining principal amount due at maturity.</w:t>
      </w:r>
    </w:p>
    <w:p>
      <w:pPr>
        <w:spacing w:after="0" w:line="6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Facility is mandatorily prepayable with a portion of the net cash proceeds of certain dispositions of assets, a portion of Taboola’s excess cash flow and the proceeds of incurrences of indebtedness not permitted under the Credit Agreement.</w:t>
      </w:r>
    </w:p>
    <w:p>
      <w:pPr>
        <w:spacing w:after="0" w:line="70"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 Credit Agreement also contains customary representations, covenants and events of default. Failure to meet the covenants beyond applicable grace periods could result in acceleration of outstanding borrowings and/or termination of the Facility. As of December 31, 2024, the Company was in compliance with the Facility covenants.</w:t>
      </w:r>
    </w:p>
    <w:p>
      <w:pPr>
        <w:spacing w:after="0" w:line="57"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In the years ended December 31, 2024 and 2023 the Company voluntarily prepaid the principal amount of the outstanding debt under the Credit Agreement of $30,000 and $79,250, respectively.</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As of December 31, 2024, the total future principal payments related to Facility are $122,735 and are due at final maturity on September 1, 2028.</w:t>
      </w:r>
    </w:p>
    <w:p>
      <w:pPr>
        <w:spacing w:after="0" w:line="12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stock of subsidiaries, subject to certain exceptions set forth in the Credit Agreement.</w:t>
      </w:r>
    </w:p>
    <w:p>
      <w:pPr>
        <w:spacing w:after="0" w:line="84"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total interest expenses, including issuance costs amortization, recognized in connection with the long-term loan, $15,549 and $19,885, for the years ended December 31, 2024 and 2023, respectively. The long-term loan interest and issuance costs amortization, included as interest expenses, are recognized through the remaining term of the Credit Agreement using the effective interest rate.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Revolving Credit Agreement</w:t>
      </w:r>
    </w:p>
    <w:p>
      <w:pPr>
        <w:spacing w:after="0" w:line="225"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spacing w:after="0" w:line="66"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spacing w:after="0" w:line="7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As of December 31, 2024, the Company was in compliance with the financial covenants and had no outstanding borrowings under the Revolving Credit Agreement.</w:t>
      </w:r>
    </w:p>
    <w:p>
      <w:pPr>
        <w:spacing w:after="0" w:line="127"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As of December 31, 2024, 2023 and 2022, deferred financing costs associated with entering into the Revolving Credit Agreement in the total amount of $722, $893 and $1,147, respectively, were included in short-term and long-term prepaid expenses in the Company’s consolidated balance sheet.</w:t>
      </w:r>
    </w:p>
    <w:p>
      <w:pPr>
        <w:spacing w:after="0" w:line="70"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deferred financing costs are amortized on a straight-line basis over the term of the Revolving Credit Agreement. For the years ended December 31, 2024, 2023 and 2022, deferred financing costs amortization amounted to $378, $254 and $98,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SHAREHOLDERS’ EQUITY AND SHARE INCENTIVE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capital</w:t>
      </w:r>
    </w:p>
    <w:p>
      <w:pPr>
        <w:spacing w:after="0" w:line="225"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spacing w:after="0" w:line="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Company’s Articles, the Non-voting Ordinary shares will have rights identical to the rights of Ordinary shares as described above (see Note 1b).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Buyback Program</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The Company’s board of directors authorized a share buyback program for the repurchase of the Company’s outstanding Shares, which commenced in June 2023 and does not have an expiration date (the “Buyback Program”). In May and November 2023, the Company’s board of directors authorized up to a total of $80,000 of buybacks under the Buyback Program. In February 2024, the Company’s board of directors authorized up to $100,000 for use under the Buyback Program, including any remaining authority from the November 2023 board of directors' authorization.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sectPr>
          <w:pgSz w:w="11900" w:h="16925" w:orient="portrait"/>
          <w:cols w:equalWidth="0" w:num="1">
            <w:col w:w="11240"/>
          </w:cols>
          <w:pgMar w:left="320" w:top="167" w:right="339" w:bottom="0" w:gutter="0" w:footer="0" w:header="0"/>
        </w:sectPr>
      </w:pPr>
    </w:p>
    <w:bookmarkStart w:id="79" w:name="page80"/>
    <w:bookmarkEnd w:id="79"/>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2024, the Company repurchased 18,287,890 Shares, consisting of 17,299,594 Ordinary shares and 988,296 Non-voting Ordinary shares (see Note 18) at an average price of $4.06 per share (excluding broker and transaction fees of $367). As of December 31, 2024, the Company had remaining authorization to repurchase up to an aggregate amount of $45,562, subject to satisfying required conditions under the Isreali Companies Law and Companies Regulations.</w:t>
      </w:r>
    </w:p>
    <w:p>
      <w:pPr>
        <w:spacing w:after="0" w:line="6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In February 2025 the Company's board of directors authorized up to an additional $200,000 for use under the Buyback Program, subject to satisfying required conditions under the Israeli Companies Law and the Companies Regulations (Reliefs for Corporations, Whose Securities Are Listed on Foreign Stock Exchanges) - 2000.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Incentive Plans</w:t>
      </w:r>
    </w:p>
    <w:p>
      <w:pPr>
        <w:spacing w:after="0" w:line="225" w:lineRule="exact"/>
        <w:rPr>
          <w:sz w:val="20"/>
          <w:szCs w:val="20"/>
          <w:color w:val="auto"/>
        </w:rPr>
      </w:pPr>
    </w:p>
    <w:p>
      <w:pPr>
        <w:jc w:val="both"/>
        <w:ind w:left="660" w:hanging="328"/>
        <w:spacing w:after="0" w:line="269" w:lineRule="auto"/>
        <w:tabs>
          <w:tab w:leader="none" w:pos="65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2007, 2016, 2017 and 2020, the Company adopted several share incentive plans (together, the “Legacy Plans”) to provide incentives to the Company’s employees, directors, consultants and/or contractors. In June 2021 the Company adopted (i) the 2021 Share Incentive Plan (the “2021 Plan”, and together with the Legacy Plans, the “Plans”) and (ii) the Employee Stock Purchase Plan (the “ESPP”). Following the effectiveness of the 2021 Plan, the Company ceased making awards under the Legacy Plans, although previously granted awards under the Legacy Plans remain outstanding.</w:t>
      </w:r>
    </w:p>
    <w:p>
      <w:pPr>
        <w:spacing w:after="0" w:line="66" w:lineRule="exact"/>
        <w:rPr>
          <w:rFonts w:ascii="Times New Roman" w:cs="Times New Roman" w:eastAsia="Times New Roman" w:hAnsi="Times New Roman"/>
          <w:sz w:val="16"/>
          <w:szCs w:val="16"/>
          <w:color w:val="auto"/>
        </w:rPr>
      </w:pPr>
    </w:p>
    <w:p>
      <w:pPr>
        <w:ind w:left="66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Plans, the Company’s employees, directors, consultants and/or contractors are or were eligible to be granted equity-related awards, including options to acquire the Company’s Ordinary shares, restricted share units (“RSUs”) and restricted shares.</w:t>
      </w:r>
    </w:p>
    <w:p>
      <w:pPr>
        <w:spacing w:after="0" w:line="70" w:lineRule="exact"/>
        <w:rPr>
          <w:rFonts w:ascii="Times New Roman" w:cs="Times New Roman" w:eastAsia="Times New Roman" w:hAnsi="Times New Roman"/>
          <w:sz w:val="16"/>
          <w:szCs w:val="16"/>
          <w:color w:val="auto"/>
        </w:rPr>
      </w:pPr>
    </w:p>
    <w:p>
      <w:pPr>
        <w:jc w:val="both"/>
        <w:ind w:left="6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related awards generally vest over 4 years and expire 10 years after the date of grant. Most of the RSUs granted prior to June 30, 2021, were subject to a two-tiered vesting arrangement, including a time-based vesting component which is generally over 4 years, and an additional vesting condition of a Merger/Sale or IPO being consummated within 5 years of the grant. RSUs granted under 2021 Plan, following the Company becoming publicly traded, are subject to a time-based vesting condition and in general vest over 4 years of the grant.</w:t>
      </w:r>
    </w:p>
    <w:p>
      <w:pPr>
        <w:spacing w:after="0" w:line="71" w:lineRule="exact"/>
        <w:rPr>
          <w:rFonts w:ascii="Times New Roman" w:cs="Times New Roman" w:eastAsia="Times New Roman" w:hAnsi="Times New Roman"/>
          <w:sz w:val="16"/>
          <w:szCs w:val="16"/>
          <w:color w:val="auto"/>
        </w:rPr>
      </w:pPr>
    </w:p>
    <w:p>
      <w:pPr>
        <w:jc w:val="both"/>
        <w:ind w:left="6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maximum number of the Company’s Ordinary shares available for issuance under the 2021 Plan is equal to the sum of (i) 31,932,902 Ordinary shares, (ii) any shares subject to awards under the Legacy Plans which have expired, or were canceled, terminated, forfeited or settled in cash in lieu of issuance of shares or become unexercisable without having been exercised, and (iii) an annual increase on the first day of each year beginning in 2022 and on January 1 of each calendar year thereafter during the term of the 2021 Plan, equal to the lesser of (A) 5% of the outstanding shares on the last day of the immediately preceding calendar year and (B) such amount as determined by the Company’s board of directors if so determined prior to January 1 of a calendar year.</w:t>
      </w:r>
    </w:p>
    <w:p>
      <w:pPr>
        <w:spacing w:after="0" w:line="282" w:lineRule="exact"/>
        <w:rPr>
          <w:rFonts w:ascii="Times New Roman" w:cs="Times New Roman" w:eastAsia="Times New Roman" w:hAnsi="Times New Roman"/>
          <w:sz w:val="16"/>
          <w:szCs w:val="16"/>
          <w:color w:val="auto"/>
        </w:rPr>
      </w:pPr>
    </w:p>
    <w:p>
      <w:pPr>
        <w:jc w:val="both"/>
        <w:ind w:left="6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maximum number of the Company’s Ordinary shares available for issuance under the ESPP shall not exceed in the aggregate 6,386,580 Ordinary shares. The ESPP share pool will be increased on the first day of each fiscal year during the term of the ESPP in an amount equal to the lesser of (i) 6,386,580 the Company’s ordinary shares, (ii) 2% of the total number of shares of the Ordinary shares outstanding (on a fully diluted basis) on the last day of the immediately preceding fiscal year, and (iii) such amount as determined by the Company’s board of directors if so determined prior to January 1 of a calendar year. As of December 31, 2024, the ESPP has not been activated and no Ordinary shares had been issued under the ESPP, therefore in the last two years the Company’s board of directors decided to disable the automatic enlargement feature included in the ESPP, as described above.</w:t>
      </w:r>
    </w:p>
    <w:p>
      <w:pPr>
        <w:spacing w:after="0" w:line="200" w:lineRule="exact"/>
        <w:rPr>
          <w:rFonts w:ascii="Times New Roman" w:cs="Times New Roman" w:eastAsia="Times New Roman" w:hAnsi="Times New Roman"/>
          <w:sz w:val="16"/>
          <w:szCs w:val="16"/>
          <w:color w:val="auto"/>
        </w:rPr>
      </w:pPr>
    </w:p>
    <w:p>
      <w:pPr>
        <w:spacing w:after="0" w:line="224"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Buyback Program detailed above, the Company utilizes a net issuance mechanism to satisfy tax withholding obligations related to equity-based compensation on behalf of its directors, officers and other employees (the “Net Issuances”). In April 2024, the Company satisfied the required conditions, as set forth in the Israeli Companies Law and the Companies Regulations, to conduct future repurchases of its Ordinary shares under the Buyback Program and Net Issuances in an aggregate amount up to $100,000, which amount was partly utilized under the Company’s previous Israeli court authorization. The Company’s board of directors have the authority to determine the amount to be utilized for Net Issuances and Ordinary share repurchases.</w:t>
      </w:r>
    </w:p>
    <w:p>
      <w:pPr>
        <w:spacing w:after="0" w:line="71" w:lineRule="exact"/>
        <w:rPr>
          <w:rFonts w:ascii="Times New Roman" w:cs="Times New Roman" w:eastAsia="Times New Roman" w:hAnsi="Times New Roman"/>
          <w:sz w:val="16"/>
          <w:szCs w:val="16"/>
          <w:color w:val="auto"/>
        </w:rPr>
      </w:pPr>
    </w:p>
    <w:p>
      <w:pPr>
        <w:jc w:val="both"/>
        <w:ind w:left="66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2024, 2023 and 2022, the Company utilized the net issuance mechanism in connection with equity-based compensation for certain executive officers, which resulted in a tax withholding payment by the Company of $3,086, $3,804 and $5,751, respectively, which were recorded as a reduction of additional paid-in capital.</w:t>
      </w:r>
    </w:p>
    <w:p>
      <w:pPr>
        <w:spacing w:after="0" w:line="62" w:lineRule="exact"/>
        <w:rPr>
          <w:rFonts w:ascii="Times New Roman" w:cs="Times New Roman" w:eastAsia="Times New Roman" w:hAnsi="Times New Roman"/>
          <w:sz w:val="16"/>
          <w:szCs w:val="16"/>
          <w:color w:val="auto"/>
        </w:rPr>
      </w:pPr>
    </w:p>
    <w:p>
      <w:pPr>
        <w:ind w:left="660" w:hanging="328"/>
        <w:spacing w:after="0" w:line="280" w:lineRule="auto"/>
        <w:tabs>
          <w:tab w:leader="none" w:pos="65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is a summary of share option activity and related information for the year ended December 31, 2024 (including employees, directors, officers and consultants of the Company):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4"/>
                <w:szCs w:val="14"/>
                <w:color w:val="auto"/>
              </w:rPr>
            </w:pPr>
          </w:p>
        </w:tc>
        <w:tc>
          <w:tcPr>
            <w:tcW w:w="10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 Options</w:t>
            </w: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29,291,285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57,118</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(3,551,720)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25,157,131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36,594</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December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23,047,530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During the years ended December 31, 2024 and 2023, the Company did not grant options (see Note 2).</w:t>
      </w:r>
    </w:p>
    <w:p>
      <w:pPr>
        <w:spacing w:after="0" w:line="113"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The aggregate intrinsic value in the table above represents the total intrinsic value that would have been received by the option holders had all option holders exercised their options on the last date of the period.</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weighted-average grant date fair value of options granted during the year ended December 31,2022, was $3.07.</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total intrinsic value of options exercised during the years ended December 31, 2024, 2023 and 2022, was $6,630, $11,866 and $26,473, respectively.</w:t>
      </w:r>
    </w:p>
    <w:p>
      <w:pPr>
        <w:spacing w:after="0" w:line="113"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As of December 31, 2024, unrecognized share-based compensation cost related to unvested share options was $13,614, which is expected to be recognized over a weighted-average period of 1.45 years.</w:t>
      </w:r>
    </w:p>
    <w:p>
      <w:pPr>
        <w:spacing w:after="0" w:line="4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is a summary of the RSU activity and related information for the year ended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9"/>
        </w:trPr>
        <w:tc>
          <w:tcPr>
            <w:tcW w:w="80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24"/>
                <w:szCs w:val="24"/>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Restricted Shares</w:t>
            </w: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4"/>
        </w:trPr>
        <w:tc>
          <w:tcPr>
            <w:tcW w:w="80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8"/>
                <w:szCs w:val="18"/>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52"/>
        </w:trPr>
        <w:tc>
          <w:tcPr>
            <w:tcW w:w="802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(10,049,326)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(2,242,154)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25,440,611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ectPr>
          <w:pgSz w:w="11900" w:h="16838" w:orient="portrait"/>
          <w:cols w:equalWidth="0" w:num="1">
            <w:col w:w="11240"/>
          </w:cols>
          <w:pgMar w:left="320" w:top="126" w:right="339" w:bottom="136" w:gutter="0" w:footer="0" w:header="0"/>
        </w:sectPr>
      </w:pPr>
    </w:p>
    <w:bookmarkStart w:id="80" w:name="page81"/>
    <w:bookmarkEnd w:id="80"/>
    <w:p>
      <w:pPr>
        <w:spacing w:after="0" w:line="64" w:lineRule="exact"/>
        <w:rPr>
          <w:sz w:val="20"/>
          <w:szCs w:val="20"/>
          <w:color w:val="auto"/>
        </w:rPr>
      </w:pPr>
    </w:p>
    <w:p>
      <w:pPr>
        <w:ind w:left="660" w:right="20" w:hanging="328"/>
        <w:spacing w:after="0" w:line="280"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shares that vested were netted out to satisfy the tax obligations of the recipients. During the year ended December 31, 2024, a total of 810,179 RSUs were canceled to satisfy tax obligations, resulting in net issuance of 810,184 Ordinary shares.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release date fair value of RSUs was $36,221, for the year ended December 31, 2024.</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weighted-average grant date fair value of RSUs granted during the years ended December 31, 2024, 2023 and 2022, was $4.60, $3.54 and $5.47, respectively.</w:t>
      </w:r>
    </w:p>
    <w:p>
      <w:pPr>
        <w:spacing w:after="0" w:line="1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of December 31, 2024, unrecognized share-based compensation cost related to unvested RSUs was $98,807, which is expected to be recognized over a weighted-average period of 2.5 years.</w:t>
      </w:r>
    </w:p>
    <w:p>
      <w:pPr>
        <w:spacing w:after="0" w:line="57"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total share-based compensation expense related to all of the Company’s share-based awards recognized for the years ended December 31, 2024, 2023 and 2022, were comprised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22,615</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22,781</w:t>
            </w: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64,331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EMPLOYEES CONTRIBUTION PLAN</w:t>
      </w:r>
    </w:p>
    <w:p>
      <w:pPr>
        <w:spacing w:after="0" w:line="169" w:lineRule="exact"/>
        <w:rPr>
          <w:sz w:val="20"/>
          <w:szCs w:val="20"/>
          <w:color w:val="auto"/>
        </w:rPr>
      </w:pPr>
    </w:p>
    <w:p>
      <w:pPr>
        <w:jc w:val="both"/>
        <w:ind w:left="660" w:hanging="328"/>
        <w:spacing w:after="0" w:line="260" w:lineRule="auto"/>
        <w:tabs>
          <w:tab w:leader="none" w:pos="65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Israel’s Severance Pay Law, Israeli employees are entitled to severance pay equal to one month’s salary for each year of employment, or a portion thereof. The employees of the Israeli subsidiary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 For the years ended December 31, 2024, 2023 and 2022, the Company recorded $6,679, $5,989 and $6,638 respectively, in severance expenses related to these employees.</w:t>
      </w:r>
    </w:p>
    <w:p>
      <w:pPr>
        <w:spacing w:after="0" w:line="86" w:lineRule="exact"/>
        <w:rPr>
          <w:rFonts w:ascii="Times New Roman" w:cs="Times New Roman" w:eastAsia="Times New Roman" w:hAnsi="Times New Roman"/>
          <w:sz w:val="16"/>
          <w:szCs w:val="16"/>
          <w:color w:val="auto"/>
        </w:rPr>
      </w:pPr>
    </w:p>
    <w:p>
      <w:pPr>
        <w:jc w:val="both"/>
        <w:ind w:left="660" w:hanging="328"/>
        <w:spacing w:after="0" w:line="259"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offers a 401(k) Savings plan in the U.S. that qualifies as a deferred salary arrangement under Section 401(k) of the Internal Revenue Code (the “401(k) Plan”). Under the 401(k) Plan, participating employees can contribute up to 100% of their eligible compensation, subject to certain limitations. The 401(k) Plan provides for a discretionary employer matching contribution. The Company matches 50% of participating employee contributions to the plan up to 6% of the employee’s eligible compensation. For the years ended December 31, 2024, 2023 and 2022, the Company recorded $2,083, $1,769 and $1,766, respectively, of expenses related to the 401(k) plan.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rates</w:t>
      </w:r>
    </w:p>
    <w:p>
      <w:pPr>
        <w:spacing w:after="0" w:line="225"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Ordinary taxable income in Israel is subject to a corporate tax rate of 23%. However, the effective tax rate payable by a company that derives income from a Preferred Technological Enterprise (as discussed below) may be considerably lower. Non-Israeli subsidiaries are taxed according to the tax laws in their jurisdictions.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benefits applicable to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The Law for the Encouragement of Industry (Taxes), 1969:</w:t>
      </w:r>
    </w:p>
    <w:p>
      <w:pPr>
        <w:spacing w:after="0" w:line="23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Law for the Encouragement of Industry (Taxes), 1969 (the “Encouragement of Industry Law”), provides several tax benefits for “Industrial Companies”. Pursuant to the Encouragement of Industry Law, a company qualifies as an Industrial Company if it is a resident of Israel, the enterprise should be located in Israel and at least 90% of its income in any tax year (exclusive of income from government loans, capital gains, interest and dividends) is generated from an “Industrial Enterprise” that it owns. An Industrial Enterprise is defined as an enterprise whose principal activity, in a given tax year, is industrial activity.</w:t>
      </w:r>
    </w:p>
    <w:p>
      <w:pPr>
        <w:spacing w:after="0" w:line="71"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6"/>
          <w:szCs w:val="16"/>
          <w:color w:val="auto"/>
        </w:rPr>
        <w:t>An Industrial Company is entitled to certain tax benefits, including: (i) a deduction of the cost of purchases of patents, know-how and certain other intangible property rights (other than goodwill) used for the development or promotion of the Industrial Enterprise in equal amounts over a period of eight years, beginning from the year in which such rights were first used, (ii) the right to elect to file consolidated tax returns, under certain conditions, with additional Israeli Industrial Companies controlled by it, and (iii) the right to deduct expenses related to public offerings in equal amounts over a period of three years beginning from the year of the offering.</w:t>
      </w:r>
    </w:p>
    <w:p>
      <w:pPr>
        <w:spacing w:after="0" w:line="66"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Eligibility for benefits under the Encouragement of Industry Law is not contingent upon the approval of any governmental authority. The Company believes that it currently qualifies as an industrial company within the definition of the Encouragement of Industry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Tax benefits under the Law for the Encouragement of Capital Investments, 1959:</w:t>
      </w:r>
    </w:p>
    <w:p>
      <w:pPr>
        <w:spacing w:after="0" w:line="22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Pursuant to the Israeli Law for Encouragement of Capital Investments, 1959 (the “Investments Law”) and its various amendments, the Company has been granted a “Beneficiary Enterprise” status. The Company has utilized a tax exemption status for the years 2018 and 2019.</w:t>
      </w:r>
    </w:p>
    <w:p>
      <w:pPr>
        <w:spacing w:after="0" w:line="4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benefits available to a Beneficiary Enterprise in Israel relate only to taxable income attributable to the specific investment program and are conditioned upon terms stipulated in the Investments Law. If the Company does not fulfill these conditions, in whole or in part, the benefits can be revoked, and the Company may be required to refund the benefits, in an amount linked to the Israeli consumer price index plus interest.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Tax exempt earnings are subject to claw back of the corporate tax return when they are distributed as dividend.</w:t>
      </w:r>
    </w:p>
    <w:p>
      <w:pPr>
        <w:spacing w:after="0" w:line="113"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6"/>
          <w:szCs w:val="16"/>
          <w:color w:val="auto"/>
        </w:rPr>
        <w:t>On November 15, 2021, the Investments Law was amended in order, inter alia, to encourage companies to voluntarily elect for an immediate payment of corporate tax on previously tax-exempted earnings which were earned pursuant to Approved and Privileged Enterprises (the “Amendment”). The Amendment provides a reduced corporate tax payment on Exempt Earnings accumulated until December 30, 2020, that were not yet distributed as a dividend, all subject to certain qualifying terms and conditions.</w:t>
      </w:r>
    </w:p>
    <w:p>
      <w:pPr>
        <w:spacing w:after="0" w:line="26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Company had $54,784 in tax-exempt earnings attributable to the Privileged Enterprise programs. The Company elected to utilize the Amendment in December 2021 and paid the reduced corporate income tax in the amount of approximately $4,355. As a result of the election, as of December 31, 2021 the Company released all of its previously tax-exempt earnings and they are no longer subject to claw back of corporate taxes upon future dividend distribution.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The Technological Enterprise Incentives Regime (Amendment 73 to the Investments Law):</w:t>
      </w:r>
    </w:p>
    <w:p>
      <w:pPr>
        <w:spacing w:after="0" w:line="237"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 Company applies various benefits allotted to it under the revised Investments Law as per Amendment 73 to the Investments Law regimes through regulations that have come into effect from January 1, 2017. Applicable benefits under the new regime include:</w:t>
      </w:r>
    </w:p>
    <w:p>
      <w:pPr>
        <w:spacing w:after="0" w:line="57" w:lineRule="exact"/>
        <w:rPr>
          <w:sz w:val="20"/>
          <w:szCs w:val="20"/>
          <w:color w:val="auto"/>
        </w:rPr>
      </w:pPr>
    </w:p>
    <w:p>
      <w:pPr>
        <w:jc w:val="both"/>
        <w:ind w:left="660" w:hanging="328"/>
        <w:spacing w:after="0" w:line="298"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Introduction of a benefit regime for “Preferred Technology Enterprises” (“PTE”), granting a 12% tax rate in central Israel on income deriving from benefited intangible assets, subject to a number of conditions being fulfilled, including a minimal amount or ratio of annual research and development expenditure and</w:t>
      </w:r>
    </w:p>
    <w:p>
      <w:pPr>
        <w:sectPr>
          <w:pgSz w:w="11900" w:h="16902" w:orient="portrait"/>
          <w:cols w:equalWidth="0" w:num="1">
            <w:col w:w="11240"/>
          </w:cols>
          <w:pgMar w:left="320" w:top="126" w:right="339" w:bottom="0" w:gutter="0" w:footer="0" w:header="0"/>
        </w:sectPr>
      </w:pPr>
    </w:p>
    <w:bookmarkStart w:id="81" w:name="page82"/>
    <w:bookmarkEnd w:id="81"/>
    <w:p>
      <w:pPr>
        <w:ind w:left="660"/>
        <w:spacing w:after="0" w:line="280" w:lineRule="auto"/>
        <w:rPr>
          <w:sz w:val="20"/>
          <w:szCs w:val="20"/>
          <w:color w:val="auto"/>
        </w:rPr>
      </w:pPr>
      <w:r>
        <w:rPr>
          <w:rFonts w:ascii="Times New Roman" w:cs="Times New Roman" w:eastAsia="Times New Roman" w:hAnsi="Times New Roman"/>
          <w:sz w:val="16"/>
          <w:szCs w:val="16"/>
          <w:color w:val="auto"/>
        </w:rPr>
        <w:t>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70" w:lineRule="exact"/>
        <w:rPr>
          <w:sz w:val="20"/>
          <w:szCs w:val="20"/>
          <w:color w:val="auto"/>
        </w:rPr>
      </w:pPr>
    </w:p>
    <w:p>
      <w:pPr>
        <w:ind w:left="660" w:right="20"/>
        <w:spacing w:after="0" w:line="280" w:lineRule="auto"/>
        <w:rPr>
          <w:sz w:val="20"/>
          <w:szCs w:val="20"/>
          <w:color w:val="auto"/>
        </w:rPr>
      </w:pPr>
      <w:r>
        <w:rPr>
          <w:rFonts w:ascii="Times New Roman" w:cs="Times New Roman" w:eastAsia="Times New Roman" w:hAnsi="Times New Roman"/>
          <w:sz w:val="16"/>
          <w:szCs w:val="16"/>
          <w:color w:val="auto"/>
        </w:rPr>
        <w:t>A “Special Preferred Technological Enterprise” (“SPTE”) from which total consolidated revenues of the Group of which the Company is a member exceeds NIS 10 billion in the tax year will be subject to tax at a rate of 6% on preferred income from the enterprise, regardless of the enterprise’s geographical location.</w:t>
      </w:r>
    </w:p>
    <w:p>
      <w:pPr>
        <w:spacing w:after="0" w:line="70" w:lineRule="exact"/>
        <w:rPr>
          <w:sz w:val="20"/>
          <w:szCs w:val="20"/>
          <w:color w:val="auto"/>
        </w:rPr>
      </w:pPr>
    </w:p>
    <w:p>
      <w:pPr>
        <w:ind w:left="660" w:hanging="328"/>
        <w:spacing w:after="0" w:line="280" w:lineRule="auto"/>
        <w:tabs>
          <w:tab w:leader="none" w:pos="64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12% capital gains tax rate on the sale of a preferred intangible asset to a foreign affiliated enterprise, provided that the asset was initially purchased from a foreign resident at an amount of NIS 200 million or more.</w:t>
      </w:r>
    </w:p>
    <w:p>
      <w:pPr>
        <w:spacing w:after="0" w:line="56"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withholding tax rate of 20% for dividends paid from PTE income (with an exemption from such withholding tax applying to dividends paid to an Israeli company) may be reduced to 4% on dividends paid to a foreign resident company, subject to certain conditions regarding percentage of foreign ownership of the distributing entity.</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 is eligible for PTE status which is implemented commencing 2021 and believes it is eligible for its tax benefits.</w:t>
      </w:r>
    </w:p>
    <w:p>
      <w:pPr>
        <w:spacing w:after="0" w:line="11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In 2023, the Company received a Tax Ruling from the Israeli Tax Authority that its activity is an industrial activity and is eligible for the status of a PTE, provided that the Company meets the requirements under the tax ruling. As of December 31, 2024, management believes that the Company meets the aforementioned conditions.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Tax</w:t>
      </w:r>
    </w:p>
    <w:p>
      <w:pPr>
        <w:spacing w:after="0" w:line="22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On December 22, 2017, the Tax Cuts and Jobs Act (P.L. 115-97) (“TCJA”) was enacted, making significant changes to the U.S. tax law. Changes include, but are not limited to, a corporate income tax rate decrease from 35% to 21%, effective for tax years beginning January 1, 2018 and the transition of U.S. international taxation from a worldwide tax system to a modified territorial system, with a one-time mandatory transition tax on U.S. shareholder’s share of post-1986 earnings of all foreign corporations in which it owns at least 10% and created new taxes on certain foreign-sourced earnings and certain related-party payments - the Global Intangible Low Taxed Income (“GILTI”). Furthermore, changes introduced by the Tax Act to Section 174 of the Internal Revenue Code, that came into effect on January 1, 2022, require taxpayers to amortize research and development expenditures over five years (if expensed by a U.S. entity) or fifteen years (if expensed by non-U.S. entities), thereby increasing taxable income and payable tax.</w:t>
      </w:r>
    </w:p>
    <w:p>
      <w:pPr>
        <w:spacing w:after="0" w:line="87"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In addition to lowering the statutory corporate income tax rate from 35% to 21%, and among other U.S. international tax provisions, the TCJA introduced the Base Erosion Anti-abuse Tax (“BEAT”) which applies a minimum tax on multinational corporations by requiring companies subject to the BEAT to pay the greater of their regular tax liability (less certain credits, including foreign tax credits) or 10% for taxable years beginning in 2019 (12.5% after 2026) of a modified tax base which adds back certain related party payments. The BEAT comparison to the standard corporate income tax must be done each year if the taxpayer’s “base erosion” related party payments exceed 3% of total deductions on its U.S. tax return (“base erosion percentage” is generally the aggregate amount of base erosion tax benefits divided by aggregate amount of all allowable deductions).</w:t>
      </w:r>
    </w:p>
    <w:p>
      <w:pPr>
        <w:spacing w:after="0" w:line="73"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The BEAT applies to “applicable taxpayers” making “base erosion payments” (deductible payments) to foreign related parties. “Applicable taxpayers” are U.S. corporations with average annual gross receipts for the 3-taxable-year period ending with the preceding taxable year are at least $500,000. Taboola Inc. is an “applicable taxpayer” for BEAT purposes in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Pillar two</w:t>
      </w:r>
    </w:p>
    <w:p>
      <w:pPr>
        <w:spacing w:after="0" w:line="23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In December 2021, the Organization for Economic Co-operation and Development Inclusive Framework on Base Erosion Profit Shifting released Model Global Anti-Base Erosion rules (“Model Rules”) under Pillar Two. The Model Rules set forth the “common approach” for a global minimum tax rate at 15% for multinational enterprises with a turnover of more than Euros 750 million. Rules under Pillar Two were effective from January 1, 2024.</w:t>
      </w:r>
    </w:p>
    <w:p>
      <w:pPr>
        <w:spacing w:after="0" w:line="6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Company assessed the impact of adopting Pillar Two rules on its consolidated financial statements. In certain jurisdictions, information required for the assessment is still being gathered and, therefore, the assessment is not complete. Based on the transitional country by country reporting (“CbCR”) safe harbor tests carried out so far, Taboola Group has identified potential impact to Pillar Two top-up taxes on profits earned in certain jurisdictions. The potential impact comes from the constituent entities in these jurisdictions where according to the transitional CbCR safe harbor tests, the simplified effective tax rate is below 15%.</w:t>
      </w:r>
    </w:p>
    <w:p>
      <w:pPr>
        <w:spacing w:after="0" w:line="71"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the income (loss) before taxes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6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09"/>
        </w:trPr>
        <w:tc>
          <w:tcPr>
            <w:tcW w:w="5640" w:type="dxa"/>
            <w:vAlign w:val="bottom"/>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(24,819)</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20,367</w:t>
            </w:r>
          </w:p>
        </w:tc>
      </w:tr>
      <w:tr>
        <w:trPr>
          <w:trHeight w:val="20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(76,541)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(4,452)</w:t>
            </w:r>
          </w:p>
        </w:tc>
      </w:tr>
      <w:tr>
        <w:trPr>
          <w:trHeight w:val="709"/>
        </w:trPr>
        <w:tc>
          <w:tcPr>
            <w:tcW w:w="5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 Taxes on income (tax benefit) are comprised as follows: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1"/>
        </w:trPr>
        <w:tc>
          <w:tcPr>
            <w:tcW w:w="5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9"/>
        </w:trPr>
        <w:tc>
          <w:tcPr>
            <w:tcW w:w="56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1"/>
        </w:trPr>
        <w:tc>
          <w:tcPr>
            <w:tcW w:w="56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23,332</w:t>
            </w:r>
          </w:p>
        </w:tc>
      </w:tr>
      <w:tr>
        <w:trPr>
          <w:trHeight w:val="207"/>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income tax expense</w:t>
            </w: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23,347</w:t>
            </w: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(17,212)</w:t>
            </w:r>
          </w:p>
        </w:tc>
      </w:tr>
      <w:tr>
        <w:trPr>
          <w:trHeight w:val="207"/>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income tax (benefit) expense</w:t>
            </w: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(15,824)</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tax on income (tax benefit)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7,523</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 reconciliation of the Company’s theoretical income tax expense to actual income tax expense is as follows:</w:t>
      </w:r>
    </w:p>
    <w:p>
      <w:pPr>
        <w:sectPr>
          <w:pgSz w:w="11900" w:h="16838" w:orient="portrait"/>
          <w:cols w:equalWidth="0" w:num="1">
            <w:col w:w="11240"/>
          </w:cols>
          <w:pgMar w:left="320" w:top="126"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Income (loss) before taxes on income, as reported in the consolidated statements</w:t>
            </w:r>
          </w:p>
        </w:tc>
        <w:tc>
          <w:tcPr>
            <w:tcW w:w="118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13,937</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(76,541)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(4,452)</w:t>
            </w: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income (loss)</w:t>
            </w: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Statutory tax rate in Israel</w:t>
            </w:r>
          </w:p>
        </w:tc>
        <w:tc>
          <w:tcPr>
            <w:tcW w:w="1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Technology Enterprise benefits</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Permanent difference - nondeductible expenses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at a rate other than the Israel statutory tax rate</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years taxes</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u w:val="single" w:color="auto"/>
          <w:color w:val="auto"/>
        </w:rPr>
        <w:t>Deferred tax assets and liabilities:</w:t>
      </w:r>
    </w:p>
    <w:p>
      <w:pPr>
        <w:spacing w:after="0" w:line="11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Deferred taxes reflect the net tax effects of temporary differences between the carrying amounts of assets and liabilities for financial reporting purposes and the amounts used for income tax purposes. As of December 31, 2024, and 2023 , the deferred tax assets and liabilities presented in the balance sheet are comprised as follow:</w:t>
      </w:r>
    </w:p>
    <w:p>
      <w:pPr>
        <w:spacing w:after="0" w:line="8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3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21590</wp:posOffset>
            </wp:positionV>
            <wp:extent cx="23571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8280"/>
        <w:spacing w:after="0"/>
        <w:tabs>
          <w:tab w:leader="none" w:pos="101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7520" w:val="left"/>
          <w:tab w:leader="none" w:pos="8820" w:val="left"/>
          <w:tab w:leader="none" w:pos="10640" w:val="left"/>
        </w:tabs>
        <w:rPr>
          <w:sz w:val="20"/>
          <w:szCs w:val="20"/>
          <w:color w:val="auto"/>
        </w:rPr>
      </w:pPr>
      <w:r>
        <w:rPr>
          <w:rFonts w:ascii="Times New Roman" w:cs="Times New Roman" w:eastAsia="Times New Roman" w:hAnsi="Times New Roman"/>
          <w:sz w:val="16"/>
          <w:szCs w:val="16"/>
          <w:color w:val="auto"/>
        </w:rPr>
        <w:t>Deferred tax liabilities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(5,497) $</w:t>
      </w:r>
      <w:r>
        <w:rPr>
          <w:sz w:val="20"/>
          <w:szCs w:val="20"/>
          <w:color w:val="auto"/>
        </w:rPr>
        <w:tab/>
      </w:r>
      <w:r>
        <w:rPr>
          <w:rFonts w:ascii="Times New Roman" w:cs="Times New Roman" w:eastAsia="Times New Roman" w:hAnsi="Times New Roman"/>
          <w:sz w:val="16"/>
          <w:szCs w:val="16"/>
          <w:color w:val="auto"/>
        </w:rPr>
        <w:t>(14,815)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As of December 31, 2024, and 2023 the Company’s deferred taxes were in respect of the following:</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7"/>
        </w:trPr>
        <w:tc>
          <w:tcPr>
            <w:tcW w:w="7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20" w:type="dxa"/>
            <w:vAlign w:val="bottom"/>
          </w:tcPr>
          <w:p>
            <w:pPr>
              <w:spacing w:after="0"/>
              <w:rPr>
                <w:sz w:val="24"/>
                <w:szCs w:val="24"/>
                <w:color w:val="auto"/>
              </w:rPr>
            </w:pPr>
          </w:p>
        </w:tc>
      </w:tr>
      <w:tr>
        <w:trPr>
          <w:trHeight w:val="219"/>
        </w:trPr>
        <w:tc>
          <w:tcPr>
            <w:tcW w:w="75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bottom w:val="single" w:sz="8" w:color="auto"/>
            </w:tcBorders>
          </w:tcPr>
          <w:p>
            <w:pPr>
              <w:spacing w:after="0"/>
              <w:rPr>
                <w:sz w:val="19"/>
                <w:szCs w:val="19"/>
                <w:color w:val="auto"/>
              </w:rPr>
            </w:pPr>
          </w:p>
        </w:tc>
      </w:tr>
      <w:tr>
        <w:trPr>
          <w:trHeight w:val="211"/>
        </w:trPr>
        <w:tc>
          <w:tcPr>
            <w:tcW w:w="75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 forward tax losses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14,225</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Reserves and Allowances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carry forward</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and Transaction expenses</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assets, net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carried forward</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57,032</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w:t>
            </w: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32,251</w:t>
            </w:r>
          </w:p>
        </w:tc>
      </w:tr>
      <w:tr>
        <w:trPr>
          <w:trHeight w:val="273"/>
        </w:trPr>
        <w:tc>
          <w:tcPr>
            <w:tcW w:w="7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assets, net</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research and development</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(47,066)</w:t>
            </w:r>
          </w:p>
        </w:tc>
      </w:tr>
      <w:tr>
        <w:trPr>
          <w:trHeight w:val="253"/>
        </w:trPr>
        <w:tc>
          <w:tcPr>
            <w:tcW w:w="7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(14,815)</w:t>
            </w:r>
          </w:p>
        </w:tc>
      </w:tr>
    </w:tbl>
    <w:p>
      <w:pPr>
        <w:spacing w:after="0" w:line="39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 valuation allowance is provided when it is more likely than not that the deferred tax assets will not be realized. The Company has established a valuation allowance to offset certain deferred tax assets on December 31, 2024 and 2023 , due to the uncertainty of realizing future tax benefits from its net operating loss carryforwards and other deferred tax assets.</w:t>
      </w:r>
    </w:p>
    <w:p>
      <w:pPr>
        <w:spacing w:after="0" w:line="84"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As of December 31, 2024, the Company has an accumulated tax loss carry-forward of approximately $23,805 in Israel, which does not have an expiration date, and $1,463 federal tax in the U.S. which can be offset in accordance with the limitation as described in Section 382 of the code due to U.S. subsidiary’s prior “change in ownership”. The annual limitation may result in the expiration of net operating losses before utilization.</w:t>
      </w:r>
    </w:p>
    <w:p>
      <w:pPr>
        <w:spacing w:after="0" w:line="84"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As of December 31, 2024, $171,446 of undistributed earnings held by the Company’s foreign subsidiaries are designated as indefinitely reinvested. If these earnings were repatriated to Israel, they would be subject to income taxes and to an adjustment for foreign tax credits and foreign withholding taxes in the amount of $13,996. The Company did not recognize deferred taxes liabilities on undistributed earnings of its foreign subsidiaries, as the Company intends to indefinitely reinvest those earnings.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 reconciliation of the beginning and ending balance of total unrecognized tax positions is as follows:</w:t>
      </w:r>
    </w:p>
    <w:p>
      <w:pPr>
        <w:sectPr>
          <w:pgSz w:w="11900" w:h="16838" w:orient="portrait"/>
          <w:cols w:equalWidth="0" w:num="1">
            <w:col w:w="11240"/>
          </w:cols>
          <w:pgMar w:left="320" w:top="16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2"/>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80" w:type="dxa"/>
            <w:vAlign w:val="bottom"/>
          </w:tcPr>
          <w:p>
            <w:pPr>
              <w:spacing w:after="0"/>
              <w:rPr>
                <w:sz w:val="18"/>
                <w:szCs w:val="18"/>
                <w:color w:val="auto"/>
              </w:rPr>
            </w:pPr>
          </w:p>
        </w:tc>
      </w:tr>
      <w:tr>
        <w:trPr>
          <w:trHeight w:val="219"/>
        </w:trPr>
        <w:tc>
          <w:tcPr>
            <w:tcW w:w="8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r>
      <w:tr>
        <w:trPr>
          <w:trHeight w:val="211"/>
        </w:trPr>
        <w:tc>
          <w:tcPr>
            <w:tcW w:w="8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position, beginning of year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related to current years’ tax positions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related to prior years' tax positions (1)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Decreases due to lapses of statutes of limitations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0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position, end of year</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2023 prior year’s tax positions includes $2,684 from prior year tax provision.</w:t>
      </w:r>
    </w:p>
    <w:p>
      <w:pPr>
        <w:spacing w:after="0" w:line="12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As of December 31, 2024, the total amount of gross uncertain tax benefits was $10,291, out of which an amount of $10,199, if recognized, would affect the Company’s effective tax rate. The Company operates in multiple jurisdictions throughout the world, and its tax returns are periodically audited or subject to review by both domestic and foreign authorities. The Company currently does not expect uncertain tax positions to change significantly over the next 12 months, except in the case of settlements with tax authorities, the likelihood and timing of which is difficult to estimate.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As of December 31, 2024 and 2023, unrecognized tax benefit in the amount of $92 and $87, was presented net of deferred tax assets.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u w:val="single" w:color="auto"/>
          <w:color w:val="auto"/>
        </w:rPr>
        <w:t>Tax assessments: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Company has final tax assessments in Israel through 2018, in the UK through 2019, and in the US through 2020.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COMMITMENTS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Commitments</w:t>
      </w:r>
    </w:p>
    <w:p>
      <w:pPr>
        <w:spacing w:after="0" w:line="183"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Non-cancelable Purchase Obligations</w:t>
      </w:r>
    </w:p>
    <w:p>
      <w:pPr>
        <w:spacing w:after="0" w:line="169"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In the normal course of business, the Company enters into non-cancelable purchase commitments with various parties to purchase primarily software and IT related-based services. As of December 31, 2024, the Company had outstanding non-cancelable purchase obligations in the amount of $47,472.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the Company may be subject from time to time to various proceedings, lawsuits, disputes, or claims. The Company investigates these claims as they arise and record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in the aggregate, have a material adverse effect on its business,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84" w:name="page85"/>
    <w:bookmarkEnd w:id="84"/>
    <w:p>
      <w:pPr>
        <w:ind w:left="20"/>
        <w:spacing w:after="0"/>
        <w:tabs>
          <w:tab w:leader="none" w:pos="9560" w:val="left"/>
        </w:tabs>
        <w:rPr>
          <w:sz w:val="20"/>
          <w:szCs w:val="20"/>
          <w:color w:val="auto"/>
        </w:rPr>
      </w:pPr>
      <w:r>
        <w:rPr>
          <w:rFonts w:ascii="Times New Roman" w:cs="Times New Roman" w:eastAsia="Times New Roman" w:hAnsi="Times New Roman"/>
          <w:sz w:val="14"/>
          <w:szCs w:val="14"/>
          <w:b w:val="1"/>
          <w:bCs w:val="1"/>
          <w:i w:val="1"/>
          <w:iCs w:val="1"/>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RELATED PARTY TRANSACTIONS</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spacing w:after="0" w:line="76"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In June 2024, the Company repurchased 988,296 of the Non-voting Ordinary shares at a price of $4.07 per share, based on the terms stipulated in the agreement, for an aggregate purchase price of $4,022, as part of the Buyback Program (see Note 14).</w:t>
      </w:r>
    </w:p>
    <w:p>
      <w:pPr>
        <w:spacing w:after="0" w:line="57"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The Company and its affiliates are parties to several agreements in the ordinary course of business with Yahoo and its affiliates. Revenues from the related party are derived from Yahoo’s advertiser spend on the Company’s network, for which Yahoo is the billing entity. Traffic acquisition cost to the related party is compensation for placing Taboola’s platform on Yahoo’s digital property. In connection with these agreements, for the year ended December 31, 2024 and 2023, the Company recorded revenues from Yahoo in the amount of $233,640, which represented approximately 13% of the Company’s total revenue, and $40,902, respectively. In addition, the Company recorded traffic acquisition costs related to Yahoo for the year ended December 31, 2024 and 2023, in the amount of $275,539 and $45,183, respectively. Certain traffic acquisition costs for the years ended December 31, 2024 and 2023, noted herein, are unaffiliated with the Yahoo revenues recorded for this period.</w:t>
      </w:r>
    </w:p>
    <w:p>
      <w:pPr>
        <w:spacing w:after="0" w:line="87"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As of December 31, 2024 and 2023, in regards to Yahoo, the Company’s balances of trade receivables were $76,677 which represented approximately 21% of the Company’s trade receivables and $12,297, and its balances of trade payables were $68,556 and $38,657, respectively, associated with the revenues presented on a gross and net basis.</w:t>
      </w:r>
    </w:p>
    <w:p>
      <w:pPr>
        <w:spacing w:after="0" w:line="84" w:lineRule="exact"/>
        <w:rPr>
          <w:sz w:val="20"/>
          <w:szCs w:val="20"/>
          <w:color w:val="auto"/>
        </w:rPr>
      </w:pPr>
    </w:p>
    <w:p>
      <w:pPr>
        <w:jc w:val="both"/>
        <w:ind w:right="20" w:firstLine="243"/>
        <w:spacing w:after="0" w:line="272" w:lineRule="auto"/>
        <w:rPr>
          <w:sz w:val="20"/>
          <w:szCs w:val="20"/>
          <w:color w:val="auto"/>
        </w:rPr>
      </w:pPr>
      <w:r>
        <w:rPr>
          <w:rFonts w:ascii="Times New Roman" w:cs="Times New Roman" w:eastAsia="Times New Roman" w:hAnsi="Times New Roman"/>
          <w:sz w:val="16"/>
          <w:szCs w:val="16"/>
          <w:color w:val="auto"/>
        </w:rPr>
        <w:t>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expenses, net of $1,441 and $3,650, for the years ended December 31, 2024 and 2023, respectively.</w:t>
      </w:r>
    </w:p>
    <w:p>
      <w:pPr>
        <w:spacing w:after="0" w:line="63" w:lineRule="exact"/>
        <w:rPr>
          <w:sz w:val="20"/>
          <w:szCs w:val="20"/>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On February 24, 2025, the Company and Yahoo entered into a Share Repurchase Agreement (“Repurchase Agreement”). In accordance with the Repurchase Agreement, the Company may conduct weekly repurchases of Yahoo's Non-voting Ordinary shares at a purchase price determined by a market based pricing formula as specified in the Repurchase Agreement. The maximum amount of Non-voting Ordinary shares that may be repurchased each week will be 25% of the applicable allowable limit under Rule 10b-18 of the Securities Exchange Act of 1934. The Repurchase Agreement terminates upon the earlier of: (i) the Company obtaining regulatory approval permitting Yahoo’s equity ownership in the Company to exceed 25%; (ii) the Company determining, as specified in the Repurchase Agreement, that no such approval is required; or (ii) December 31, 2025.</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SEGMENTS AND GEOGRAPHIC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represents total revenue by geographic area based on the Advertisers’ billing address: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6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1"/>
        </w:trPr>
        <w:tc>
          <w:tcPr>
            <w:tcW w:w="56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5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189,956</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519,463</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72,697</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123,485</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602,998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495,549</w:t>
            </w:r>
          </w:p>
        </w:tc>
      </w:tr>
      <w:tr>
        <w:trPr>
          <w:trHeight w:val="20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1,766,220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1,439,685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1,401,150</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following table represents the Company’s long-lived assets (1), net by geographic area:</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8"/>
        </w:trPr>
        <w:tc>
          <w:tcPr>
            <w:tcW w:w="7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20" w:type="dxa"/>
            <w:vAlign w:val="bottom"/>
          </w:tcPr>
          <w:p>
            <w:pPr>
              <w:spacing w:after="0"/>
              <w:rPr>
                <w:sz w:val="24"/>
                <w:szCs w:val="24"/>
                <w:color w:val="auto"/>
              </w:rPr>
            </w:pPr>
          </w:p>
        </w:tc>
      </w:tr>
      <w:tr>
        <w:trPr>
          <w:trHeight w:val="219"/>
        </w:trPr>
        <w:tc>
          <w:tcPr>
            <w:tcW w:w="75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bottom w:val="single" w:sz="8" w:color="auto"/>
            </w:tcBorders>
          </w:tcPr>
          <w:p>
            <w:pPr>
              <w:spacing w:after="0"/>
              <w:rPr>
                <w:sz w:val="19"/>
                <w:szCs w:val="19"/>
                <w:color w:val="auto"/>
              </w:rPr>
            </w:pPr>
          </w:p>
        </w:tc>
      </w:tr>
      <w:tr>
        <w:trPr>
          <w:trHeight w:val="211"/>
        </w:trPr>
        <w:tc>
          <w:tcPr>
            <w:tcW w:w="75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73,951</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44,921</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Kindom</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133,901</w:t>
            </w: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 Long-lived assets are comprised of property and equipment, net and operating lease right-of-use assets</w:t>
      </w: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following table represents the Company’s definite long-lived intangible assets and goodwill, classified by the location of the controlling statutory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20" w:type="dxa"/>
            <w:vAlign w:val="bottom"/>
          </w:tcPr>
          <w:p>
            <w:pPr>
              <w:spacing w:after="0"/>
              <w:rPr>
                <w:sz w:val="18"/>
                <w:szCs w:val="18"/>
                <w:color w:val="auto"/>
              </w:rPr>
            </w:pPr>
          </w:p>
        </w:tc>
      </w:tr>
      <w:tr>
        <w:trPr>
          <w:trHeight w:val="219"/>
        </w:trPr>
        <w:tc>
          <w:tcPr>
            <w:tcW w:w="75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bottom w:val="single" w:sz="8" w:color="auto"/>
            </w:tcBorders>
          </w:tcPr>
          <w:p>
            <w:pPr>
              <w:spacing w:after="0"/>
              <w:rPr>
                <w:sz w:val="19"/>
                <w:szCs w:val="19"/>
                <w:color w:val="auto"/>
              </w:rPr>
            </w:pPr>
          </w:p>
        </w:tc>
      </w:tr>
      <w:tr>
        <w:trPr>
          <w:trHeight w:val="211"/>
        </w:trPr>
        <w:tc>
          <w:tcPr>
            <w:tcW w:w="7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22,066</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594,799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654,741</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620,998</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681,189</w:t>
            </w:r>
          </w:p>
        </w:tc>
      </w:tr>
    </w:tbl>
    <w:p>
      <w:pPr>
        <w:sectPr>
          <w:pgSz w:w="11900" w:h="16838" w:orient="portrait"/>
          <w:cols w:equalWidth="0" w:num="1">
            <w:col w:w="11240"/>
          </w:cols>
          <w:pgMar w:left="320" w:top="167" w:right="339" w:bottom="366"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504825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ind w:left="20"/>
        <w:spacing w:after="0"/>
        <w:tabs>
          <w:tab w:leader="none" w:pos="9560" w:val="left"/>
        </w:tabs>
        <w:rPr>
          <w:sz w:val="20"/>
          <w:szCs w:val="20"/>
          <w:color w:val="auto"/>
        </w:rPr>
      </w:pPr>
      <w:r>
        <w:rPr>
          <w:rFonts w:ascii="Times New Roman" w:cs="Times New Roman" w:eastAsia="Times New Roman" w:hAnsi="Times New Roman"/>
          <w:sz w:val="14"/>
          <w:szCs w:val="14"/>
          <w:b w:val="1"/>
          <w:bCs w:val="1"/>
          <w:i w:val="1"/>
          <w:iCs w:val="1"/>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NET LOSS PER SHARE ATTRIBUTABLE TO ORDINARY AND NON-VOTING ORDINARY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6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Non-voting</w:t>
            </w:r>
          </w:p>
        </w:tc>
        <w:tc>
          <w:tcPr>
            <w:tcW w:w="220" w:type="dxa"/>
            <w:vAlign w:val="bottom"/>
          </w:tcPr>
          <w:p>
            <w:pPr>
              <w:spacing w:after="0"/>
              <w:rPr>
                <w:sz w:val="23"/>
                <w:szCs w:val="2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4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Non-voting</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40" w:type="dxa"/>
            <w:vAlign w:val="bottom"/>
          </w:tcPr>
          <w:p>
            <w:pPr>
              <w:spacing w:after="0"/>
              <w:rPr>
                <w:sz w:val="23"/>
                <w:szCs w:val="23"/>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Non-voting</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2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19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attributable to Ordinary</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2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(71,833)</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2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basic and diluted</w:t>
            </w:r>
          </w:p>
        </w:tc>
        <w:tc>
          <w:tcPr>
            <w:tcW w:w="2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shares used in computing</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per share attributable to Ordinary</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298,769,457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44,619,451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303,282,558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43,093,556</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254,284,781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basic and diluted</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per share attributable to Ordinary</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and Non-voting Ordinary shareholders,</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The potential number of Ordinary shares that were excluded from the computation of diluted net loss per share attributable to Ordinary shareholders for the periods presented because including them would have been anti-dilutive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140" w:type="dxa"/>
            <w:vAlign w:val="bottom"/>
          </w:tcPr>
          <w:p>
            <w:pPr>
              <w:spacing w:after="0"/>
              <w:rPr>
                <w:sz w:val="18"/>
                <w:szCs w:val="18"/>
                <w:color w:val="auto"/>
              </w:rPr>
            </w:pPr>
          </w:p>
        </w:tc>
      </w:tr>
      <w:tr>
        <w:trPr>
          <w:trHeight w:val="219"/>
        </w:trPr>
        <w:tc>
          <w:tcPr>
            <w:tcW w:w="75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19"/>
                <w:szCs w:val="19"/>
                <w:color w:val="auto"/>
              </w:rPr>
            </w:pPr>
          </w:p>
        </w:tc>
      </w:tr>
      <w:tr>
        <w:trPr>
          <w:trHeight w:val="211"/>
        </w:trPr>
        <w:tc>
          <w:tcPr>
            <w:tcW w:w="75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20,209,991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25,554,224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18,063,802</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share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11,812,628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27,397,556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30,284,408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12,349,990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12,349,990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12,349,990</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Issuable Ordinary shares related to business combination under holdback arrangement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484,500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1,647,292</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2,380,736</w:t>
            </w: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44,857,109</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66,949,062</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63,078,936</w:t>
            </w:r>
          </w:p>
        </w:tc>
      </w:tr>
      <w:tr>
        <w:trPr>
          <w:trHeight w:val="1434"/>
        </w:trPr>
        <w:tc>
          <w:tcPr>
            <w:tcW w:w="7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7" w:name="page88"/>
    <w:bookmarkEnd w:id="87"/>
    <w:p>
      <w:pPr>
        <w:ind w:left="20"/>
        <w:spacing w:after="0"/>
        <w:tabs>
          <w:tab w:leader="none" w:pos="956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2024 Based upon that evaluation, our Chief Executive Officer and Chief Financial Officer concluded that, as of December 31, 2024, our disclosure controls and procedures were effective to accomplish their objectives at the reasonable assurance level.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6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principal executive officers and principal financial officer, we conducted an evaluation of the effectiveness of our internal control over financial reporting as of December 31, 2024, based on the criteria set forth by the Committee of Sponsoring Organizations of the Treadway Commission (COSO) in Internal Control—Integrated Framework (2013). Based on this evaluation, management concluded that our internal control over financial reporting was effective as of December 31, 2024.</w:t>
      </w:r>
    </w:p>
    <w:p>
      <w:pPr>
        <w:spacing w:after="0" w:line="85"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2024 has been audited by Kost Forer Gabbay &amp; Kasierer, A Member of EY Global, an independent registered public accounting firm, as stated in their report which is included in Part II, Item 8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6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There were no changes in our internal controls over financial reporting (as such term is defined in Rules 13a-15(f) and 15d-15(f) under the Securities Exchange Act) that occurred during the quarter ended December 31, 2024 that have materially affected, or are reasonably likely to materially affect, our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Rule 10b5-1 Trading Plans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Each of the following trading plans are intended to satisfy the affirmative defense conditions of Rule 10b5-1(c).</w:t>
      </w:r>
    </w:p>
    <w:p>
      <w:pPr>
        <w:spacing w:after="0" w:line="11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On November 25, 2024 Lior Golan, Chief Technology Officer, adopted a 10b5-1 trading plan providing for the potential sale of up to 1,017,498 Ordinary shares of the Company. The duration of the plan is until the earlier of September 30, 2025 or the completion of all transactions subject to the plan.</w:t>
      </w:r>
    </w:p>
    <w:p>
      <w:pPr>
        <w:spacing w:after="0" w:line="70"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On November 26, 2024 the trustee on behalf of a family trust established by Eldad Maniv, President and Chief Operating Officer, adopted a 10b5-1 trading plan providing for the potential sale of up to 2,000,000 Ordinary shares of the Company. The duration of the plan is until the earlier of August 22, 2025 or the completion of all transactions subject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88" w:name="page89"/>
    <w:bookmarkEnd w:id="88"/>
    <w:p>
      <w:pPr>
        <w:ind w:left="20"/>
        <w:spacing w:after="0"/>
        <w:tabs>
          <w:tab w:leader="none" w:pos="956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 Transition</w:t>
      </w:r>
    </w:p>
    <w:p>
      <w:pPr>
        <w:spacing w:after="0" w:line="169"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As of February 25, 2025 Mr. Lior Golan no longer qualifies as an “executive officer” or “officer” as defined under the Securities Exchange Act of 1934. This determination was a result of the Company’s and Mr. Golan’s mutual decision that he transition away from his substantial management responsibilities to focus on long-term strategic initiatives and select high impact products to drive the Company’s growth. Mr. Golan remains the Company’s Chief Technology Officer.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Entry into a Material Definitive Agreement</w:t>
      </w:r>
    </w:p>
    <w:p>
      <w:pPr>
        <w:spacing w:after="0" w:line="16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On February 24, 2025, the Company and Yahoo entered into a Share Repurchase Agreement (“Repurchase Agreement”). Yahoo is an affiliate of the Company and a related party due to their greater than 10% ownership of the Company’s Shares and their right to appoint a Board designee pursuant to the Omnibus Agreement entered into on November 28, 2022 between the Company and Yahoo. Under the Repurchase Agreement, the Company will conduct weekly repurchases of Yahoo's Non-voting Ordinary shares at a purchase price determined by a market-based pricing formula specified in the Repurchase Agreement. The maximum amount of Non-voting Ordinary shares repurchased each week will be 25% of the applicable allowable limit under Rule 10b-18 of the Securities Exchange Act of 1934. The Repurchase Agreement terminates upon the earlier of: (i) the Company obtaining regulatory approval permitting Yahoo’s equity ownership in the Company to exceed 25%; (ii) the Company determining as specified in the Repurchase Agreement that no such approval is required; or (ii) December 31, 2025.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89" w:name="page90"/>
    <w:bookmarkEnd w:id="89"/>
    <w:p>
      <w:pPr>
        <w:ind w:left="20"/>
        <w:spacing w:after="0"/>
        <w:tabs>
          <w:tab w:leader="none" w:pos="956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6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6"/>
          <w:szCs w:val="16"/>
          <w:color w:val="auto"/>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w:t>
      </w:r>
    </w:p>
    <w:p>
      <w:pPr>
        <w:spacing w:after="0" w:line="91"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We will disclose on our website any amendment to, or waiver from, a provision of our Code of Conduct that applies to our directors or executive officers to the extent required under the rules of the SEC or the Nasdaq. Our Code of Business Conduct is available on our website at https://investors.taboola.com/corporate-governance/governance-overview.</w:t>
      </w:r>
    </w:p>
    <w:p>
      <w:pPr>
        <w:spacing w:after="0" w:line="4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6"/>
          <w:szCs w:val="16"/>
          <w:color w:val="auto"/>
        </w:rPr>
        <w:t>We have adopted insider trading policies and procedures governing the purchase, sale and certain other dispositions of our securities that applies to our directors, officers, employees and other covered persons. We believe that our insider trading policy is reasonably designed to promote compliance with insider trading laws, rules and regulations and listing standards applicable to us. In addition, with regard to the Company’s trading in its own securities, it is the Company’s policy to comply with the federal securities laws and a applicable exchange listing requirements. Our current insider trading policy is filed as Exhibit 19 to this Annual Report.</w:t>
      </w:r>
    </w:p>
    <w:p>
      <w:pPr>
        <w:spacing w:after="0" w:line="86"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remaining information required to be disclosed by this item is incorporated herein by reference to the 2025 Proxy Statement, which we expect to file with the SEC within 120 days after the end of our fiscal year ended December 31,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8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information required to be disclosed by this item is incorporated herein by reference to the 2025 Proxy Statement, which we expect to file with the SEC within 120 days after the end of our fiscal year ended December 31,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SHAREHOLDER MATTERS</w:t>
      </w:r>
    </w:p>
    <w:p>
      <w:pPr>
        <w:spacing w:after="0" w:line="183"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information required to be disclosed by this item is incorporated herein by reference to the 2025 Proxy Statement, which we expect to file with the SEC within 120 days after the end of our fiscal year ended December 31,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69"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The information required to be disclosed by this item is incorporated herein by reference to the 2025 Proxy Statement, which we expect to file with the SEC within 120 days after the end of our fiscal year ended December 31,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PRINCIPAL ACCOUNTING FEES AND SERVICES</w:t>
      </w:r>
    </w:p>
    <w:p>
      <w:pPr>
        <w:spacing w:after="0" w:line="105"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6"/>
          <w:szCs w:val="16"/>
          <w:color w:val="auto"/>
        </w:rPr>
        <w:t>The information required to be disclosed by this item is incorporated herein by reference to the 2025 Proxy Statement, which we expect to file with the SEC within 120 days after the end of our fiscal year ended December 31,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 have filed the following documents as part of this Form 10-K:</w:t>
      </w:r>
    </w:p>
    <w:p>
      <w:pPr>
        <w:spacing w:after="0" w:line="11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Consolidated Financial Statements:</w:t>
      </w:r>
    </w:p>
    <w:p>
      <w:pPr>
        <w:spacing w:after="0" w:line="134" w:lineRule="exact"/>
        <w:rPr>
          <w:sz w:val="20"/>
          <w:szCs w:val="20"/>
          <w:color w:val="auto"/>
        </w:rPr>
      </w:pPr>
    </w:p>
    <w:tbl>
      <w:tblPr>
        <w:tblLayout w:type="fixed"/>
        <w:tblInd w:w="670" w:type="dxa"/>
        <w:tblCellMar>
          <w:top w:w="0" w:type="dxa"/>
          <w:left w:w="0" w:type="dxa"/>
          <w:bottom w:w="0" w:type="dxa"/>
          <w:right w:w="0" w:type="dxa"/>
        </w:tblCellMar>
      </w:tblPr>
      <w:tr>
        <w:trPr>
          <w:trHeight w:val="311"/>
        </w:trPr>
        <w:tc>
          <w:tcPr>
            <w:tcW w:w="8660" w:type="dxa"/>
            <w:vAlign w:val="bottom"/>
            <w:tcBorders>
              <w:top w:val="single" w:sz="8" w:color="auto"/>
              <w:left w:val="single" w:sz="8" w:color="auto"/>
              <w:right w:val="single" w:sz="8" w:color="auto"/>
            </w:tcBorders>
            <w:gridSpan w:val="9"/>
            <w:shd w:val="clear" w:color="auto" w:fill="CCEEFF"/>
          </w:tcPr>
          <w:p>
            <w:pPr>
              <w:ind w:left="280"/>
              <w:spacing w:after="0"/>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(PCAOB ID: </w:t>
            </w:r>
            <w:r>
              <w:rPr>
                <w:rFonts w:ascii="Times New Roman" w:cs="Times New Roman" w:eastAsia="Times New Roman" w:hAnsi="Times New Roman"/>
                <w:sz w:val="16"/>
                <w:szCs w:val="16"/>
                <w:color w:val="000000"/>
              </w:rPr>
              <w:t>1281</w:t>
            </w:r>
            <w:r>
              <w:rPr>
                <w:rFonts w:ascii="Times New Roman" w:cs="Times New Roman" w:eastAsia="Times New Roman" w:hAnsi="Times New Roman"/>
                <w:sz w:val="16"/>
                <w:szCs w:val="16"/>
                <w:u w:val="single" w:color="auto"/>
                <w:color w:val="0000FF"/>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700" w:type="dxa"/>
            <w:vAlign w:val="bottom"/>
            <w:tcBorders>
              <w:top w:val="single" w:sz="8" w:color="auto"/>
              <w:right w:val="single" w:sz="8" w:color="auto"/>
            </w:tcBorders>
            <w:shd w:val="clear" w:color="auto" w:fill="CCEEFF"/>
          </w:tcPr>
          <w:p>
            <w:pPr>
              <w:spacing w:after="0"/>
              <w:rPr>
                <w:sz w:val="24"/>
                <w:szCs w:val="24"/>
                <w:color w:val="auto"/>
              </w:rPr>
            </w:pPr>
          </w:p>
        </w:tc>
      </w:tr>
      <w:tr>
        <w:trPr>
          <w:trHeight w:val="142"/>
        </w:trPr>
        <w:tc>
          <w:tcPr>
            <w:tcW w:w="280" w:type="dxa"/>
            <w:vAlign w:val="bottom"/>
            <w:tcBorders>
              <w:top w:val="single" w:sz="8" w:color="CCEEFF"/>
              <w:left w:val="single" w:sz="8" w:color="auto"/>
              <w:bottom w:val="single" w:sz="8" w:color="auto"/>
            </w:tcBorders>
            <w:shd w:val="clear" w:color="auto" w:fill="CCEEFF"/>
          </w:tcPr>
          <w:p>
            <w:pPr>
              <w:spacing w:after="0"/>
              <w:rPr>
                <w:sz w:val="12"/>
                <w:szCs w:val="12"/>
                <w:color w:val="auto"/>
              </w:rPr>
            </w:pPr>
          </w:p>
        </w:tc>
        <w:tc>
          <w:tcPr>
            <w:tcW w:w="188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0000FF"/>
              <w:bottom w:val="single" w:sz="8" w:color="auto"/>
            </w:tcBorders>
            <w:shd w:val="clear" w:color="auto" w:fill="CCEEFF"/>
          </w:tcPr>
          <w:p>
            <w:pPr>
              <w:spacing w:after="0"/>
              <w:rPr>
                <w:sz w:val="12"/>
                <w:szCs w:val="12"/>
                <w:color w:val="auto"/>
              </w:rPr>
            </w:pPr>
          </w:p>
        </w:tc>
        <w:tc>
          <w:tcPr>
            <w:tcW w:w="180" w:type="dxa"/>
            <w:vAlign w:val="bottom"/>
            <w:tcBorders>
              <w:top w:val="single" w:sz="8" w:color="0000FF"/>
              <w:bottom w:val="single" w:sz="8" w:color="auto"/>
            </w:tcBorders>
            <w:shd w:val="clear" w:color="auto" w:fill="CCEEFF"/>
          </w:tcPr>
          <w:p>
            <w:pPr>
              <w:spacing w:after="0"/>
              <w:rPr>
                <w:sz w:val="12"/>
                <w:szCs w:val="12"/>
                <w:color w:val="auto"/>
              </w:rPr>
            </w:pPr>
          </w:p>
        </w:tc>
        <w:tc>
          <w:tcPr>
            <w:tcW w:w="300" w:type="dxa"/>
            <w:vAlign w:val="bottom"/>
            <w:tcBorders>
              <w:top w:val="single" w:sz="8" w:color="0000FF"/>
              <w:bottom w:val="single" w:sz="8" w:color="auto"/>
            </w:tcBorders>
            <w:shd w:val="clear" w:color="auto" w:fill="CCEEFF"/>
          </w:tcPr>
          <w:p>
            <w:pPr>
              <w:spacing w:after="0"/>
              <w:rPr>
                <w:sz w:val="12"/>
                <w:szCs w:val="12"/>
                <w:color w:val="auto"/>
              </w:rPr>
            </w:pPr>
          </w:p>
        </w:tc>
        <w:tc>
          <w:tcPr>
            <w:tcW w:w="760" w:type="dxa"/>
            <w:vAlign w:val="bottom"/>
            <w:tcBorders>
              <w:top w:val="single" w:sz="8" w:color="0000FF"/>
              <w:bottom w:val="single" w:sz="8" w:color="auto"/>
            </w:tcBorders>
            <w:shd w:val="clear" w:color="auto" w:fill="CCEEFF"/>
          </w:tcPr>
          <w:p>
            <w:pPr>
              <w:spacing w:after="0"/>
              <w:rPr>
                <w:sz w:val="12"/>
                <w:szCs w:val="12"/>
                <w:color w:val="auto"/>
              </w:rPr>
            </w:pPr>
          </w:p>
        </w:tc>
        <w:tc>
          <w:tcPr>
            <w:tcW w:w="960" w:type="dxa"/>
            <w:vAlign w:val="bottom"/>
            <w:tcBorders>
              <w:top w:val="single" w:sz="8" w:color="0000FF"/>
              <w:bottom w:val="single" w:sz="8" w:color="auto"/>
            </w:tcBorders>
            <w:shd w:val="clear" w:color="auto" w:fill="CCEEFF"/>
          </w:tcPr>
          <w:p>
            <w:pPr>
              <w:spacing w:after="0"/>
              <w:rPr>
                <w:sz w:val="12"/>
                <w:szCs w:val="12"/>
                <w:color w:val="auto"/>
              </w:rPr>
            </w:pPr>
          </w:p>
        </w:tc>
        <w:tc>
          <w:tcPr>
            <w:tcW w:w="600" w:type="dxa"/>
            <w:vAlign w:val="bottom"/>
            <w:tcBorders>
              <w:top w:val="single" w:sz="8" w:color="CCEEFF"/>
              <w:bottom w:val="single" w:sz="8" w:color="auto"/>
            </w:tcBorders>
            <w:shd w:val="clear" w:color="auto" w:fill="CCEEFF"/>
          </w:tcPr>
          <w:p>
            <w:pPr>
              <w:spacing w:after="0"/>
              <w:rPr>
                <w:sz w:val="12"/>
                <w:szCs w:val="12"/>
                <w:color w:val="auto"/>
              </w:rPr>
            </w:pPr>
          </w:p>
        </w:tc>
        <w:tc>
          <w:tcPr>
            <w:tcW w:w="30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r>
      <w:tr>
        <w:trPr>
          <w:trHeight w:val="290"/>
        </w:trPr>
        <w:tc>
          <w:tcPr>
            <w:tcW w:w="8660" w:type="dxa"/>
            <w:vAlign w:val="bottom"/>
            <w:tcBorders>
              <w:left w:val="single" w:sz="8" w:color="auto"/>
              <w:right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700" w:type="dxa"/>
            <w:vAlign w:val="bottom"/>
            <w:tcBorders>
              <w:right w:val="single" w:sz="8" w:color="auto"/>
            </w:tcBorders>
          </w:tcPr>
          <w:p>
            <w:pPr>
              <w:spacing w:after="0"/>
              <w:rPr>
                <w:sz w:val="24"/>
                <w:szCs w:val="24"/>
                <w:color w:val="auto"/>
              </w:rPr>
            </w:pPr>
          </w:p>
        </w:tc>
      </w:tr>
      <w:tr>
        <w:trPr>
          <w:trHeight w:val="142"/>
        </w:trPr>
        <w:tc>
          <w:tcPr>
            <w:tcW w:w="280" w:type="dxa"/>
            <w:vAlign w:val="bottom"/>
            <w:tcBorders>
              <w:left w:val="single" w:sz="8" w:color="auto"/>
              <w:bottom w:val="single" w:sz="8" w:color="auto"/>
            </w:tcBorders>
          </w:tcPr>
          <w:p>
            <w:pPr>
              <w:spacing w:after="0"/>
              <w:rPr>
                <w:sz w:val="12"/>
                <w:szCs w:val="12"/>
                <w:color w:val="auto"/>
              </w:rPr>
            </w:pPr>
          </w:p>
        </w:tc>
        <w:tc>
          <w:tcPr>
            <w:tcW w:w="1880" w:type="dxa"/>
            <w:vAlign w:val="bottom"/>
            <w:tcBorders>
              <w:top w:val="single" w:sz="8" w:color="0000FF"/>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top w:val="single" w:sz="8" w:color="0000FF"/>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90"/>
        </w:trPr>
        <w:tc>
          <w:tcPr>
            <w:tcW w:w="8660" w:type="dxa"/>
            <w:vAlign w:val="bottom"/>
            <w:tcBorders>
              <w:left w:val="single" w:sz="8" w:color="auto"/>
              <w:right w:val="single" w:sz="8" w:color="auto"/>
            </w:tcBorders>
            <w:gridSpan w:val="9"/>
            <w:shd w:val="clear" w:color="auto" w:fill="CCEEFF"/>
          </w:tcPr>
          <w:p>
            <w:pPr>
              <w:ind w:left="280"/>
              <w:spacing w:after="0"/>
              <w:rPr>
                <w:sz w:val="20"/>
                <w:szCs w:val="20"/>
                <w:color w:val="auto"/>
              </w:rPr>
            </w:pPr>
            <w:r>
              <w:rPr>
                <w:rFonts w:ascii="Times New Roman" w:cs="Times New Roman" w:eastAsia="Times New Roman" w:hAnsi="Times New Roman"/>
                <w:sz w:val="16"/>
                <w:szCs w:val="16"/>
                <w:color w:val="0000FF"/>
              </w:rPr>
              <w:t>Consolidated Statements of Income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700" w:type="dxa"/>
            <w:vAlign w:val="bottom"/>
            <w:tcBorders>
              <w:right w:val="single" w:sz="8" w:color="auto"/>
            </w:tcBorders>
            <w:shd w:val="clear" w:color="auto" w:fill="CCEEFF"/>
          </w:tcPr>
          <w:p>
            <w:pPr>
              <w:spacing w:after="0"/>
              <w:rPr>
                <w:sz w:val="24"/>
                <w:szCs w:val="24"/>
                <w:color w:val="auto"/>
              </w:rPr>
            </w:pPr>
          </w:p>
        </w:tc>
      </w:tr>
      <w:tr>
        <w:trPr>
          <w:trHeight w:val="142"/>
        </w:trPr>
        <w:tc>
          <w:tcPr>
            <w:tcW w:w="280" w:type="dxa"/>
            <w:vAlign w:val="bottom"/>
            <w:tcBorders>
              <w:top w:val="single" w:sz="8" w:color="CCEEFF"/>
              <w:left w:val="single" w:sz="8" w:color="auto"/>
              <w:bottom w:val="single" w:sz="8" w:color="auto"/>
            </w:tcBorders>
            <w:shd w:val="clear" w:color="auto" w:fill="CCEEFF"/>
          </w:tcPr>
          <w:p>
            <w:pPr>
              <w:spacing w:after="0"/>
              <w:rPr>
                <w:sz w:val="12"/>
                <w:szCs w:val="12"/>
                <w:color w:val="auto"/>
              </w:rPr>
            </w:pPr>
          </w:p>
        </w:tc>
        <w:tc>
          <w:tcPr>
            <w:tcW w:w="188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0000FF"/>
              <w:bottom w:val="single" w:sz="8" w:color="auto"/>
            </w:tcBorders>
            <w:shd w:val="clear" w:color="auto" w:fill="CCEEFF"/>
          </w:tcPr>
          <w:p>
            <w:pPr>
              <w:spacing w:after="0"/>
              <w:rPr>
                <w:sz w:val="12"/>
                <w:szCs w:val="12"/>
                <w:color w:val="auto"/>
              </w:rPr>
            </w:pPr>
          </w:p>
        </w:tc>
        <w:tc>
          <w:tcPr>
            <w:tcW w:w="180" w:type="dxa"/>
            <w:vAlign w:val="bottom"/>
            <w:tcBorders>
              <w:top w:val="single" w:sz="8" w:color="0000FF"/>
              <w:bottom w:val="single" w:sz="8" w:color="auto"/>
            </w:tcBorders>
            <w:shd w:val="clear" w:color="auto" w:fill="CCEEFF"/>
          </w:tcPr>
          <w:p>
            <w:pPr>
              <w:spacing w:after="0"/>
              <w:rPr>
                <w:sz w:val="12"/>
                <w:szCs w:val="12"/>
                <w:color w:val="auto"/>
              </w:rPr>
            </w:pPr>
          </w:p>
        </w:tc>
        <w:tc>
          <w:tcPr>
            <w:tcW w:w="300" w:type="dxa"/>
            <w:vAlign w:val="bottom"/>
            <w:tcBorders>
              <w:top w:val="single" w:sz="8" w:color="CCEEFF"/>
              <w:bottom w:val="single" w:sz="8" w:color="auto"/>
            </w:tcBorders>
            <w:shd w:val="clear" w:color="auto" w:fill="CCEEFF"/>
          </w:tcPr>
          <w:p>
            <w:pPr>
              <w:spacing w:after="0"/>
              <w:rPr>
                <w:sz w:val="12"/>
                <w:szCs w:val="12"/>
                <w:color w:val="auto"/>
              </w:rPr>
            </w:pPr>
          </w:p>
        </w:tc>
        <w:tc>
          <w:tcPr>
            <w:tcW w:w="760" w:type="dxa"/>
            <w:vAlign w:val="bottom"/>
            <w:tcBorders>
              <w:top w:val="single" w:sz="8" w:color="CCEEFF"/>
              <w:bottom w:val="single" w:sz="8" w:color="auto"/>
            </w:tcBorders>
            <w:shd w:val="clear" w:color="auto" w:fill="CCEEFF"/>
          </w:tcPr>
          <w:p>
            <w:pPr>
              <w:spacing w:after="0"/>
              <w:rPr>
                <w:sz w:val="12"/>
                <w:szCs w:val="12"/>
                <w:color w:val="auto"/>
              </w:rPr>
            </w:pPr>
          </w:p>
        </w:tc>
        <w:tc>
          <w:tcPr>
            <w:tcW w:w="960" w:type="dxa"/>
            <w:vAlign w:val="bottom"/>
            <w:tcBorders>
              <w:top w:val="single" w:sz="8" w:color="CCEEFF"/>
              <w:bottom w:val="single" w:sz="8" w:color="auto"/>
            </w:tcBorders>
            <w:shd w:val="clear" w:color="auto" w:fill="CCEEFF"/>
          </w:tcPr>
          <w:p>
            <w:pPr>
              <w:spacing w:after="0"/>
              <w:rPr>
                <w:sz w:val="12"/>
                <w:szCs w:val="12"/>
                <w:color w:val="auto"/>
              </w:rPr>
            </w:pPr>
          </w:p>
        </w:tc>
        <w:tc>
          <w:tcPr>
            <w:tcW w:w="600" w:type="dxa"/>
            <w:vAlign w:val="bottom"/>
            <w:tcBorders>
              <w:top w:val="single" w:sz="8" w:color="CCEEFF"/>
              <w:bottom w:val="single" w:sz="8" w:color="auto"/>
            </w:tcBorders>
            <w:shd w:val="clear" w:color="auto" w:fill="CCEEFF"/>
          </w:tcPr>
          <w:p>
            <w:pPr>
              <w:spacing w:after="0"/>
              <w:rPr>
                <w:sz w:val="12"/>
                <w:szCs w:val="12"/>
                <w:color w:val="auto"/>
              </w:rPr>
            </w:pPr>
          </w:p>
        </w:tc>
        <w:tc>
          <w:tcPr>
            <w:tcW w:w="30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r>
      <w:tr>
        <w:trPr>
          <w:trHeight w:val="291"/>
        </w:trPr>
        <w:tc>
          <w:tcPr>
            <w:tcW w:w="8660" w:type="dxa"/>
            <w:vAlign w:val="bottom"/>
            <w:tcBorders>
              <w:left w:val="single" w:sz="8" w:color="auto"/>
              <w:right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700" w:type="dxa"/>
            <w:vAlign w:val="bottom"/>
            <w:tcBorders>
              <w:right w:val="single" w:sz="8" w:color="auto"/>
            </w:tcBorders>
          </w:tcPr>
          <w:p>
            <w:pPr>
              <w:spacing w:after="0"/>
              <w:rPr>
                <w:sz w:val="24"/>
                <w:szCs w:val="24"/>
                <w:color w:val="auto"/>
              </w:rPr>
            </w:pPr>
          </w:p>
        </w:tc>
      </w:tr>
      <w:tr>
        <w:trPr>
          <w:trHeight w:val="142"/>
        </w:trPr>
        <w:tc>
          <w:tcPr>
            <w:tcW w:w="280" w:type="dxa"/>
            <w:vAlign w:val="bottom"/>
            <w:tcBorders>
              <w:left w:val="single" w:sz="8" w:color="auto"/>
              <w:bottom w:val="single" w:sz="8" w:color="auto"/>
            </w:tcBorders>
          </w:tcPr>
          <w:p>
            <w:pPr>
              <w:spacing w:after="0"/>
              <w:rPr>
                <w:sz w:val="12"/>
                <w:szCs w:val="12"/>
                <w:color w:val="auto"/>
              </w:rPr>
            </w:pPr>
          </w:p>
        </w:tc>
        <w:tc>
          <w:tcPr>
            <w:tcW w:w="1880" w:type="dxa"/>
            <w:vAlign w:val="bottom"/>
            <w:tcBorders>
              <w:top w:val="single" w:sz="8" w:color="0000FF"/>
              <w:bottom w:val="single" w:sz="8" w:color="auto"/>
            </w:tcBorders>
          </w:tcPr>
          <w:p>
            <w:pPr>
              <w:spacing w:after="0"/>
              <w:rPr>
                <w:sz w:val="12"/>
                <w:szCs w:val="12"/>
                <w:color w:val="auto"/>
              </w:rPr>
            </w:pPr>
          </w:p>
        </w:tc>
        <w:tc>
          <w:tcPr>
            <w:tcW w:w="700" w:type="dxa"/>
            <w:vAlign w:val="bottom"/>
            <w:tcBorders>
              <w:top w:val="single" w:sz="8" w:color="0000FF"/>
              <w:bottom w:val="single" w:sz="8" w:color="auto"/>
            </w:tcBorders>
          </w:tcPr>
          <w:p>
            <w:pPr>
              <w:spacing w:after="0"/>
              <w:rPr>
                <w:sz w:val="12"/>
                <w:szCs w:val="12"/>
                <w:color w:val="auto"/>
              </w:rPr>
            </w:pPr>
          </w:p>
        </w:tc>
        <w:tc>
          <w:tcPr>
            <w:tcW w:w="180" w:type="dxa"/>
            <w:vAlign w:val="bottom"/>
            <w:tcBorders>
              <w:top w:val="single" w:sz="8" w:color="0000FF"/>
              <w:bottom w:val="single" w:sz="8" w:color="auto"/>
            </w:tcBorders>
          </w:tcPr>
          <w:p>
            <w:pPr>
              <w:spacing w:after="0"/>
              <w:rPr>
                <w:sz w:val="12"/>
                <w:szCs w:val="12"/>
                <w:color w:val="auto"/>
              </w:rPr>
            </w:pPr>
          </w:p>
        </w:tc>
        <w:tc>
          <w:tcPr>
            <w:tcW w:w="300" w:type="dxa"/>
            <w:vAlign w:val="bottom"/>
            <w:tcBorders>
              <w:top w:val="single" w:sz="8" w:color="0000FF"/>
              <w:bottom w:val="single" w:sz="8" w:color="auto"/>
            </w:tcBorders>
          </w:tcPr>
          <w:p>
            <w:pPr>
              <w:spacing w:after="0"/>
              <w:rPr>
                <w:sz w:val="12"/>
                <w:szCs w:val="12"/>
                <w:color w:val="auto"/>
              </w:rPr>
            </w:pPr>
          </w:p>
        </w:tc>
        <w:tc>
          <w:tcPr>
            <w:tcW w:w="760" w:type="dxa"/>
            <w:vAlign w:val="bottom"/>
            <w:tcBorders>
              <w:top w:val="single" w:sz="8" w:color="0000FF"/>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top w:val="single" w:sz="8" w:color="0000FF"/>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90"/>
        </w:trPr>
        <w:tc>
          <w:tcPr>
            <w:tcW w:w="8660" w:type="dxa"/>
            <w:vAlign w:val="bottom"/>
            <w:tcBorders>
              <w:left w:val="single" w:sz="8" w:color="auto"/>
              <w:right w:val="single" w:sz="8" w:color="auto"/>
            </w:tcBorders>
            <w:gridSpan w:val="9"/>
            <w:shd w:val="clear" w:color="auto" w:fill="CCEEFF"/>
          </w:tcPr>
          <w:p>
            <w:pPr>
              <w:ind w:left="280"/>
              <w:spacing w:after="0"/>
              <w:rPr>
                <w:sz w:val="20"/>
                <w:szCs w:val="20"/>
                <w:color w:val="auto"/>
              </w:rPr>
            </w:pPr>
            <w:r>
              <w:rPr>
                <w:rFonts w:ascii="Times New Roman" w:cs="Times New Roman" w:eastAsia="Times New Roman" w:hAnsi="Times New Roman"/>
                <w:sz w:val="16"/>
                <w:szCs w:val="16"/>
                <w:color w:val="0000FF"/>
              </w:rPr>
              <w:t>Consolidated Statements of Convertible Preferred Shares and Shareholders’ Equity</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700" w:type="dxa"/>
            <w:vAlign w:val="bottom"/>
            <w:tcBorders>
              <w:right w:val="single" w:sz="8" w:color="auto"/>
            </w:tcBorders>
            <w:shd w:val="clear" w:color="auto" w:fill="CCEEFF"/>
          </w:tcPr>
          <w:p>
            <w:pPr>
              <w:spacing w:after="0"/>
              <w:rPr>
                <w:sz w:val="24"/>
                <w:szCs w:val="24"/>
                <w:color w:val="auto"/>
              </w:rPr>
            </w:pPr>
          </w:p>
        </w:tc>
      </w:tr>
      <w:tr>
        <w:trPr>
          <w:trHeight w:val="142"/>
        </w:trPr>
        <w:tc>
          <w:tcPr>
            <w:tcW w:w="280" w:type="dxa"/>
            <w:vAlign w:val="bottom"/>
            <w:tcBorders>
              <w:top w:val="single" w:sz="8" w:color="CCEEFF"/>
              <w:left w:val="single" w:sz="8" w:color="auto"/>
              <w:bottom w:val="single" w:sz="8" w:color="auto"/>
            </w:tcBorders>
            <w:shd w:val="clear" w:color="auto" w:fill="CCEEFF"/>
          </w:tcPr>
          <w:p>
            <w:pPr>
              <w:spacing w:after="0"/>
              <w:rPr>
                <w:sz w:val="12"/>
                <w:szCs w:val="12"/>
                <w:color w:val="auto"/>
              </w:rPr>
            </w:pPr>
          </w:p>
        </w:tc>
        <w:tc>
          <w:tcPr>
            <w:tcW w:w="188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0000FF"/>
              <w:bottom w:val="single" w:sz="8" w:color="auto"/>
            </w:tcBorders>
            <w:shd w:val="clear" w:color="auto" w:fill="CCEEFF"/>
          </w:tcPr>
          <w:p>
            <w:pPr>
              <w:spacing w:after="0"/>
              <w:rPr>
                <w:sz w:val="12"/>
                <w:szCs w:val="12"/>
                <w:color w:val="auto"/>
              </w:rPr>
            </w:pPr>
          </w:p>
        </w:tc>
        <w:tc>
          <w:tcPr>
            <w:tcW w:w="180" w:type="dxa"/>
            <w:vAlign w:val="bottom"/>
            <w:tcBorders>
              <w:top w:val="single" w:sz="8" w:color="0000FF"/>
              <w:bottom w:val="single" w:sz="8" w:color="auto"/>
            </w:tcBorders>
            <w:shd w:val="clear" w:color="auto" w:fill="CCEEFF"/>
          </w:tcPr>
          <w:p>
            <w:pPr>
              <w:spacing w:after="0"/>
              <w:rPr>
                <w:sz w:val="12"/>
                <w:szCs w:val="12"/>
                <w:color w:val="auto"/>
              </w:rPr>
            </w:pPr>
          </w:p>
        </w:tc>
        <w:tc>
          <w:tcPr>
            <w:tcW w:w="300" w:type="dxa"/>
            <w:vAlign w:val="bottom"/>
            <w:tcBorders>
              <w:top w:val="single" w:sz="8" w:color="0000FF"/>
              <w:bottom w:val="single" w:sz="8" w:color="auto"/>
            </w:tcBorders>
            <w:shd w:val="clear" w:color="auto" w:fill="CCEEFF"/>
          </w:tcPr>
          <w:p>
            <w:pPr>
              <w:spacing w:after="0"/>
              <w:rPr>
                <w:sz w:val="12"/>
                <w:szCs w:val="12"/>
                <w:color w:val="auto"/>
              </w:rPr>
            </w:pPr>
          </w:p>
        </w:tc>
        <w:tc>
          <w:tcPr>
            <w:tcW w:w="760" w:type="dxa"/>
            <w:vAlign w:val="bottom"/>
            <w:tcBorders>
              <w:top w:val="single" w:sz="8" w:color="0000FF"/>
              <w:bottom w:val="single" w:sz="8" w:color="auto"/>
            </w:tcBorders>
            <w:shd w:val="clear" w:color="auto" w:fill="CCEEFF"/>
          </w:tcPr>
          <w:p>
            <w:pPr>
              <w:spacing w:after="0"/>
              <w:rPr>
                <w:sz w:val="12"/>
                <w:szCs w:val="12"/>
                <w:color w:val="auto"/>
              </w:rPr>
            </w:pPr>
          </w:p>
        </w:tc>
        <w:tc>
          <w:tcPr>
            <w:tcW w:w="960" w:type="dxa"/>
            <w:vAlign w:val="bottom"/>
            <w:tcBorders>
              <w:top w:val="single" w:sz="8" w:color="0000FF"/>
              <w:bottom w:val="single" w:sz="8" w:color="auto"/>
            </w:tcBorders>
            <w:shd w:val="clear" w:color="auto" w:fill="CCEEFF"/>
          </w:tcPr>
          <w:p>
            <w:pPr>
              <w:spacing w:after="0"/>
              <w:rPr>
                <w:sz w:val="12"/>
                <w:szCs w:val="12"/>
                <w:color w:val="auto"/>
              </w:rPr>
            </w:pPr>
          </w:p>
        </w:tc>
        <w:tc>
          <w:tcPr>
            <w:tcW w:w="600" w:type="dxa"/>
            <w:vAlign w:val="bottom"/>
            <w:tcBorders>
              <w:top w:val="single" w:sz="8" w:color="0000FF"/>
              <w:bottom w:val="single" w:sz="8" w:color="auto"/>
            </w:tcBorders>
            <w:shd w:val="clear" w:color="auto" w:fill="CCEEFF"/>
          </w:tcPr>
          <w:p>
            <w:pPr>
              <w:spacing w:after="0"/>
              <w:rPr>
                <w:sz w:val="12"/>
                <w:szCs w:val="12"/>
                <w:color w:val="auto"/>
              </w:rPr>
            </w:pPr>
          </w:p>
        </w:tc>
        <w:tc>
          <w:tcPr>
            <w:tcW w:w="30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r>
      <w:tr>
        <w:trPr>
          <w:trHeight w:val="290"/>
        </w:trPr>
        <w:tc>
          <w:tcPr>
            <w:tcW w:w="8660" w:type="dxa"/>
            <w:vAlign w:val="bottom"/>
            <w:tcBorders>
              <w:left w:val="single" w:sz="8" w:color="auto"/>
              <w:right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700" w:type="dxa"/>
            <w:vAlign w:val="bottom"/>
            <w:tcBorders>
              <w:right w:val="single" w:sz="8" w:color="auto"/>
            </w:tcBorders>
          </w:tcPr>
          <w:p>
            <w:pPr>
              <w:spacing w:after="0"/>
              <w:rPr>
                <w:sz w:val="24"/>
                <w:szCs w:val="24"/>
                <w:color w:val="auto"/>
              </w:rPr>
            </w:pPr>
          </w:p>
        </w:tc>
      </w:tr>
      <w:tr>
        <w:trPr>
          <w:trHeight w:val="142"/>
        </w:trPr>
        <w:tc>
          <w:tcPr>
            <w:tcW w:w="280" w:type="dxa"/>
            <w:vAlign w:val="bottom"/>
            <w:tcBorders>
              <w:left w:val="single" w:sz="8" w:color="auto"/>
              <w:bottom w:val="single" w:sz="8" w:color="auto"/>
            </w:tcBorders>
          </w:tcPr>
          <w:p>
            <w:pPr>
              <w:spacing w:after="0"/>
              <w:rPr>
                <w:sz w:val="12"/>
                <w:szCs w:val="12"/>
                <w:color w:val="auto"/>
              </w:rPr>
            </w:pPr>
          </w:p>
        </w:tc>
        <w:tc>
          <w:tcPr>
            <w:tcW w:w="1880" w:type="dxa"/>
            <w:vAlign w:val="bottom"/>
            <w:tcBorders>
              <w:top w:val="single" w:sz="8" w:color="0000FF"/>
              <w:bottom w:val="single" w:sz="8" w:color="auto"/>
            </w:tcBorders>
          </w:tcPr>
          <w:p>
            <w:pPr>
              <w:spacing w:after="0"/>
              <w:rPr>
                <w:sz w:val="12"/>
                <w:szCs w:val="12"/>
                <w:color w:val="auto"/>
              </w:rPr>
            </w:pPr>
          </w:p>
        </w:tc>
        <w:tc>
          <w:tcPr>
            <w:tcW w:w="700" w:type="dxa"/>
            <w:vAlign w:val="bottom"/>
            <w:tcBorders>
              <w:top w:val="single" w:sz="8" w:color="0000FF"/>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top w:val="single" w:sz="8" w:color="0000FF"/>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290"/>
        </w:trPr>
        <w:tc>
          <w:tcPr>
            <w:tcW w:w="8660" w:type="dxa"/>
            <w:vAlign w:val="bottom"/>
            <w:tcBorders>
              <w:left w:val="single" w:sz="8" w:color="auto"/>
              <w:right w:val="single" w:sz="8" w:color="auto"/>
            </w:tcBorders>
            <w:gridSpan w:val="9"/>
            <w:shd w:val="clear" w:color="auto" w:fill="CCEEFF"/>
          </w:tcPr>
          <w:p>
            <w:pPr>
              <w:ind w:left="280"/>
              <w:spacing w:after="0"/>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700" w:type="dxa"/>
            <w:vAlign w:val="bottom"/>
            <w:tcBorders>
              <w:right w:val="single" w:sz="8" w:color="auto"/>
            </w:tcBorders>
            <w:shd w:val="clear" w:color="auto" w:fill="CCEEFF"/>
          </w:tcPr>
          <w:p>
            <w:pPr>
              <w:spacing w:after="0"/>
              <w:rPr>
                <w:sz w:val="24"/>
                <w:szCs w:val="24"/>
                <w:color w:val="auto"/>
              </w:rPr>
            </w:pPr>
          </w:p>
        </w:tc>
      </w:tr>
      <w:tr>
        <w:trPr>
          <w:trHeight w:val="142"/>
        </w:trPr>
        <w:tc>
          <w:tcPr>
            <w:tcW w:w="280" w:type="dxa"/>
            <w:vAlign w:val="bottom"/>
            <w:tcBorders>
              <w:top w:val="single" w:sz="8" w:color="CCEEFF"/>
              <w:left w:val="single" w:sz="8" w:color="auto"/>
              <w:bottom w:val="single" w:sz="8" w:color="auto"/>
            </w:tcBorders>
            <w:shd w:val="clear" w:color="auto" w:fill="CCEEFF"/>
          </w:tcPr>
          <w:p>
            <w:pPr>
              <w:spacing w:after="0"/>
              <w:rPr>
                <w:sz w:val="12"/>
                <w:szCs w:val="12"/>
                <w:color w:val="auto"/>
              </w:rPr>
            </w:pPr>
          </w:p>
        </w:tc>
        <w:tc>
          <w:tcPr>
            <w:tcW w:w="188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0000FF"/>
              <w:bottom w:val="single" w:sz="8" w:color="auto"/>
            </w:tcBorders>
            <w:shd w:val="clear" w:color="auto" w:fill="CCEEFF"/>
          </w:tcPr>
          <w:p>
            <w:pPr>
              <w:spacing w:after="0"/>
              <w:rPr>
                <w:sz w:val="12"/>
                <w:szCs w:val="12"/>
                <w:color w:val="auto"/>
              </w:rPr>
            </w:pPr>
          </w:p>
        </w:tc>
        <w:tc>
          <w:tcPr>
            <w:tcW w:w="180" w:type="dxa"/>
            <w:vAlign w:val="bottom"/>
            <w:tcBorders>
              <w:top w:val="single" w:sz="8" w:color="0000FF"/>
              <w:bottom w:val="single" w:sz="8" w:color="auto"/>
            </w:tcBorders>
            <w:shd w:val="clear" w:color="auto" w:fill="CCEEFF"/>
          </w:tcPr>
          <w:p>
            <w:pPr>
              <w:spacing w:after="0"/>
              <w:rPr>
                <w:sz w:val="12"/>
                <w:szCs w:val="12"/>
                <w:color w:val="auto"/>
              </w:rPr>
            </w:pPr>
          </w:p>
        </w:tc>
        <w:tc>
          <w:tcPr>
            <w:tcW w:w="300" w:type="dxa"/>
            <w:vAlign w:val="bottom"/>
            <w:tcBorders>
              <w:top w:val="single" w:sz="8" w:color="0000FF"/>
              <w:bottom w:val="single" w:sz="8" w:color="auto"/>
            </w:tcBorders>
            <w:shd w:val="clear" w:color="auto" w:fill="CCEEFF"/>
          </w:tcPr>
          <w:p>
            <w:pPr>
              <w:spacing w:after="0"/>
              <w:rPr>
                <w:sz w:val="12"/>
                <w:szCs w:val="12"/>
                <w:color w:val="auto"/>
              </w:rPr>
            </w:pPr>
          </w:p>
        </w:tc>
        <w:tc>
          <w:tcPr>
            <w:tcW w:w="760" w:type="dxa"/>
            <w:vAlign w:val="bottom"/>
            <w:tcBorders>
              <w:top w:val="single" w:sz="8" w:color="CCEEFF"/>
              <w:bottom w:val="single" w:sz="8" w:color="auto"/>
            </w:tcBorders>
            <w:shd w:val="clear" w:color="auto" w:fill="CCEEFF"/>
          </w:tcPr>
          <w:p>
            <w:pPr>
              <w:spacing w:after="0"/>
              <w:rPr>
                <w:sz w:val="12"/>
                <w:szCs w:val="12"/>
                <w:color w:val="auto"/>
              </w:rPr>
            </w:pPr>
          </w:p>
        </w:tc>
        <w:tc>
          <w:tcPr>
            <w:tcW w:w="960" w:type="dxa"/>
            <w:vAlign w:val="bottom"/>
            <w:tcBorders>
              <w:top w:val="single" w:sz="8" w:color="CCEEFF"/>
              <w:bottom w:val="single" w:sz="8" w:color="auto"/>
            </w:tcBorders>
            <w:shd w:val="clear" w:color="auto" w:fill="CCEEFF"/>
          </w:tcPr>
          <w:p>
            <w:pPr>
              <w:spacing w:after="0"/>
              <w:rPr>
                <w:sz w:val="12"/>
                <w:szCs w:val="12"/>
                <w:color w:val="auto"/>
              </w:rPr>
            </w:pPr>
          </w:p>
        </w:tc>
        <w:tc>
          <w:tcPr>
            <w:tcW w:w="600" w:type="dxa"/>
            <w:vAlign w:val="bottom"/>
            <w:tcBorders>
              <w:top w:val="single" w:sz="8" w:color="CCEEFF"/>
              <w:bottom w:val="single" w:sz="8" w:color="auto"/>
            </w:tcBorders>
            <w:shd w:val="clear" w:color="auto" w:fill="CCEEFF"/>
          </w:tcPr>
          <w:p>
            <w:pPr>
              <w:spacing w:after="0"/>
              <w:rPr>
                <w:sz w:val="12"/>
                <w:szCs w:val="12"/>
                <w:color w:val="auto"/>
              </w:rPr>
            </w:pPr>
          </w:p>
        </w:tc>
        <w:tc>
          <w:tcPr>
            <w:tcW w:w="30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0000FF"/>
              <w:bottom w:val="single" w:sz="8" w:color="auto"/>
            </w:tcBorders>
            <w:shd w:val="clear" w:color="auto" w:fill="CCEEFF"/>
          </w:tcPr>
          <w:p>
            <w:pPr>
              <w:spacing w:after="0"/>
              <w:rPr>
                <w:sz w:val="12"/>
                <w:szCs w:val="12"/>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r>
    </w:tbl>
    <w:p>
      <w:pPr>
        <w:spacing w:after="0" w:line="189" w:lineRule="exact"/>
        <w:rPr>
          <w:sz w:val="20"/>
          <w:szCs w:val="20"/>
          <w:color w:val="auto"/>
        </w:rPr>
      </w:pPr>
    </w:p>
    <w:p>
      <w:pPr>
        <w:sectPr>
          <w:pgSz w:w="11900" w:h="16838" w:orient="portrait"/>
          <w:cols w:equalWidth="0" w:num="1">
            <w:col w:w="11240"/>
          </w:cols>
          <w:pgMar w:left="320" w:top="164" w:right="339" w:bottom="1440" w:gutter="0" w:footer="0" w:header="0"/>
        </w:sectPr>
      </w:pPr>
    </w:p>
    <w:p>
      <w:pPr>
        <w:ind w:left="660" w:hanging="328"/>
        <w:spacing w:after="0" w:line="280"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schedules have been omitted because they are not required, not applicable, not present in amounts sufficient to require submission of the schedule, or the required information is otherwise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777875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90" w:name="page91"/>
    <w:bookmarkEnd w:id="90"/>
    <w:p>
      <w:pPr>
        <w:spacing w:after="0"/>
        <w:tabs>
          <w:tab w:leader="none" w:pos="954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ectPr>
          <w:pgSz w:w="11900" w:h="16838" w:orient="portrait"/>
          <w:cols w:equalWidth="0" w:num="1">
            <w:col w:w="11200"/>
          </w:cols>
          <w:pgMar w:left="340" w:top="1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hanging="32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805180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64" w:right="359" w:bottom="1440" w:gutter="0" w:footer="0" w:header="0"/>
          <w:type w:val="continuous"/>
        </w:sectPr>
      </w:pPr>
    </w:p>
    <w:bookmarkStart w:id="91" w:name="page92"/>
    <w:bookmarkEnd w:id="91"/>
    <w:p>
      <w:pPr>
        <w:spacing w:after="0"/>
        <w:tabs>
          <w:tab w:leader="none" w:pos="954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ectPr>
          <w:pgSz w:w="11900" w:h="16838" w:orient="portrait"/>
          <w:cols w:equalWidth="0" w:num="1">
            <w:col w:w="11200"/>
          </w:cols>
          <w:pgMar w:left="340" w:top="1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Index</w:t>
      </w:r>
    </w:p>
    <w:p>
      <w:pPr>
        <w:sectPr>
          <w:pgSz w:w="11900" w:h="16838" w:orient="portrait"/>
          <w:cols w:equalWidth="0" w:num="1">
            <w:col w:w="11200"/>
          </w:cols>
          <w:pgMar w:left="340" w:top="164" w:right="359" w:bottom="1440" w:gutter="0" w:footer="0" w:header="0"/>
          <w:type w:val="continuous"/>
        </w:sectPr>
      </w:pPr>
    </w:p>
    <w:bookmarkStart w:id="92" w:name="page93"/>
    <w:bookmarkEnd w:id="92"/>
    <w:tbl>
      <w:tblPr>
        <w:tblLayout w:type="fixed"/>
        <w:tblInd w:w="10" w:type="dxa"/>
        <w:tblCellMar>
          <w:top w:w="0" w:type="dxa"/>
          <w:left w:w="0" w:type="dxa"/>
          <w:bottom w:w="0" w:type="dxa"/>
          <w:right w:w="0" w:type="dxa"/>
        </w:tblCellMar>
      </w:tblPr>
      <w:tr>
        <w:trPr>
          <w:trHeight w:val="227"/>
        </w:trPr>
        <w:tc>
          <w:tcPr>
            <w:tcW w:w="11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4560" w:type="dxa"/>
            <w:vAlign w:val="bottom"/>
            <w:tcBorders>
              <w:top w:val="single" w:sz="8" w:color="auto"/>
              <w:bottom w:val="single" w:sz="8" w:color="auto"/>
              <w:right w:val="single" w:sz="8" w:color="auto"/>
            </w:tcBorders>
            <w:gridSpan w:val="55"/>
          </w:tcPr>
          <w:p>
            <w:pPr>
              <w:spacing w:after="0"/>
              <w:rPr>
                <w:sz w:val="19"/>
                <w:szCs w:val="19"/>
                <w:color w:val="auto"/>
              </w:rPr>
            </w:pPr>
          </w:p>
        </w:tc>
        <w:tc>
          <w:tcPr>
            <w:tcW w:w="5520" w:type="dxa"/>
            <w:vAlign w:val="bottom"/>
            <w:tcBorders>
              <w:top w:val="single" w:sz="8" w:color="auto"/>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Incorporated by Reference</w:t>
            </w:r>
          </w:p>
        </w:tc>
        <w:tc>
          <w:tcPr>
            <w:tcW w:w="0" w:type="dxa"/>
            <w:vAlign w:val="bottom"/>
          </w:tcPr>
          <w:p>
            <w:pPr>
              <w:spacing w:after="0"/>
              <w:rPr>
                <w:sz w:val="1"/>
                <w:szCs w:val="1"/>
                <w:color w:val="auto"/>
              </w:rPr>
            </w:pPr>
          </w:p>
        </w:tc>
      </w:tr>
      <w:tr>
        <w:trPr>
          <w:trHeight w:val="207"/>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Exhibit No.</w:t>
            </w:r>
          </w:p>
        </w:tc>
        <w:tc>
          <w:tcPr>
            <w:tcW w:w="4560" w:type="dxa"/>
            <w:vAlign w:val="bottom"/>
            <w:tcBorders>
              <w:right w:val="single" w:sz="8" w:color="auto"/>
            </w:tcBorders>
            <w:gridSpan w:val="55"/>
            <w:vMerge w:val="restart"/>
          </w:tcPr>
          <w:p>
            <w:pPr>
              <w:spacing w:after="0"/>
              <w:rPr>
                <w:sz w:val="20"/>
                <w:szCs w:val="20"/>
                <w:color w:val="auto"/>
              </w:rPr>
            </w:pPr>
            <w:r>
              <w:rPr>
                <w:rFonts w:ascii="Times New Roman" w:cs="Times New Roman" w:eastAsia="Times New Roman" w:hAnsi="Times New Roman"/>
                <w:sz w:val="16"/>
                <w:szCs w:val="16"/>
                <w:color w:val="auto"/>
              </w:rPr>
              <w:t>Exhibit Description</w:t>
            </w:r>
          </w:p>
        </w:tc>
        <w:tc>
          <w:tcPr>
            <w:tcW w:w="7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Form</w:t>
            </w:r>
          </w:p>
        </w:tc>
        <w:tc>
          <w:tcPr>
            <w:tcW w:w="118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color w:val="auto"/>
              </w:rPr>
              <w:t>File No.</w:t>
            </w:r>
          </w:p>
        </w:tc>
        <w:tc>
          <w:tcPr>
            <w:tcW w:w="8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Exhibit</w:t>
            </w:r>
          </w:p>
        </w:tc>
        <w:tc>
          <w:tcPr>
            <w:tcW w:w="162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6"/>
                <w:szCs w:val="16"/>
                <w:color w:val="auto"/>
              </w:rPr>
              <w:t>Filing Date</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Filed /Furnished</w:t>
            </w: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gridSpan w:val="55"/>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Herewith</w:t>
            </w:r>
          </w:p>
        </w:tc>
        <w:tc>
          <w:tcPr>
            <w:tcW w:w="0" w:type="dxa"/>
            <w:vAlign w:val="bottom"/>
          </w:tcPr>
          <w:p>
            <w:pPr>
              <w:spacing w:after="0"/>
              <w:rPr>
                <w:sz w:val="1"/>
                <w:szCs w:val="1"/>
                <w:color w:val="auto"/>
              </w:rPr>
            </w:pPr>
          </w:p>
        </w:tc>
      </w:tr>
      <w:tr>
        <w:trPr>
          <w:trHeight w:val="192"/>
        </w:trPr>
        <w:tc>
          <w:tcPr>
            <w:tcW w:w="1180" w:type="dxa"/>
            <w:vAlign w:val="bottom"/>
            <w:tcBorders>
              <w:left w:val="single" w:sz="8" w:color="auto"/>
              <w:bottom w:val="single" w:sz="8" w:color="auto"/>
              <w:right w:val="single" w:sz="8" w:color="auto"/>
            </w:tcBorders>
          </w:tcPr>
          <w:p>
            <w:pPr>
              <w:spacing w:after="0"/>
              <w:rPr>
                <w:sz w:val="16"/>
                <w:szCs w:val="16"/>
                <w:color w:val="auto"/>
              </w:rPr>
            </w:pPr>
          </w:p>
        </w:tc>
        <w:tc>
          <w:tcPr>
            <w:tcW w:w="4560" w:type="dxa"/>
            <w:vAlign w:val="bottom"/>
            <w:tcBorders>
              <w:bottom w:val="single" w:sz="8" w:color="auto"/>
              <w:right w:val="single" w:sz="8" w:color="auto"/>
            </w:tcBorders>
            <w:gridSpan w:val="55"/>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80" w:type="dxa"/>
            <w:vAlign w:val="bottom"/>
            <w:tcBorders>
              <w:left w:val="single" w:sz="8" w:color="auto"/>
              <w:right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rPr>
              <w:t>3.1</w:t>
            </w:r>
          </w:p>
        </w:tc>
        <w:tc>
          <w:tcPr>
            <w:tcW w:w="4560" w:type="dxa"/>
            <w:vAlign w:val="bottom"/>
            <w:tcBorders>
              <w:right w:val="single" w:sz="8" w:color="auto"/>
            </w:tcBorders>
            <w:gridSpan w:val="55"/>
            <w:shd w:val="clear" w:color="auto" w:fill="CCEEFF"/>
          </w:tcPr>
          <w:p>
            <w:pPr>
              <w:spacing w:after="0" w:line="172" w:lineRule="exact"/>
              <w:rPr>
                <w:rFonts w:ascii="Times New Roman" w:cs="Times New Roman" w:eastAsia="Times New Roman" w:hAnsi="Times New Roman"/>
                <w:sz w:val="16"/>
                <w:szCs w:val="16"/>
                <w:color w:val="auto"/>
              </w:rPr>
            </w:pPr>
            <w:hyperlink r:id="rId130">
              <w:r>
                <w:rPr>
                  <w:rFonts w:ascii="Times New Roman" w:cs="Times New Roman" w:eastAsia="Times New Roman" w:hAnsi="Times New Roman"/>
                  <w:sz w:val="16"/>
                  <w:szCs w:val="16"/>
                  <w:color w:val="auto"/>
                </w:rPr>
                <w:t>Articles of Association of Taboola.com Ltd. as Amended on</w:t>
              </w:r>
            </w:hyperlink>
          </w:p>
        </w:tc>
        <w:tc>
          <w:tcPr>
            <w:tcW w:w="700" w:type="dxa"/>
            <w:vAlign w:val="bottom"/>
            <w:tcBorders>
              <w:right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8-K</w:t>
            </w:r>
          </w:p>
        </w:tc>
        <w:tc>
          <w:tcPr>
            <w:tcW w:w="1180" w:type="dxa"/>
            <w:vAlign w:val="bottom"/>
            <w:tcBorders>
              <w:right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3.1</w:t>
            </w:r>
          </w:p>
        </w:tc>
        <w:tc>
          <w:tcPr>
            <w:tcW w:w="1620" w:type="dxa"/>
            <w:vAlign w:val="bottom"/>
            <w:tcBorders>
              <w:right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January 17, 2023</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3900" w:type="dxa"/>
            <w:vAlign w:val="bottom"/>
            <w:tcBorders>
              <w:top w:val="single" w:sz="8" w:color="auto"/>
              <w:bottom w:val="single" w:sz="8" w:color="auto"/>
            </w:tcBorders>
            <w:gridSpan w:val="30"/>
            <w:shd w:val="clear" w:color="auto" w:fill="CCEEFF"/>
          </w:tcPr>
          <w:p>
            <w:pPr>
              <w:spacing w:after="0" w:line="142" w:lineRule="exact"/>
              <w:rPr>
                <w:rFonts w:ascii="Times New Roman" w:cs="Times New Roman" w:eastAsia="Times New Roman" w:hAnsi="Times New Roman"/>
                <w:sz w:val="16"/>
                <w:szCs w:val="16"/>
                <w:color w:val="auto"/>
              </w:rPr>
            </w:pPr>
            <w:hyperlink r:id="rId130">
              <w:r>
                <w:rPr>
                  <w:rFonts w:ascii="Times New Roman" w:cs="Times New Roman" w:eastAsia="Times New Roman" w:hAnsi="Times New Roman"/>
                  <w:sz w:val="16"/>
                  <w:szCs w:val="16"/>
                  <w:color w:val="auto"/>
                </w:rPr>
                <w:t>December 30, 2022</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4294967277"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4560" w:type="dxa"/>
            <w:vAlign w:val="bottom"/>
            <w:tcBorders>
              <w:right w:val="single" w:sz="8" w:color="auto"/>
            </w:tcBorders>
            <w:gridSpan w:val="55"/>
          </w:tcPr>
          <w:p>
            <w:pPr>
              <w:spacing w:after="0" w:line="169" w:lineRule="exact"/>
              <w:rPr>
                <w:sz w:val="20"/>
                <w:szCs w:val="20"/>
                <w:color w:val="auto"/>
              </w:rPr>
            </w:pPr>
            <w:r>
              <w:rPr>
                <w:rFonts w:ascii="Times New Roman" w:cs="Times New Roman" w:eastAsia="Times New Roman" w:hAnsi="Times New Roman"/>
                <w:sz w:val="16"/>
                <w:szCs w:val="16"/>
                <w:color w:val="auto"/>
              </w:rPr>
              <w:t>Description of Securities</w:t>
            </w:r>
          </w:p>
        </w:tc>
        <w:tc>
          <w:tcPr>
            <w:tcW w:w="7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gridSpan w:val="6"/>
          </w:tcPr>
          <w:p>
            <w:pPr>
              <w:spacing w:after="0" w:line="20" w:lineRule="exact"/>
              <w:rPr>
                <w:sz w:val="1"/>
                <w:szCs w:val="1"/>
                <w:color w:val="auto"/>
              </w:rPr>
            </w:pPr>
          </w:p>
        </w:tc>
        <w:tc>
          <w:tcPr>
            <w:tcW w:w="2940" w:type="dxa"/>
            <w:vAlign w:val="bottom"/>
            <w:tcBorders>
              <w:bottom w:val="single" w:sz="8" w:color="auto"/>
              <w:right w:val="single" w:sz="8" w:color="auto"/>
            </w:tcBorders>
            <w:gridSpan w:val="49"/>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4.2</w:t>
            </w:r>
          </w:p>
        </w:tc>
        <w:tc>
          <w:tcPr>
            <w:tcW w:w="4560" w:type="dxa"/>
            <w:vAlign w:val="bottom"/>
            <w:tcBorders>
              <w:bottom w:val="single" w:sz="8" w:color="auto"/>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31">
              <w:r>
                <w:rPr>
                  <w:rFonts w:ascii="Times New Roman" w:cs="Times New Roman" w:eastAsia="Times New Roman" w:hAnsi="Times New Roman"/>
                  <w:sz w:val="16"/>
                  <w:szCs w:val="16"/>
                  <w:color w:val="auto"/>
                </w:rPr>
                <w:t>Specimen Ordinary Share Certificate of Taboola.com Ltd.</w:t>
              </w:r>
            </w:hyperlink>
          </w:p>
        </w:tc>
        <w:tc>
          <w:tcPr>
            <w:tcW w:w="70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F-4</w:t>
            </w:r>
          </w:p>
        </w:tc>
        <w:tc>
          <w:tcPr>
            <w:tcW w:w="118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333-255684</w:t>
            </w:r>
          </w:p>
        </w:tc>
        <w:tc>
          <w:tcPr>
            <w:tcW w:w="84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4.5</w:t>
            </w:r>
          </w:p>
        </w:tc>
        <w:tc>
          <w:tcPr>
            <w:tcW w:w="162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4.3</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32">
              <w:r>
                <w:rPr>
                  <w:rFonts w:ascii="Times New Roman" w:cs="Times New Roman" w:eastAsia="Times New Roman" w:hAnsi="Times New Roman"/>
                  <w:sz w:val="16"/>
                  <w:szCs w:val="16"/>
                  <w:color w:val="auto"/>
                </w:rPr>
                <w:t>Specimen Warrant Certificate of Taboola.com Ltd.</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F-4</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333-255684</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4.6</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gridSpan w:val="18"/>
          </w:tcPr>
          <w:p>
            <w:pPr>
              <w:spacing w:after="0" w:line="20" w:lineRule="exact"/>
              <w:rPr>
                <w:sz w:val="1"/>
                <w:szCs w:val="1"/>
                <w:color w:val="auto"/>
              </w:rPr>
            </w:pPr>
          </w:p>
        </w:tc>
        <w:tc>
          <w:tcPr>
            <w:tcW w:w="1280" w:type="dxa"/>
            <w:vAlign w:val="bottom"/>
            <w:tcBorders>
              <w:bottom w:val="single" w:sz="8" w:color="auto"/>
              <w:right w:val="single" w:sz="8" w:color="auto"/>
            </w:tcBorders>
            <w:gridSpan w:val="37"/>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4560" w:type="dxa"/>
            <w:vAlign w:val="bottom"/>
            <w:tcBorders>
              <w:bottom w:val="single" w:sz="8" w:color="auto"/>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33">
              <w:r>
                <w:rPr>
                  <w:rFonts w:ascii="Times New Roman" w:cs="Times New Roman" w:eastAsia="Times New Roman" w:hAnsi="Times New Roman"/>
                  <w:sz w:val="16"/>
                  <w:szCs w:val="16"/>
                  <w:color w:val="auto"/>
                </w:rPr>
                <w:t>Form of Director and Officer Indemnification Agreement</w:t>
              </w:r>
            </w:hyperlink>
          </w:p>
        </w:tc>
        <w:tc>
          <w:tcPr>
            <w:tcW w:w="70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F-4</w:t>
            </w:r>
          </w:p>
        </w:tc>
        <w:tc>
          <w:tcPr>
            <w:tcW w:w="118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333-255684</w:t>
            </w:r>
          </w:p>
        </w:tc>
        <w:tc>
          <w:tcPr>
            <w:tcW w:w="84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10.10</w:t>
            </w:r>
          </w:p>
        </w:tc>
        <w:tc>
          <w:tcPr>
            <w:tcW w:w="162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10.2††</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34">
              <w:r>
                <w:rPr>
                  <w:rFonts w:ascii="Times New Roman" w:cs="Times New Roman" w:eastAsia="Times New Roman" w:hAnsi="Times New Roman"/>
                  <w:sz w:val="16"/>
                  <w:szCs w:val="16"/>
                  <w:color w:val="auto"/>
                </w:rPr>
                <w:t>Compensation Policy for Officers and Directors</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20-F</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4.5</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24, 2022</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gridSpan w:val="16"/>
          </w:tcPr>
          <w:p>
            <w:pPr>
              <w:spacing w:after="0" w:line="20" w:lineRule="exact"/>
              <w:rPr>
                <w:sz w:val="1"/>
                <w:szCs w:val="1"/>
                <w:color w:val="auto"/>
              </w:rPr>
            </w:pPr>
          </w:p>
        </w:tc>
        <w:tc>
          <w:tcPr>
            <w:tcW w:w="1440" w:type="dxa"/>
            <w:vAlign w:val="bottom"/>
            <w:tcBorders>
              <w:bottom w:val="single" w:sz="8" w:color="auto"/>
              <w:right w:val="single" w:sz="8" w:color="auto"/>
            </w:tcBorders>
            <w:gridSpan w:val="39"/>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10.3††</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35">
              <w:r>
                <w:rPr>
                  <w:rFonts w:ascii="Times New Roman" w:cs="Times New Roman" w:eastAsia="Times New Roman" w:hAnsi="Times New Roman"/>
                  <w:sz w:val="16"/>
                  <w:szCs w:val="16"/>
                  <w:color w:val="auto"/>
                </w:rPr>
                <w:t>Compensation Package for the Board of Directors, amended as of</w:t>
              </w:r>
            </w:hyperlink>
          </w:p>
        </w:tc>
        <w:tc>
          <w:tcPr>
            <w:tcW w:w="7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10.1</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February 28, 2024</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340" w:type="dxa"/>
            <w:vAlign w:val="bottom"/>
            <w:tcBorders>
              <w:top w:val="single" w:sz="8" w:color="auto"/>
              <w:bottom w:val="single" w:sz="8" w:color="auto"/>
            </w:tcBorders>
            <w:gridSpan w:val="49"/>
            <w:shd w:val="clear" w:color="auto" w:fill="CCEEFF"/>
          </w:tcPr>
          <w:p>
            <w:pPr>
              <w:spacing w:after="0" w:line="142" w:lineRule="exact"/>
              <w:rPr>
                <w:rFonts w:ascii="Times New Roman" w:cs="Times New Roman" w:eastAsia="Times New Roman" w:hAnsi="Times New Roman"/>
                <w:sz w:val="16"/>
                <w:szCs w:val="16"/>
                <w:color w:val="auto"/>
              </w:rPr>
            </w:pPr>
            <w:hyperlink r:id="rId135">
              <w:r>
                <w:rPr>
                  <w:rFonts w:ascii="Times New Roman" w:cs="Times New Roman" w:eastAsia="Times New Roman" w:hAnsi="Times New Roman"/>
                  <w:sz w:val="16"/>
                  <w:szCs w:val="16"/>
                  <w:color w:val="auto"/>
                </w:rPr>
                <w:t>May 28, 2024</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4294967277"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vMerge w:val="continue"/>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vMerge w:val="continue"/>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vMerge w:val="continue"/>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10.4††</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36">
              <w:r>
                <w:rPr>
                  <w:rFonts w:ascii="Times New Roman" w:cs="Times New Roman" w:eastAsia="Times New Roman" w:hAnsi="Times New Roman"/>
                  <w:sz w:val="16"/>
                  <w:szCs w:val="16"/>
                  <w:color w:val="auto"/>
                </w:rPr>
                <w:t>Form of 2021 Taboola.com Ltd. Share Incentive Plan</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F-4</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333-255684</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10.8</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top w:val="single" w:sz="8" w:color="auto"/>
              <w:bottom w:val="single" w:sz="8" w:color="auto"/>
            </w:tcBorders>
            <w:gridSpan w:val="19"/>
          </w:tcPr>
          <w:p>
            <w:pPr>
              <w:spacing w:after="0" w:line="20" w:lineRule="exact"/>
              <w:rPr>
                <w:sz w:val="1"/>
                <w:szCs w:val="1"/>
                <w:color w:val="auto"/>
              </w:rPr>
            </w:pPr>
          </w:p>
        </w:tc>
        <w:tc>
          <w:tcPr>
            <w:tcW w:w="1100" w:type="dxa"/>
            <w:vAlign w:val="bottom"/>
            <w:tcBorders>
              <w:bottom w:val="single" w:sz="8" w:color="auto"/>
              <w:right w:val="single" w:sz="8" w:color="auto"/>
            </w:tcBorders>
            <w:gridSpan w:val="36"/>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10.5††</w:t>
            </w:r>
          </w:p>
        </w:tc>
        <w:tc>
          <w:tcPr>
            <w:tcW w:w="4560" w:type="dxa"/>
            <w:vAlign w:val="bottom"/>
            <w:tcBorders>
              <w:bottom w:val="single" w:sz="8" w:color="auto"/>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37">
              <w:r>
                <w:rPr>
                  <w:rFonts w:ascii="Times New Roman" w:cs="Times New Roman" w:eastAsia="Times New Roman" w:hAnsi="Times New Roman"/>
                  <w:sz w:val="16"/>
                  <w:szCs w:val="16"/>
                  <w:color w:val="auto"/>
                </w:rPr>
                <w:t>Form of Taboola.com Ltd. Employee Stock Purchase Plan</w:t>
              </w:r>
            </w:hyperlink>
          </w:p>
        </w:tc>
        <w:tc>
          <w:tcPr>
            <w:tcW w:w="70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F-4</w:t>
            </w:r>
          </w:p>
        </w:tc>
        <w:tc>
          <w:tcPr>
            <w:tcW w:w="118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333-255684</w:t>
            </w:r>
          </w:p>
        </w:tc>
        <w:tc>
          <w:tcPr>
            <w:tcW w:w="840" w:type="dxa"/>
            <w:vAlign w:val="bottom"/>
            <w:tcBorders>
              <w:bottom w:val="single" w:sz="8" w:color="auto"/>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10.9</w:t>
            </w:r>
          </w:p>
        </w:tc>
        <w:tc>
          <w:tcPr>
            <w:tcW w:w="162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10.6†</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38">
              <w:r>
                <w:rPr>
                  <w:rFonts w:ascii="Times New Roman" w:cs="Times New Roman" w:eastAsia="Times New Roman" w:hAnsi="Times New Roman"/>
                  <w:sz w:val="16"/>
                  <w:szCs w:val="16"/>
                  <w:color w:val="auto"/>
                </w:rPr>
                <w:t>Stock Purchase Agreement dated as of July 22, 2021, by and among</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F-1/A</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333-257879</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2.3</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September 1, 2021</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440" w:type="dxa"/>
            <w:vAlign w:val="bottom"/>
            <w:tcBorders>
              <w:top w:val="single" w:sz="8" w:color="auto"/>
            </w:tcBorders>
            <w:gridSpan w:val="54"/>
          </w:tcPr>
          <w:p>
            <w:pPr>
              <w:spacing w:after="0" w:line="142" w:lineRule="exact"/>
              <w:rPr>
                <w:rFonts w:ascii="Times New Roman" w:cs="Times New Roman" w:eastAsia="Times New Roman" w:hAnsi="Times New Roman"/>
                <w:sz w:val="16"/>
                <w:szCs w:val="16"/>
                <w:color w:val="auto"/>
              </w:rPr>
            </w:pPr>
            <w:hyperlink r:id="rId138">
              <w:r>
                <w:rPr>
                  <w:rFonts w:ascii="Times New Roman" w:cs="Times New Roman" w:eastAsia="Times New Roman" w:hAnsi="Times New Roman"/>
                  <w:sz w:val="16"/>
                  <w:szCs w:val="16"/>
                  <w:color w:val="auto"/>
                </w:rPr>
                <w:t>Taboola Inc., Shop Management LLC, and for certain specified</w:t>
              </w:r>
            </w:hyperlink>
          </w:p>
        </w:tc>
        <w:tc>
          <w:tcPr>
            <w:tcW w:w="1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120" w:type="dxa"/>
            <w:vAlign w:val="bottom"/>
            <w:tcBorders>
              <w:top w:val="single" w:sz="8" w:color="auto"/>
            </w:tcBorders>
            <w:gridSpan w:val="38"/>
          </w:tcPr>
          <w:p>
            <w:pPr>
              <w:spacing w:after="0" w:line="142" w:lineRule="exact"/>
              <w:rPr>
                <w:rFonts w:ascii="Times New Roman" w:cs="Times New Roman" w:eastAsia="Times New Roman" w:hAnsi="Times New Roman"/>
                <w:sz w:val="16"/>
                <w:szCs w:val="16"/>
                <w:color w:val="auto"/>
              </w:rPr>
            </w:pPr>
            <w:hyperlink r:id="rId138">
              <w:r>
                <w:rPr>
                  <w:rFonts w:ascii="Times New Roman" w:cs="Times New Roman" w:eastAsia="Times New Roman" w:hAnsi="Times New Roman"/>
                  <w:sz w:val="16"/>
                  <w:szCs w:val="16"/>
                  <w:color w:val="auto"/>
                </w:rPr>
                <w:t>sections of the Purchase Agreement, Taboola.com Ltd.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right w:val="single" w:sz="8" w:color="auto"/>
            </w:tcBorders>
            <w:gridSpan w:val="2"/>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gridSpan w:val="21"/>
          </w:tcPr>
          <w:p>
            <w:pPr>
              <w:spacing w:after="0" w:line="20" w:lineRule="exact"/>
              <w:rPr>
                <w:sz w:val="1"/>
                <w:szCs w:val="1"/>
                <w:color w:val="auto"/>
              </w:rPr>
            </w:pPr>
          </w:p>
        </w:tc>
        <w:tc>
          <w:tcPr>
            <w:tcW w:w="1000" w:type="dxa"/>
            <w:vAlign w:val="bottom"/>
            <w:tcBorders>
              <w:bottom w:val="single" w:sz="8" w:color="auto"/>
              <w:right w:val="single" w:sz="8" w:color="auto"/>
            </w:tcBorders>
            <w:gridSpan w:val="34"/>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10.7</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39">
              <w:r>
                <w:rPr>
                  <w:rFonts w:ascii="Times New Roman" w:cs="Times New Roman" w:eastAsia="Times New Roman" w:hAnsi="Times New Roman"/>
                  <w:sz w:val="16"/>
                  <w:szCs w:val="16"/>
                  <w:color w:val="auto"/>
                </w:rPr>
                <w:t>Amended and Restated Investors’ Rights Agreement, dated as of</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F-4</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333-255684</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April 30, 2021</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4220" w:type="dxa"/>
            <w:vAlign w:val="bottom"/>
            <w:tcBorders>
              <w:top w:val="single" w:sz="8" w:color="auto"/>
            </w:tcBorders>
            <w:gridSpan w:val="43"/>
            <w:shd w:val="clear" w:color="auto" w:fill="CCEEFF"/>
          </w:tcPr>
          <w:p>
            <w:pPr>
              <w:spacing w:after="0" w:line="142" w:lineRule="exact"/>
              <w:rPr>
                <w:rFonts w:ascii="Times New Roman" w:cs="Times New Roman" w:eastAsia="Times New Roman" w:hAnsi="Times New Roman"/>
                <w:sz w:val="16"/>
                <w:szCs w:val="16"/>
                <w:color w:val="auto"/>
              </w:rPr>
            </w:pPr>
            <w:hyperlink r:id="rId139">
              <w:r>
                <w:rPr>
                  <w:rFonts w:ascii="Times New Roman" w:cs="Times New Roman" w:eastAsia="Times New Roman" w:hAnsi="Times New Roman"/>
                  <w:sz w:val="16"/>
                  <w:szCs w:val="16"/>
                  <w:color w:val="auto"/>
                </w:rPr>
                <w:t>January 25, 2021, by and among Taboola.com Ltd. and certain</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gridSpan w:val="2"/>
            <w:shd w:val="clear" w:color="auto" w:fill="CCEEFF"/>
          </w:tcPr>
          <w:p>
            <w:pPr>
              <w:spacing w:after="0"/>
              <w:rPr>
                <w:sz w:val="12"/>
                <w:szCs w:val="12"/>
                <w:color w:val="auto"/>
              </w:rPr>
            </w:pPr>
          </w:p>
        </w:tc>
        <w:tc>
          <w:tcPr>
            <w:tcW w:w="70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right w:val="single" w:sz="8" w:color="auto"/>
            </w:tcBorders>
            <w:shd w:val="clear" w:color="auto" w:fill="CCEEFF"/>
          </w:tcPr>
          <w:p>
            <w:pPr>
              <w:spacing w:after="0"/>
              <w:rPr>
                <w:sz w:val="12"/>
                <w:szCs w:val="12"/>
                <w:color w:val="auto"/>
              </w:rPr>
            </w:pPr>
          </w:p>
        </w:tc>
        <w:tc>
          <w:tcPr>
            <w:tcW w:w="840" w:type="dxa"/>
            <w:vAlign w:val="bottom"/>
            <w:tcBorders>
              <w:top w:val="single" w:sz="8" w:color="CCEEFF"/>
              <w:right w:val="single" w:sz="8" w:color="auto"/>
            </w:tcBorders>
            <w:shd w:val="clear" w:color="auto" w:fill="CCEEFF"/>
          </w:tcPr>
          <w:p>
            <w:pPr>
              <w:spacing w:after="0"/>
              <w:rPr>
                <w:sz w:val="12"/>
                <w:szCs w:val="12"/>
                <w:color w:val="auto"/>
              </w:rPr>
            </w:pPr>
          </w:p>
        </w:tc>
        <w:tc>
          <w:tcPr>
            <w:tcW w:w="162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080" w:type="dxa"/>
            <w:vAlign w:val="bottom"/>
            <w:tcBorders>
              <w:top w:val="single" w:sz="8" w:color="auto"/>
              <w:bottom w:val="single" w:sz="8" w:color="auto"/>
            </w:tcBorders>
            <w:gridSpan w:val="35"/>
            <w:shd w:val="clear" w:color="auto" w:fill="CCEEFF"/>
          </w:tcPr>
          <w:p>
            <w:pPr>
              <w:spacing w:after="0" w:line="142" w:lineRule="exact"/>
              <w:rPr>
                <w:rFonts w:ascii="Times New Roman" w:cs="Times New Roman" w:eastAsia="Times New Roman" w:hAnsi="Times New Roman"/>
                <w:sz w:val="16"/>
                <w:szCs w:val="16"/>
                <w:color w:val="auto"/>
              </w:rPr>
            </w:pPr>
            <w:hyperlink r:id="rId139">
              <w:r>
                <w:rPr>
                  <w:rFonts w:ascii="Times New Roman" w:cs="Times New Roman" w:eastAsia="Times New Roman" w:hAnsi="Times New Roman"/>
                  <w:sz w:val="16"/>
                  <w:szCs w:val="16"/>
                  <w:color w:val="auto"/>
                </w:rPr>
                <w:t>shareholders of Taboola.com Ltd.</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4294967277"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auto"/>
              <w:right w:val="single" w:sz="8" w:color="auto"/>
            </w:tcBorders>
            <w:gridSpan w:val="2"/>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10.8</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40">
              <w:r>
                <w:rPr>
                  <w:rFonts w:ascii="Times New Roman" w:cs="Times New Roman" w:eastAsia="Times New Roman" w:hAnsi="Times New Roman"/>
                  <w:sz w:val="16"/>
                  <w:szCs w:val="16"/>
                  <w:color w:val="auto"/>
                </w:rPr>
                <w:t>Registration Rights Agreement between Taboola.com Ltd. and</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6-K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September 1, 2021</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100" w:type="dxa"/>
            <w:vAlign w:val="bottom"/>
            <w:tcBorders>
              <w:top w:val="single" w:sz="8" w:color="auto"/>
            </w:tcBorders>
            <w:gridSpan w:val="36"/>
          </w:tcPr>
          <w:p>
            <w:pPr>
              <w:spacing w:after="0" w:line="142" w:lineRule="exact"/>
              <w:rPr>
                <w:rFonts w:ascii="Times New Roman" w:cs="Times New Roman" w:eastAsia="Times New Roman" w:hAnsi="Times New Roman"/>
                <w:sz w:val="16"/>
                <w:szCs w:val="16"/>
                <w:color w:val="auto"/>
              </w:rPr>
            </w:pPr>
            <w:hyperlink r:id="rId140">
              <w:r>
                <w:rPr>
                  <w:rFonts w:ascii="Times New Roman" w:cs="Times New Roman" w:eastAsia="Times New Roman" w:hAnsi="Times New Roman"/>
                  <w:sz w:val="16"/>
                  <w:szCs w:val="16"/>
                  <w:color w:val="auto"/>
                </w:rPr>
                <w:t>Shop Management, LLC dated as of September 1, 2021</w:t>
              </w:r>
            </w:hyperlink>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right w:val="single" w:sz="8" w:color="auto"/>
            </w:tcBorders>
            <w:gridSpan w:val="2"/>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20" w:type="dxa"/>
            <w:vAlign w:val="bottom"/>
            <w:tcBorders>
              <w:top w:val="single" w:sz="8" w:color="auto"/>
              <w:bottom w:val="single" w:sz="8" w:color="auto"/>
            </w:tcBorders>
            <w:gridSpan w:val="22"/>
          </w:tcPr>
          <w:p>
            <w:pPr>
              <w:spacing w:after="0" w:line="20" w:lineRule="exact"/>
              <w:rPr>
                <w:sz w:val="1"/>
                <w:szCs w:val="1"/>
                <w:color w:val="auto"/>
              </w:rPr>
            </w:pPr>
          </w:p>
        </w:tc>
        <w:tc>
          <w:tcPr>
            <w:tcW w:w="940" w:type="dxa"/>
            <w:vAlign w:val="bottom"/>
            <w:tcBorders>
              <w:bottom w:val="single" w:sz="8" w:color="auto"/>
              <w:right w:val="single" w:sz="8" w:color="auto"/>
            </w:tcBorders>
            <w:gridSpan w:val="33"/>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10.9</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41">
              <w:r>
                <w:rPr>
                  <w:rFonts w:ascii="Times New Roman" w:cs="Times New Roman" w:eastAsia="Times New Roman" w:hAnsi="Times New Roman"/>
                  <w:sz w:val="16"/>
                  <w:szCs w:val="16"/>
                  <w:color w:val="auto"/>
                </w:rPr>
                <w:t>Credit Agreement, dated as of September 1, 2021, by and among</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6-K</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99.3</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September 1, 2021</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left w:val="single" w:sz="8" w:color="auto"/>
              <w:bottom w:val="single" w:sz="8" w:color="CCEEFF"/>
              <w:right w:val="single" w:sz="8" w:color="auto"/>
            </w:tcBorders>
            <w:shd w:val="clear" w:color="auto" w:fill="CCEEFF"/>
          </w:tcPr>
          <w:p>
            <w:pPr>
              <w:spacing w:after="0"/>
              <w:rPr>
                <w:sz w:val="12"/>
                <w:szCs w:val="12"/>
                <w:color w:val="auto"/>
              </w:rPr>
            </w:pPr>
          </w:p>
        </w:tc>
        <w:tc>
          <w:tcPr>
            <w:tcW w:w="4120" w:type="dxa"/>
            <w:vAlign w:val="bottom"/>
            <w:tcBorders>
              <w:top w:val="single" w:sz="8" w:color="auto"/>
              <w:bottom w:val="single" w:sz="8" w:color="auto"/>
            </w:tcBorders>
            <w:gridSpan w:val="38"/>
            <w:shd w:val="clear" w:color="auto" w:fill="CCEEFF"/>
          </w:tcPr>
          <w:p>
            <w:pPr>
              <w:spacing w:after="0" w:line="142" w:lineRule="exact"/>
              <w:rPr>
                <w:rFonts w:ascii="Times New Roman" w:cs="Times New Roman" w:eastAsia="Times New Roman" w:hAnsi="Times New Roman"/>
                <w:sz w:val="16"/>
                <w:szCs w:val="16"/>
                <w:color w:val="auto"/>
              </w:rPr>
            </w:pPr>
            <w:hyperlink r:id="rId141">
              <w:r>
                <w:rPr>
                  <w:rFonts w:ascii="Times New Roman" w:cs="Times New Roman" w:eastAsia="Times New Roman" w:hAnsi="Times New Roman"/>
                  <w:sz w:val="16"/>
                  <w:szCs w:val="16"/>
                  <w:color w:val="auto"/>
                </w:rPr>
                <w:t>Taboola.com Ltd., Taboola, Inc., as borrower, the lenders party</w:t>
              </w:r>
            </w:hyperlink>
          </w:p>
        </w:tc>
        <w:tc>
          <w:tcPr>
            <w:tcW w:w="140" w:type="dxa"/>
            <w:vAlign w:val="bottom"/>
            <w:tcBorders>
              <w:top w:val="single" w:sz="8" w:color="auto"/>
              <w:bottom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294967277"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auto"/>
            </w:tcBorders>
            <w:gridSpan w:val="2"/>
            <w:shd w:val="clear" w:color="auto" w:fill="CCEEFF"/>
          </w:tcPr>
          <w:p>
            <w:pPr>
              <w:spacing w:after="0"/>
              <w:rPr>
                <w:sz w:val="12"/>
                <w:szCs w:val="12"/>
                <w:color w:val="auto"/>
              </w:rPr>
            </w:pPr>
          </w:p>
        </w:tc>
        <w:tc>
          <w:tcPr>
            <w:tcW w:w="70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84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6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4560" w:type="dxa"/>
            <w:vAlign w:val="bottom"/>
            <w:tcBorders>
              <w:bottom w:val="single" w:sz="8" w:color="auto"/>
              <w:right w:val="single" w:sz="8" w:color="auto"/>
            </w:tcBorders>
            <w:gridSpan w:val="55"/>
            <w:shd w:val="clear" w:color="auto" w:fill="CCEEFF"/>
          </w:tcPr>
          <w:p>
            <w:pPr>
              <w:spacing w:after="0" w:line="142" w:lineRule="exact"/>
              <w:rPr>
                <w:rFonts w:ascii="Times New Roman" w:cs="Times New Roman" w:eastAsia="Times New Roman" w:hAnsi="Times New Roman"/>
                <w:sz w:val="16"/>
                <w:szCs w:val="16"/>
                <w:color w:val="auto"/>
              </w:rPr>
            </w:pPr>
            <w:hyperlink r:id="rId141">
              <w:r>
                <w:rPr>
                  <w:rFonts w:ascii="Times New Roman" w:cs="Times New Roman" w:eastAsia="Times New Roman" w:hAnsi="Times New Roman"/>
                  <w:sz w:val="16"/>
                  <w:szCs w:val="16"/>
                  <w:color w:val="auto"/>
                </w:rPr>
                <w:t>thereto and JPMorgan Chase Bank, N.A., as administrative agent.</w:t>
              </w:r>
            </w:hyperlink>
          </w:p>
        </w:tc>
        <w:tc>
          <w:tcPr>
            <w:tcW w:w="700" w:type="dxa"/>
            <w:vAlign w:val="bottom"/>
            <w:tcBorders>
              <w:bottom w:val="single" w:sz="8" w:color="auto"/>
              <w:right w:val="single" w:sz="8" w:color="auto"/>
            </w:tcBorders>
            <w:shd w:val="clear" w:color="auto" w:fill="CCEEFF"/>
          </w:tcPr>
          <w:p>
            <w:pPr>
              <w:spacing w:after="0"/>
              <w:rPr>
                <w:sz w:val="15"/>
                <w:szCs w:val="15"/>
                <w:color w:val="auto"/>
              </w:rPr>
            </w:pPr>
          </w:p>
        </w:tc>
        <w:tc>
          <w:tcPr>
            <w:tcW w:w="1180" w:type="dxa"/>
            <w:vAlign w:val="bottom"/>
            <w:tcBorders>
              <w:bottom w:val="single" w:sz="8" w:color="auto"/>
              <w:right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auto"/>
            </w:tcBorders>
            <w:shd w:val="clear" w:color="auto" w:fill="CCEEFF"/>
          </w:tcPr>
          <w:p>
            <w:pPr>
              <w:spacing w:after="0"/>
              <w:rPr>
                <w:sz w:val="15"/>
                <w:szCs w:val="15"/>
                <w:color w:val="auto"/>
              </w:rPr>
            </w:pPr>
          </w:p>
        </w:tc>
        <w:tc>
          <w:tcPr>
            <w:tcW w:w="1620" w:type="dxa"/>
            <w:vAlign w:val="bottom"/>
            <w:tcBorders>
              <w:bottom w:val="single" w:sz="8" w:color="auto"/>
              <w:right w:val="single" w:sz="8" w:color="auto"/>
            </w:tcBorders>
            <w:shd w:val="clear" w:color="auto" w:fill="CCEEFF"/>
          </w:tcPr>
          <w:p>
            <w:pPr>
              <w:spacing w:after="0"/>
              <w:rPr>
                <w:sz w:val="15"/>
                <w:szCs w:val="15"/>
                <w:color w:val="auto"/>
              </w:rPr>
            </w:pPr>
          </w:p>
        </w:tc>
        <w:tc>
          <w:tcPr>
            <w:tcW w:w="11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10.10†</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42">
              <w:r>
                <w:rPr>
                  <w:rFonts w:ascii="Times New Roman" w:cs="Times New Roman" w:eastAsia="Times New Roman" w:hAnsi="Times New Roman"/>
                  <w:sz w:val="16"/>
                  <w:szCs w:val="16"/>
                  <w:color w:val="auto"/>
                </w:rPr>
                <w:t>Incremental Facility Amendment No. 1, dated as of August 9, 2022,</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6-K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99.1</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August 22, 2022</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420" w:type="dxa"/>
            <w:vAlign w:val="bottom"/>
            <w:tcBorders>
              <w:top w:val="single" w:sz="8" w:color="auto"/>
            </w:tcBorders>
            <w:gridSpan w:val="53"/>
          </w:tcPr>
          <w:p>
            <w:pPr>
              <w:spacing w:after="0" w:line="142" w:lineRule="exact"/>
              <w:rPr>
                <w:rFonts w:ascii="Times New Roman" w:cs="Times New Roman" w:eastAsia="Times New Roman" w:hAnsi="Times New Roman"/>
                <w:sz w:val="16"/>
                <w:szCs w:val="16"/>
                <w:color w:val="auto"/>
              </w:rPr>
            </w:pPr>
            <w:hyperlink r:id="rId142">
              <w:r>
                <w:rPr>
                  <w:rFonts w:ascii="Times New Roman" w:cs="Times New Roman" w:eastAsia="Times New Roman" w:hAnsi="Times New Roman"/>
                  <w:sz w:val="16"/>
                  <w:szCs w:val="16"/>
                  <w:color w:val="auto"/>
                </w:rPr>
                <w:t>by and among Taboola.com Ltd., Taboola, Inc., as borrower, the</w:t>
              </w:r>
            </w:hyperlink>
          </w:p>
        </w:tc>
        <w:tc>
          <w:tcPr>
            <w:tcW w:w="140" w:type="dxa"/>
            <w:vAlign w:val="bottom"/>
            <w:tcBorders>
              <w:right w:val="single" w:sz="8" w:color="auto"/>
            </w:tcBorders>
            <w:gridSpan w:val="2"/>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160" w:type="dxa"/>
            <w:vAlign w:val="bottom"/>
            <w:tcBorders>
              <w:top w:val="single" w:sz="8" w:color="auto"/>
            </w:tcBorders>
            <w:gridSpan w:val="40"/>
          </w:tcPr>
          <w:p>
            <w:pPr>
              <w:spacing w:after="0" w:line="142" w:lineRule="exact"/>
              <w:rPr>
                <w:rFonts w:ascii="Times New Roman" w:cs="Times New Roman" w:eastAsia="Times New Roman" w:hAnsi="Times New Roman"/>
                <w:sz w:val="16"/>
                <w:szCs w:val="16"/>
                <w:color w:val="auto"/>
              </w:rPr>
            </w:pPr>
            <w:hyperlink r:id="rId142">
              <w:r>
                <w:rPr>
                  <w:rFonts w:ascii="Times New Roman" w:cs="Times New Roman" w:eastAsia="Times New Roman" w:hAnsi="Times New Roman"/>
                  <w:sz w:val="16"/>
                  <w:szCs w:val="16"/>
                  <w:color w:val="auto"/>
                </w:rPr>
                <w:t>lenders party thereto and JPMorgan Chase Bank, N.A.,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3"/>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3740" w:type="dxa"/>
            <w:vAlign w:val="bottom"/>
            <w:tcBorders>
              <w:top w:val="single" w:sz="8" w:color="auto"/>
            </w:tcBorders>
            <w:gridSpan w:val="25"/>
          </w:tcPr>
          <w:p>
            <w:pPr>
              <w:spacing w:after="0" w:line="142" w:lineRule="exact"/>
              <w:rPr>
                <w:rFonts w:ascii="Times New Roman" w:cs="Times New Roman" w:eastAsia="Times New Roman" w:hAnsi="Times New Roman"/>
                <w:sz w:val="16"/>
                <w:szCs w:val="16"/>
                <w:color w:val="auto"/>
              </w:rPr>
            </w:pPr>
            <w:hyperlink r:id="rId142">
              <w:r>
                <w:rPr>
                  <w:rFonts w:ascii="Times New Roman" w:cs="Times New Roman" w:eastAsia="Times New Roman" w:hAnsi="Times New Roman"/>
                  <w:sz w:val="16"/>
                  <w:szCs w:val="16"/>
                  <w:color w:val="auto"/>
                </w:rPr>
                <w:t>administrative agent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3"/>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4"/>
          </w:tcPr>
          <w:p>
            <w:pPr>
              <w:spacing w:after="0" w:line="20" w:lineRule="exact"/>
              <w:rPr>
                <w:sz w:val="1"/>
                <w:szCs w:val="1"/>
                <w:color w:val="auto"/>
              </w:rPr>
            </w:pPr>
          </w:p>
        </w:tc>
        <w:tc>
          <w:tcPr>
            <w:tcW w:w="3240" w:type="dxa"/>
            <w:vAlign w:val="bottom"/>
            <w:tcBorders>
              <w:bottom w:val="single" w:sz="8" w:color="auto"/>
              <w:right w:val="single" w:sz="8" w:color="auto"/>
            </w:tcBorders>
            <w:gridSpan w:val="51"/>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10.11†</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43">
              <w:r>
                <w:rPr>
                  <w:rFonts w:ascii="Times New Roman" w:cs="Times New Roman" w:eastAsia="Times New Roman" w:hAnsi="Times New Roman"/>
                  <w:sz w:val="16"/>
                  <w:szCs w:val="16"/>
                  <w:color w:val="auto"/>
                </w:rPr>
                <w:t>Amendment No. 2, dated as of June 12, 2023, to the Credit</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10-Q</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10.2</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August 9, 2023</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3820" w:type="dxa"/>
            <w:vAlign w:val="bottom"/>
            <w:tcBorders>
              <w:top w:val="single" w:sz="8" w:color="auto"/>
            </w:tcBorders>
            <w:gridSpan w:val="29"/>
            <w:shd w:val="clear" w:color="auto" w:fill="CCEEFF"/>
          </w:tcPr>
          <w:p>
            <w:pPr>
              <w:spacing w:after="0" w:line="142" w:lineRule="exact"/>
              <w:rPr>
                <w:rFonts w:ascii="Times New Roman" w:cs="Times New Roman" w:eastAsia="Times New Roman" w:hAnsi="Times New Roman"/>
                <w:sz w:val="16"/>
                <w:szCs w:val="16"/>
                <w:color w:val="auto"/>
                <w:w w:val="99"/>
              </w:rPr>
            </w:pPr>
            <w:hyperlink r:id="rId143">
              <w:r>
                <w:rPr>
                  <w:rFonts w:ascii="Times New Roman" w:cs="Times New Roman" w:eastAsia="Times New Roman" w:hAnsi="Times New Roman"/>
                  <w:sz w:val="16"/>
                  <w:szCs w:val="16"/>
                  <w:color w:val="auto"/>
                  <w:w w:val="99"/>
                </w:rPr>
                <w:t>Agreement by and among Taboola.com Ltd., Taboola, Inc.,</w:t>
              </w:r>
            </w:hyperlink>
          </w:p>
        </w:tc>
        <w:tc>
          <w:tcPr>
            <w:tcW w:w="740" w:type="dxa"/>
            <w:vAlign w:val="bottom"/>
            <w:tcBorders>
              <w:top w:val="single" w:sz="8" w:color="CCEEFF"/>
              <w:right w:val="single" w:sz="8" w:color="auto"/>
            </w:tcBorders>
            <w:gridSpan w:val="26"/>
            <w:shd w:val="clear" w:color="auto" w:fill="CCEEFF"/>
          </w:tcPr>
          <w:p>
            <w:pPr>
              <w:ind w:left="60"/>
              <w:spacing w:after="0" w:line="142" w:lineRule="exact"/>
              <w:rPr>
                <w:rFonts w:ascii="Times New Roman" w:cs="Times New Roman" w:eastAsia="Times New Roman" w:hAnsi="Times New Roman"/>
                <w:sz w:val="16"/>
                <w:szCs w:val="16"/>
                <w:color w:val="auto"/>
              </w:rPr>
            </w:pPr>
            <w:hyperlink r:id="rId143">
              <w:r>
                <w:rPr>
                  <w:rFonts w:ascii="Times New Roman" w:cs="Times New Roman" w:eastAsia="Times New Roman" w:hAnsi="Times New Roman"/>
                  <w:sz w:val="16"/>
                  <w:szCs w:val="16"/>
                  <w:color w:val="auto"/>
                </w:rPr>
                <w:t>as</w:t>
              </w:r>
            </w:hyperlink>
          </w:p>
        </w:tc>
        <w:tc>
          <w:tcPr>
            <w:tcW w:w="70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right w:val="single" w:sz="8" w:color="auto"/>
            </w:tcBorders>
            <w:shd w:val="clear" w:color="auto" w:fill="CCEEFF"/>
          </w:tcPr>
          <w:p>
            <w:pPr>
              <w:spacing w:after="0"/>
              <w:rPr>
                <w:sz w:val="12"/>
                <w:szCs w:val="12"/>
                <w:color w:val="auto"/>
              </w:rPr>
            </w:pPr>
          </w:p>
        </w:tc>
        <w:tc>
          <w:tcPr>
            <w:tcW w:w="840" w:type="dxa"/>
            <w:vAlign w:val="bottom"/>
            <w:tcBorders>
              <w:top w:val="single" w:sz="8" w:color="CCEEFF"/>
              <w:right w:val="single" w:sz="8" w:color="auto"/>
            </w:tcBorders>
            <w:shd w:val="clear" w:color="auto" w:fill="CCEEFF"/>
          </w:tcPr>
          <w:p>
            <w:pPr>
              <w:spacing w:after="0"/>
              <w:rPr>
                <w:sz w:val="12"/>
                <w:szCs w:val="12"/>
                <w:color w:val="auto"/>
              </w:rPr>
            </w:pPr>
          </w:p>
        </w:tc>
        <w:tc>
          <w:tcPr>
            <w:tcW w:w="162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left w:val="single" w:sz="8" w:color="auto"/>
              <w:bottom w:val="single" w:sz="8" w:color="CCEEFF"/>
              <w:right w:val="single" w:sz="8" w:color="auto"/>
            </w:tcBorders>
            <w:shd w:val="clear" w:color="auto" w:fill="CCEEFF"/>
          </w:tcPr>
          <w:p>
            <w:pPr>
              <w:spacing w:after="0"/>
              <w:rPr>
                <w:sz w:val="12"/>
                <w:szCs w:val="12"/>
                <w:color w:val="auto"/>
              </w:rPr>
            </w:pPr>
          </w:p>
        </w:tc>
        <w:tc>
          <w:tcPr>
            <w:tcW w:w="4020" w:type="dxa"/>
            <w:vAlign w:val="bottom"/>
            <w:tcBorders>
              <w:top w:val="single" w:sz="8" w:color="auto"/>
              <w:bottom w:val="single" w:sz="8" w:color="auto"/>
            </w:tcBorders>
            <w:gridSpan w:val="33"/>
            <w:shd w:val="clear" w:color="auto" w:fill="CCEEFF"/>
          </w:tcPr>
          <w:p>
            <w:pPr>
              <w:spacing w:after="0" w:line="142" w:lineRule="exact"/>
              <w:rPr>
                <w:rFonts w:ascii="Times New Roman" w:cs="Times New Roman" w:eastAsia="Times New Roman" w:hAnsi="Times New Roman"/>
                <w:sz w:val="16"/>
                <w:szCs w:val="16"/>
                <w:color w:val="auto"/>
                <w:w w:val="99"/>
              </w:rPr>
            </w:pPr>
            <w:hyperlink r:id="rId143">
              <w:r>
                <w:rPr>
                  <w:rFonts w:ascii="Times New Roman" w:cs="Times New Roman" w:eastAsia="Times New Roman" w:hAnsi="Times New Roman"/>
                  <w:sz w:val="16"/>
                  <w:szCs w:val="16"/>
                  <w:color w:val="auto"/>
                  <w:w w:val="99"/>
                </w:rPr>
                <w:t>borrower, the lenders party thereto and JPMorgan Chase Bank,</w:t>
              </w:r>
            </w:hyperlink>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auto"/>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294967277"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right w:val="single" w:sz="8" w:color="auto"/>
            </w:tcBorders>
            <w:gridSpan w:val="3"/>
            <w:shd w:val="clear" w:color="auto" w:fill="CCEEFF"/>
          </w:tcPr>
          <w:p>
            <w:pPr>
              <w:spacing w:after="0"/>
              <w:rPr>
                <w:sz w:val="12"/>
                <w:szCs w:val="12"/>
                <w:color w:val="auto"/>
              </w:rPr>
            </w:pPr>
          </w:p>
        </w:tc>
        <w:tc>
          <w:tcPr>
            <w:tcW w:w="70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84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6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4120" w:type="dxa"/>
            <w:vAlign w:val="bottom"/>
            <w:tcBorders>
              <w:bottom w:val="single" w:sz="8" w:color="auto"/>
            </w:tcBorders>
            <w:gridSpan w:val="37"/>
            <w:shd w:val="clear" w:color="auto" w:fill="CCEEFF"/>
          </w:tcPr>
          <w:p>
            <w:pPr>
              <w:spacing w:after="0" w:line="142" w:lineRule="exact"/>
              <w:rPr>
                <w:rFonts w:ascii="Times New Roman" w:cs="Times New Roman" w:eastAsia="Times New Roman" w:hAnsi="Times New Roman"/>
                <w:sz w:val="16"/>
                <w:szCs w:val="16"/>
                <w:color w:val="auto"/>
              </w:rPr>
            </w:pPr>
            <w:hyperlink r:id="rId143">
              <w:r>
                <w:rPr>
                  <w:rFonts w:ascii="Times New Roman" w:cs="Times New Roman" w:eastAsia="Times New Roman" w:hAnsi="Times New Roman"/>
                  <w:sz w:val="16"/>
                  <w:szCs w:val="16"/>
                  <w:color w:val="auto"/>
                </w:rPr>
                <w:t>N.A., as administrative agent</w:t>
              </w:r>
            </w:hyperlink>
          </w:p>
        </w:tc>
        <w:tc>
          <w:tcPr>
            <w:tcW w:w="20" w:type="dxa"/>
            <w:vAlign w:val="bottom"/>
            <w:tcBorders>
              <w:bottom w:val="single" w:sz="8" w:color="auto"/>
            </w:tcBorders>
            <w:gridSpan w:val="2"/>
            <w:shd w:val="clear" w:color="auto" w:fill="CCEEFF"/>
          </w:tcPr>
          <w:p>
            <w:pPr>
              <w:spacing w:after="0"/>
              <w:rPr>
                <w:sz w:val="15"/>
                <w:szCs w:val="15"/>
                <w:color w:val="auto"/>
              </w:rPr>
            </w:pPr>
          </w:p>
        </w:tc>
        <w:tc>
          <w:tcPr>
            <w:tcW w:w="40" w:type="dxa"/>
            <w:vAlign w:val="bottom"/>
            <w:tcBorders>
              <w:bottom w:val="single" w:sz="8" w:color="auto"/>
            </w:tcBorders>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gridSpan w:val="2"/>
            <w:shd w:val="clear" w:color="auto" w:fill="CCEEFF"/>
          </w:tcPr>
          <w:p>
            <w:pPr>
              <w:spacing w:after="0"/>
              <w:rPr>
                <w:sz w:val="15"/>
                <w:szCs w:val="15"/>
                <w:color w:val="auto"/>
              </w:rPr>
            </w:pPr>
          </w:p>
        </w:tc>
        <w:tc>
          <w:tcPr>
            <w:tcW w:w="40" w:type="dxa"/>
            <w:vAlign w:val="bottom"/>
            <w:tcBorders>
              <w:bottom w:val="single" w:sz="8" w:color="auto"/>
            </w:tcBorders>
            <w:gridSpan w:val="2"/>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gridSpan w:val="2"/>
            <w:shd w:val="clear" w:color="auto" w:fill="CCEEFF"/>
          </w:tcPr>
          <w:p>
            <w:pPr>
              <w:spacing w:after="0"/>
              <w:rPr>
                <w:sz w:val="15"/>
                <w:szCs w:val="15"/>
                <w:color w:val="auto"/>
              </w:rPr>
            </w:pPr>
          </w:p>
        </w:tc>
        <w:tc>
          <w:tcPr>
            <w:tcW w:w="4294967277"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right w:val="single" w:sz="8" w:color="auto"/>
            </w:tcBorders>
            <w:gridSpan w:val="3"/>
            <w:shd w:val="clear" w:color="auto" w:fill="CCEEFF"/>
          </w:tcPr>
          <w:p>
            <w:pPr>
              <w:spacing w:after="0"/>
              <w:rPr>
                <w:sz w:val="15"/>
                <w:szCs w:val="15"/>
                <w:color w:val="auto"/>
              </w:rPr>
            </w:pPr>
          </w:p>
        </w:tc>
        <w:tc>
          <w:tcPr>
            <w:tcW w:w="700" w:type="dxa"/>
            <w:vAlign w:val="bottom"/>
            <w:tcBorders>
              <w:bottom w:val="single" w:sz="8" w:color="auto"/>
              <w:right w:val="single" w:sz="8" w:color="auto"/>
            </w:tcBorders>
            <w:shd w:val="clear" w:color="auto" w:fill="CCEEFF"/>
          </w:tcPr>
          <w:p>
            <w:pPr>
              <w:spacing w:after="0"/>
              <w:rPr>
                <w:sz w:val="15"/>
                <w:szCs w:val="15"/>
                <w:color w:val="auto"/>
              </w:rPr>
            </w:pPr>
          </w:p>
        </w:tc>
        <w:tc>
          <w:tcPr>
            <w:tcW w:w="1180" w:type="dxa"/>
            <w:vAlign w:val="bottom"/>
            <w:tcBorders>
              <w:bottom w:val="single" w:sz="8" w:color="auto"/>
              <w:right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auto"/>
            </w:tcBorders>
            <w:shd w:val="clear" w:color="auto" w:fill="CCEEFF"/>
          </w:tcPr>
          <w:p>
            <w:pPr>
              <w:spacing w:after="0"/>
              <w:rPr>
                <w:sz w:val="15"/>
                <w:szCs w:val="15"/>
                <w:color w:val="auto"/>
              </w:rPr>
            </w:pPr>
          </w:p>
        </w:tc>
        <w:tc>
          <w:tcPr>
            <w:tcW w:w="1620" w:type="dxa"/>
            <w:vAlign w:val="bottom"/>
            <w:tcBorders>
              <w:bottom w:val="single" w:sz="8" w:color="auto"/>
              <w:right w:val="single" w:sz="8" w:color="auto"/>
            </w:tcBorders>
            <w:shd w:val="clear" w:color="auto" w:fill="CCEEFF"/>
          </w:tcPr>
          <w:p>
            <w:pPr>
              <w:spacing w:after="0"/>
              <w:rPr>
                <w:sz w:val="15"/>
                <w:szCs w:val="15"/>
                <w:color w:val="auto"/>
              </w:rPr>
            </w:pPr>
          </w:p>
        </w:tc>
        <w:tc>
          <w:tcPr>
            <w:tcW w:w="11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10.12†</w:t>
            </w:r>
          </w:p>
        </w:tc>
        <w:tc>
          <w:tcPr>
            <w:tcW w:w="4000" w:type="dxa"/>
            <w:vAlign w:val="bottom"/>
            <w:tcBorders>
              <w:bottom w:val="single" w:sz="8" w:color="auto"/>
            </w:tcBorders>
            <w:gridSpan w:val="32"/>
          </w:tcPr>
          <w:p>
            <w:pPr>
              <w:spacing w:after="0" w:line="169" w:lineRule="exact"/>
              <w:rPr>
                <w:rFonts w:ascii="Times New Roman" w:cs="Times New Roman" w:eastAsia="Times New Roman" w:hAnsi="Times New Roman"/>
                <w:sz w:val="16"/>
                <w:szCs w:val="16"/>
                <w:color w:val="auto"/>
              </w:rPr>
            </w:pPr>
            <w:hyperlink r:id="rId144">
              <w:r>
                <w:rPr>
                  <w:rFonts w:ascii="Times New Roman" w:cs="Times New Roman" w:eastAsia="Times New Roman" w:hAnsi="Times New Roman"/>
                  <w:sz w:val="16"/>
                  <w:szCs w:val="16"/>
                  <w:color w:val="auto"/>
                </w:rPr>
                <w:t>Omnibus Agreement, dated as of November 28, 2022, by and</w:t>
              </w:r>
            </w:hyperlink>
          </w:p>
        </w:tc>
        <w:tc>
          <w:tcPr>
            <w:tcW w:w="560" w:type="dxa"/>
            <w:vAlign w:val="bottom"/>
            <w:tcBorders>
              <w:right w:val="single" w:sz="8" w:color="auto"/>
            </w:tcBorders>
            <w:gridSpan w:val="23"/>
          </w:tcPr>
          <w:p>
            <w:pPr>
              <w:spacing w:after="0"/>
              <w:rPr>
                <w:sz w:val="14"/>
                <w:szCs w:val="14"/>
                <w:color w:val="auto"/>
              </w:rPr>
            </w:pPr>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January 17, 2023</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gridSpan w:val="55"/>
          </w:tcPr>
          <w:p>
            <w:pPr>
              <w:spacing w:after="0" w:line="142" w:lineRule="exact"/>
              <w:rPr>
                <w:rFonts w:ascii="Times New Roman" w:cs="Times New Roman" w:eastAsia="Times New Roman" w:hAnsi="Times New Roman"/>
                <w:sz w:val="16"/>
                <w:szCs w:val="16"/>
                <w:color w:val="auto"/>
              </w:rPr>
            </w:pPr>
            <w:hyperlink r:id="rId144">
              <w:r>
                <w:rPr>
                  <w:rFonts w:ascii="Times New Roman" w:cs="Times New Roman" w:eastAsia="Times New Roman" w:hAnsi="Times New Roman"/>
                  <w:sz w:val="16"/>
                  <w:szCs w:val="16"/>
                  <w:color w:val="auto"/>
                </w:rPr>
                <w:t>among Taboola.com Ltd., College Top Holdings, Inc., and Yahoo</w:t>
              </w:r>
            </w:hyperlink>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300" w:type="dxa"/>
            <w:vAlign w:val="bottom"/>
            <w:tcBorders>
              <w:top w:val="single" w:sz="8" w:color="auto"/>
            </w:tcBorders>
            <w:gridSpan w:val="47"/>
          </w:tcPr>
          <w:p>
            <w:pPr>
              <w:spacing w:after="0" w:line="142" w:lineRule="exact"/>
              <w:rPr>
                <w:rFonts w:ascii="Times New Roman" w:cs="Times New Roman" w:eastAsia="Times New Roman" w:hAnsi="Times New Roman"/>
                <w:sz w:val="16"/>
                <w:szCs w:val="16"/>
                <w:color w:val="auto"/>
              </w:rPr>
            </w:pPr>
            <w:hyperlink r:id="rId144">
              <w:r>
                <w:rPr>
                  <w:rFonts w:ascii="Times New Roman" w:cs="Times New Roman" w:eastAsia="Times New Roman" w:hAnsi="Times New Roman"/>
                  <w:sz w:val="16"/>
                  <w:szCs w:val="16"/>
                  <w:color w:val="auto"/>
                </w:rPr>
                <w:t>AdTech JV, LLC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3"/>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460" w:type="dxa"/>
            <w:vAlign w:val="bottom"/>
            <w:tcBorders>
              <w:bottom w:val="single" w:sz="8" w:color="auto"/>
              <w:right w:val="single" w:sz="8" w:color="auto"/>
            </w:tcBorders>
            <w:gridSpan w:val="53"/>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10.13†</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45">
              <w:r>
                <w:rPr>
                  <w:rFonts w:ascii="Times New Roman" w:cs="Times New Roman" w:eastAsia="Times New Roman" w:hAnsi="Times New Roman"/>
                  <w:sz w:val="16"/>
                  <w:szCs w:val="16"/>
                  <w:color w:val="auto"/>
                </w:rPr>
                <w:t>Investor Rights Agreement, dated as of January 17, 2023 by and</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10.2</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January 17, 2023</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200" w:type="dxa"/>
            <w:vAlign w:val="bottom"/>
            <w:tcBorders>
              <w:top w:val="single" w:sz="8" w:color="auto"/>
              <w:bottom w:val="single" w:sz="8" w:color="auto"/>
            </w:tcBorders>
            <w:gridSpan w:val="42"/>
            <w:shd w:val="clear" w:color="auto" w:fill="CCEEFF"/>
          </w:tcPr>
          <w:p>
            <w:pPr>
              <w:spacing w:after="0" w:line="142" w:lineRule="exact"/>
              <w:rPr>
                <w:rFonts w:ascii="Times New Roman" w:cs="Times New Roman" w:eastAsia="Times New Roman" w:hAnsi="Times New Roman"/>
                <w:sz w:val="16"/>
                <w:szCs w:val="16"/>
                <w:color w:val="auto"/>
              </w:rPr>
            </w:pPr>
            <w:hyperlink r:id="rId145">
              <w:r>
                <w:rPr>
                  <w:rFonts w:ascii="Times New Roman" w:cs="Times New Roman" w:eastAsia="Times New Roman" w:hAnsi="Times New Roman"/>
                  <w:sz w:val="16"/>
                  <w:szCs w:val="16"/>
                  <w:color w:val="auto"/>
                </w:rPr>
                <w:t>between Taboola.com Ltd. and College Top Holdings, Inc.</w:t>
              </w:r>
            </w:hyperlink>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4294967277" w:type="dxa"/>
            <w:vAlign w:val="bottom"/>
            <w:tcBorders>
              <w:top w:val="single" w:sz="8" w:color="CCEEFF"/>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auto"/>
              <w:right w:val="single" w:sz="8" w:color="auto"/>
            </w:tcBorders>
            <w:gridSpan w:val="3"/>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10.14††</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46">
              <w:r>
                <w:rPr>
                  <w:rFonts w:ascii="Times New Roman" w:cs="Times New Roman" w:eastAsia="Times New Roman" w:hAnsi="Times New Roman"/>
                  <w:sz w:val="16"/>
                  <w:szCs w:val="16"/>
                  <w:color w:val="auto"/>
                </w:rPr>
                <w:t>Employment Agreement, dated April 20, 2017, by and between</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10.12</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13, 2023</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140" w:type="dxa"/>
            <w:vAlign w:val="bottom"/>
            <w:tcBorders>
              <w:top w:val="single" w:sz="8" w:color="auto"/>
            </w:tcBorders>
            <w:gridSpan w:val="39"/>
          </w:tcPr>
          <w:p>
            <w:pPr>
              <w:spacing w:after="0" w:line="142" w:lineRule="exact"/>
              <w:rPr>
                <w:rFonts w:ascii="Times New Roman" w:cs="Times New Roman" w:eastAsia="Times New Roman" w:hAnsi="Times New Roman"/>
                <w:sz w:val="16"/>
                <w:szCs w:val="16"/>
                <w:color w:val="auto"/>
              </w:rPr>
            </w:pPr>
            <w:hyperlink r:id="rId146">
              <w:r>
                <w:rPr>
                  <w:rFonts w:ascii="Times New Roman" w:cs="Times New Roman" w:eastAsia="Times New Roman" w:hAnsi="Times New Roman"/>
                  <w:sz w:val="16"/>
                  <w:szCs w:val="16"/>
                  <w:color w:val="auto"/>
                </w:rPr>
                <w:t>Taboola, Inc. and Adam Singolda</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3"/>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gridSpan w:val="9"/>
          </w:tcPr>
          <w:p>
            <w:pPr>
              <w:spacing w:after="0" w:line="20" w:lineRule="exact"/>
              <w:rPr>
                <w:sz w:val="1"/>
                <w:szCs w:val="1"/>
                <w:color w:val="auto"/>
              </w:rPr>
            </w:pPr>
          </w:p>
        </w:tc>
        <w:tc>
          <w:tcPr>
            <w:tcW w:w="2380" w:type="dxa"/>
            <w:vAlign w:val="bottom"/>
            <w:tcBorders>
              <w:bottom w:val="single" w:sz="8" w:color="auto"/>
              <w:right w:val="single" w:sz="8" w:color="auto"/>
            </w:tcBorders>
            <w:gridSpan w:val="46"/>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10.15††</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47">
              <w:r>
                <w:rPr>
                  <w:rFonts w:ascii="Times New Roman" w:cs="Times New Roman" w:eastAsia="Times New Roman" w:hAnsi="Times New Roman"/>
                  <w:sz w:val="16"/>
                  <w:szCs w:val="16"/>
                  <w:color w:val="auto"/>
                </w:rPr>
                <w:t>Amendment to Compensation Package, dated June 1, 2023, by and</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10-Q</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August 9, 2023</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340" w:type="dxa"/>
            <w:vAlign w:val="bottom"/>
            <w:tcBorders>
              <w:top w:val="single" w:sz="8" w:color="auto"/>
              <w:bottom w:val="single" w:sz="8" w:color="auto"/>
            </w:tcBorders>
            <w:gridSpan w:val="51"/>
            <w:shd w:val="clear" w:color="auto" w:fill="CCEEFF"/>
          </w:tcPr>
          <w:p>
            <w:pPr>
              <w:spacing w:after="0" w:line="142" w:lineRule="exact"/>
              <w:rPr>
                <w:rFonts w:ascii="Times New Roman" w:cs="Times New Roman" w:eastAsia="Times New Roman" w:hAnsi="Times New Roman"/>
                <w:sz w:val="16"/>
                <w:szCs w:val="16"/>
                <w:color w:val="auto"/>
              </w:rPr>
            </w:pPr>
            <w:hyperlink r:id="rId147">
              <w:r>
                <w:rPr>
                  <w:rFonts w:ascii="Times New Roman" w:cs="Times New Roman" w:eastAsia="Times New Roman" w:hAnsi="Times New Roman"/>
                  <w:sz w:val="16"/>
                  <w:szCs w:val="16"/>
                  <w:color w:val="auto"/>
                </w:rPr>
                <w:t>between Taboola.com Ltd. and Adam Singolda</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auto"/>
              <w:right w:val="single" w:sz="8" w:color="auto"/>
            </w:tcBorders>
            <w:gridSpan w:val="3"/>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10.16#††</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48">
              <w:r>
                <w:rPr>
                  <w:rFonts w:ascii="Times New Roman" w:cs="Times New Roman" w:eastAsia="Times New Roman" w:hAnsi="Times New Roman"/>
                  <w:sz w:val="16"/>
                  <w:szCs w:val="16"/>
                  <w:color w:val="auto"/>
                </w:rPr>
                <w:t>Employment Agreement, dated August 31, 2012, by and between</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10.14</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13, 2023</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320" w:type="dxa"/>
            <w:vAlign w:val="bottom"/>
            <w:tcBorders>
              <w:top w:val="single" w:sz="8" w:color="auto"/>
            </w:tcBorders>
            <w:gridSpan w:val="48"/>
          </w:tcPr>
          <w:p>
            <w:pPr>
              <w:spacing w:after="0" w:line="142" w:lineRule="exact"/>
              <w:rPr>
                <w:rFonts w:ascii="Times New Roman" w:cs="Times New Roman" w:eastAsia="Times New Roman" w:hAnsi="Times New Roman"/>
                <w:sz w:val="16"/>
                <w:szCs w:val="16"/>
                <w:color w:val="auto"/>
              </w:rPr>
            </w:pPr>
            <w:hyperlink r:id="rId148">
              <w:r>
                <w:rPr>
                  <w:rFonts w:ascii="Times New Roman" w:cs="Times New Roman" w:eastAsia="Times New Roman" w:hAnsi="Times New Roman"/>
                  <w:sz w:val="16"/>
                  <w:szCs w:val="16"/>
                  <w:color w:val="auto"/>
                </w:rPr>
                <w:t>Taboola.com Ltd. and Eldad Maniv</w:t>
              </w:r>
            </w:hyperlink>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right w:val="single" w:sz="8" w:color="auto"/>
            </w:tcBorders>
            <w:gridSpan w:val="3"/>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10"/>
          </w:tcPr>
          <w:p>
            <w:pPr>
              <w:spacing w:after="0" w:line="20" w:lineRule="exact"/>
              <w:rPr>
                <w:sz w:val="1"/>
                <w:szCs w:val="1"/>
                <w:color w:val="auto"/>
              </w:rPr>
            </w:pPr>
          </w:p>
        </w:tc>
        <w:tc>
          <w:tcPr>
            <w:tcW w:w="2260" w:type="dxa"/>
            <w:vAlign w:val="bottom"/>
            <w:tcBorders>
              <w:bottom w:val="single" w:sz="8" w:color="auto"/>
              <w:right w:val="single" w:sz="8" w:color="auto"/>
            </w:tcBorders>
            <w:gridSpan w:val="45"/>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10.17††</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49">
              <w:r>
                <w:rPr>
                  <w:rFonts w:ascii="Times New Roman" w:cs="Times New Roman" w:eastAsia="Times New Roman" w:hAnsi="Times New Roman"/>
                  <w:sz w:val="16"/>
                  <w:szCs w:val="16"/>
                  <w:color w:val="auto"/>
                </w:rPr>
                <w:t>Amendment to Employment Agreement dated January 24, 2021 by</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10.15</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13, 2023</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360" w:type="dxa"/>
            <w:vAlign w:val="bottom"/>
            <w:tcBorders>
              <w:top w:val="single" w:sz="8" w:color="auto"/>
              <w:bottom w:val="single" w:sz="8" w:color="auto"/>
            </w:tcBorders>
            <w:gridSpan w:val="52"/>
            <w:shd w:val="clear" w:color="auto" w:fill="CCEEFF"/>
          </w:tcPr>
          <w:p>
            <w:pPr>
              <w:spacing w:after="0" w:line="142" w:lineRule="exact"/>
              <w:rPr>
                <w:rFonts w:ascii="Times New Roman" w:cs="Times New Roman" w:eastAsia="Times New Roman" w:hAnsi="Times New Roman"/>
                <w:sz w:val="16"/>
                <w:szCs w:val="16"/>
                <w:color w:val="auto"/>
              </w:rPr>
            </w:pPr>
            <w:hyperlink r:id="rId149">
              <w:r>
                <w:rPr>
                  <w:rFonts w:ascii="Times New Roman" w:cs="Times New Roman" w:eastAsia="Times New Roman" w:hAnsi="Times New Roman"/>
                  <w:sz w:val="16"/>
                  <w:szCs w:val="16"/>
                  <w:color w:val="auto"/>
                </w:rPr>
                <w:t>and between Taboola.com Ltd. and Eldad Maniv</w:t>
              </w:r>
            </w:hyperlink>
          </w:p>
        </w:tc>
        <w:tc>
          <w:tcPr>
            <w:tcW w:w="200" w:type="dxa"/>
            <w:vAlign w:val="bottom"/>
            <w:tcBorders>
              <w:top w:val="single" w:sz="8" w:color="CCEEFF"/>
              <w:bottom w:val="single" w:sz="8" w:color="auto"/>
              <w:right w:val="single" w:sz="8" w:color="auto"/>
            </w:tcBorders>
            <w:gridSpan w:val="3"/>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10.18††</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50">
              <w:r>
                <w:rPr>
                  <w:rFonts w:ascii="Times New Roman" w:cs="Times New Roman" w:eastAsia="Times New Roman" w:hAnsi="Times New Roman"/>
                  <w:sz w:val="16"/>
                  <w:szCs w:val="16"/>
                  <w:color w:val="auto"/>
                </w:rPr>
                <w:t>Amended and Restated Employment Agreement, dated January 1,</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10.16</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13, 2023</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360" w:type="dxa"/>
            <w:vAlign w:val="bottom"/>
            <w:tcBorders>
              <w:top w:val="single" w:sz="8" w:color="auto"/>
            </w:tcBorders>
            <w:gridSpan w:val="50"/>
          </w:tcPr>
          <w:p>
            <w:pPr>
              <w:spacing w:after="0" w:line="142" w:lineRule="exact"/>
              <w:rPr>
                <w:rFonts w:ascii="Times New Roman" w:cs="Times New Roman" w:eastAsia="Times New Roman" w:hAnsi="Times New Roman"/>
                <w:sz w:val="16"/>
                <w:szCs w:val="16"/>
                <w:color w:val="auto"/>
              </w:rPr>
            </w:pPr>
            <w:hyperlink r:id="rId150">
              <w:r>
                <w:rPr>
                  <w:rFonts w:ascii="Times New Roman" w:cs="Times New Roman" w:eastAsia="Times New Roman" w:hAnsi="Times New Roman"/>
                  <w:sz w:val="16"/>
                  <w:szCs w:val="16"/>
                  <w:color w:val="auto"/>
                </w:rPr>
                <w:t>2011, by and between Taboola.com Ltd. and Lior Golan</w:t>
              </w:r>
            </w:hyperlink>
          </w:p>
        </w:tc>
        <w:tc>
          <w:tcPr>
            <w:tcW w:w="4294967277" w:type="dxa"/>
            <w:vAlign w:val="bottom"/>
          </w:tcPr>
          <w:p>
            <w:pPr>
              <w:spacing w:after="0"/>
              <w:rPr>
                <w:sz w:val="12"/>
                <w:szCs w:val="12"/>
                <w:color w:val="auto"/>
              </w:rPr>
            </w:pPr>
          </w:p>
        </w:tc>
        <w:tc>
          <w:tcPr>
            <w:tcW w:w="220" w:type="dxa"/>
            <w:vAlign w:val="bottom"/>
            <w:tcBorders>
              <w:right w:val="single" w:sz="8" w:color="auto"/>
            </w:tcBorders>
            <w:gridSpan w:val="4"/>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gridSpan w:val="23"/>
          </w:tcPr>
          <w:p>
            <w:pPr>
              <w:spacing w:after="0" w:line="20" w:lineRule="exact"/>
              <w:rPr>
                <w:sz w:val="1"/>
                <w:szCs w:val="1"/>
                <w:color w:val="auto"/>
              </w:rPr>
            </w:pPr>
          </w:p>
        </w:tc>
        <w:tc>
          <w:tcPr>
            <w:tcW w:w="920" w:type="dxa"/>
            <w:vAlign w:val="bottom"/>
            <w:tcBorders>
              <w:bottom w:val="single" w:sz="8" w:color="auto"/>
              <w:right w:val="single" w:sz="8" w:color="auto"/>
            </w:tcBorders>
            <w:gridSpan w:val="32"/>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10.19††</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51">
              <w:r>
                <w:rPr>
                  <w:rFonts w:ascii="Times New Roman" w:cs="Times New Roman" w:eastAsia="Times New Roman" w:hAnsi="Times New Roman"/>
                  <w:sz w:val="16"/>
                  <w:szCs w:val="16"/>
                  <w:color w:val="auto"/>
                </w:rPr>
                <w:t>Amended and Restated Offer Letter, dated March 3, 2023 by and</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10.17</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13, 2023</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280" w:type="dxa"/>
            <w:vAlign w:val="bottom"/>
            <w:tcBorders>
              <w:top w:val="single" w:sz="8" w:color="auto"/>
              <w:bottom w:val="single" w:sz="8" w:color="auto"/>
            </w:tcBorders>
            <w:gridSpan w:val="46"/>
            <w:shd w:val="clear" w:color="auto" w:fill="CCEEFF"/>
          </w:tcPr>
          <w:p>
            <w:pPr>
              <w:spacing w:after="0" w:line="142" w:lineRule="exact"/>
              <w:rPr>
                <w:rFonts w:ascii="Times New Roman" w:cs="Times New Roman" w:eastAsia="Times New Roman" w:hAnsi="Times New Roman"/>
                <w:sz w:val="16"/>
                <w:szCs w:val="16"/>
                <w:color w:val="auto"/>
              </w:rPr>
            </w:pPr>
            <w:hyperlink r:id="rId151">
              <w:r>
                <w:rPr>
                  <w:rFonts w:ascii="Times New Roman" w:cs="Times New Roman" w:eastAsia="Times New Roman" w:hAnsi="Times New Roman"/>
                  <w:sz w:val="16"/>
                  <w:szCs w:val="16"/>
                  <w:color w:val="auto"/>
                </w:rPr>
                <w:t>between Taboola, Inc. and Stephen Walker</w:t>
              </w:r>
            </w:hyperlink>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auto"/>
            </w:tcBorders>
            <w:gridSpan w:val="3"/>
            <w:shd w:val="clear" w:color="auto" w:fill="CCEEFF"/>
          </w:tcPr>
          <w:p>
            <w:pPr>
              <w:spacing w:after="0"/>
              <w:rPr>
                <w:sz w:val="15"/>
                <w:szCs w:val="15"/>
                <w:color w:val="auto"/>
              </w:rPr>
            </w:pPr>
          </w:p>
        </w:tc>
        <w:tc>
          <w:tcPr>
            <w:tcW w:w="220" w:type="dxa"/>
            <w:vAlign w:val="bottom"/>
            <w:tcBorders>
              <w:top w:val="single" w:sz="8" w:color="CCEEFF"/>
              <w:bottom w:val="single" w:sz="8" w:color="auto"/>
              <w:right w:val="single" w:sz="8" w:color="auto"/>
            </w:tcBorders>
            <w:gridSpan w:val="4"/>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10.20††</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52">
              <w:r>
                <w:rPr>
                  <w:rFonts w:ascii="Times New Roman" w:cs="Times New Roman" w:eastAsia="Times New Roman" w:hAnsi="Times New Roman"/>
                  <w:sz w:val="16"/>
                  <w:szCs w:val="16"/>
                  <w:color w:val="auto"/>
                </w:rPr>
                <w:t>Offer Letter, dated September 4, 2019, by and between Taboola,</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10.18</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March 13, 2023</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180" w:type="dxa"/>
            <w:vAlign w:val="bottom"/>
            <w:tcBorders>
              <w:top w:val="single" w:sz="8" w:color="auto"/>
            </w:tcBorders>
            <w:gridSpan w:val="41"/>
          </w:tcPr>
          <w:p>
            <w:pPr>
              <w:spacing w:after="0" w:line="142" w:lineRule="exact"/>
              <w:rPr>
                <w:rFonts w:ascii="Times New Roman" w:cs="Times New Roman" w:eastAsia="Times New Roman" w:hAnsi="Times New Roman"/>
                <w:sz w:val="16"/>
                <w:szCs w:val="16"/>
                <w:color w:val="auto"/>
              </w:rPr>
            </w:pPr>
            <w:hyperlink r:id="rId152">
              <w:r>
                <w:rPr>
                  <w:rFonts w:ascii="Times New Roman" w:cs="Times New Roman" w:eastAsia="Times New Roman" w:hAnsi="Times New Roman"/>
                  <w:sz w:val="16"/>
                  <w:szCs w:val="16"/>
                  <w:color w:val="auto"/>
                </w:rPr>
                <w:t>Inc. and Kristy Sundjaja</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gridSpan w:val="3"/>
          </w:tcPr>
          <w:p>
            <w:pPr>
              <w:spacing w:after="0"/>
              <w:rPr>
                <w:sz w:val="12"/>
                <w:szCs w:val="12"/>
                <w:color w:val="auto"/>
              </w:rPr>
            </w:pPr>
          </w:p>
        </w:tc>
        <w:tc>
          <w:tcPr>
            <w:tcW w:w="220" w:type="dxa"/>
            <w:vAlign w:val="bottom"/>
            <w:tcBorders>
              <w:right w:val="single" w:sz="8" w:color="auto"/>
            </w:tcBorders>
            <w:gridSpan w:val="4"/>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5"/>
          </w:tcPr>
          <w:p>
            <w:pPr>
              <w:spacing w:after="0" w:line="20" w:lineRule="exact"/>
              <w:rPr>
                <w:sz w:val="1"/>
                <w:szCs w:val="1"/>
                <w:color w:val="auto"/>
              </w:rPr>
            </w:pPr>
          </w:p>
        </w:tc>
        <w:tc>
          <w:tcPr>
            <w:tcW w:w="2980" w:type="dxa"/>
            <w:vAlign w:val="bottom"/>
            <w:tcBorders>
              <w:bottom w:val="single" w:sz="8" w:color="auto"/>
              <w:right w:val="single" w:sz="8" w:color="auto"/>
            </w:tcBorders>
            <w:gridSpan w:val="50"/>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10.21††</w:t>
            </w:r>
          </w:p>
        </w:tc>
        <w:tc>
          <w:tcPr>
            <w:tcW w:w="4560" w:type="dxa"/>
            <w:vAlign w:val="bottom"/>
            <w:tcBorders>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53">
              <w:r>
                <w:rPr>
                  <w:rFonts w:ascii="Times New Roman" w:cs="Times New Roman" w:eastAsia="Times New Roman" w:hAnsi="Times New Roman"/>
                  <w:sz w:val="16"/>
                  <w:szCs w:val="16"/>
                  <w:color w:val="auto"/>
                </w:rPr>
                <w:t>Form of Restricted Share Unit Grant Agreement under</w:t>
              </w:r>
            </w:hyperlink>
          </w:p>
        </w:tc>
        <w:tc>
          <w:tcPr>
            <w:tcW w:w="70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1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February 28, 2024</w:t>
            </w: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3540" w:type="dxa"/>
            <w:vAlign w:val="bottom"/>
            <w:tcBorders>
              <w:top w:val="single" w:sz="8" w:color="auto"/>
              <w:bottom w:val="single" w:sz="8" w:color="auto"/>
            </w:tcBorders>
            <w:gridSpan w:val="20"/>
            <w:shd w:val="clear" w:color="auto" w:fill="CCEEFF"/>
          </w:tcPr>
          <w:p>
            <w:pPr>
              <w:spacing w:after="0" w:line="142" w:lineRule="exact"/>
              <w:rPr>
                <w:rFonts w:ascii="Times New Roman" w:cs="Times New Roman" w:eastAsia="Times New Roman" w:hAnsi="Times New Roman"/>
                <w:sz w:val="16"/>
                <w:szCs w:val="16"/>
                <w:color w:val="auto"/>
              </w:rPr>
            </w:pPr>
            <w:hyperlink r:id="rId153">
              <w:r>
                <w:rPr>
                  <w:rFonts w:ascii="Times New Roman" w:cs="Times New Roman" w:eastAsia="Times New Roman" w:hAnsi="Times New Roman"/>
                  <w:sz w:val="16"/>
                  <w:szCs w:val="16"/>
                  <w:color w:val="auto"/>
                </w:rPr>
                <w:t>Taboola.com Ltd.’s 2021 Share Incentive Plan</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auto"/>
            </w:tcBorders>
            <w:gridSpan w:val="5"/>
            <w:shd w:val="clear" w:color="auto" w:fill="CCEEFF"/>
          </w:tcPr>
          <w:p>
            <w:pPr>
              <w:spacing w:after="0"/>
              <w:rPr>
                <w:sz w:val="15"/>
                <w:szCs w:val="15"/>
                <w:color w:val="auto"/>
              </w:rPr>
            </w:pPr>
          </w:p>
        </w:tc>
        <w:tc>
          <w:tcPr>
            <w:tcW w:w="40" w:type="dxa"/>
            <w:vAlign w:val="bottom"/>
            <w:tcBorders>
              <w:top w:val="single" w:sz="8" w:color="CCEEFF"/>
              <w:bottom w:val="single" w:sz="8" w:color="auto"/>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auto"/>
            </w:tcBorders>
            <w:gridSpan w:val="3"/>
            <w:shd w:val="clear" w:color="auto" w:fill="CCEEFF"/>
          </w:tcPr>
          <w:p>
            <w:pPr>
              <w:spacing w:after="0"/>
              <w:rPr>
                <w:sz w:val="15"/>
                <w:szCs w:val="15"/>
                <w:color w:val="auto"/>
              </w:rPr>
            </w:pPr>
          </w:p>
        </w:tc>
        <w:tc>
          <w:tcPr>
            <w:tcW w:w="140" w:type="dxa"/>
            <w:vAlign w:val="bottom"/>
            <w:tcBorders>
              <w:top w:val="single" w:sz="8" w:color="CCEEFF"/>
              <w:bottom w:val="single" w:sz="8" w:color="auto"/>
            </w:tcBorders>
            <w:gridSpan w:val="3"/>
            <w:shd w:val="clear" w:color="auto" w:fill="CCEEFF"/>
          </w:tcPr>
          <w:p>
            <w:pPr>
              <w:spacing w:after="0"/>
              <w:rPr>
                <w:sz w:val="15"/>
                <w:szCs w:val="15"/>
                <w:color w:val="auto"/>
              </w:rPr>
            </w:pPr>
          </w:p>
        </w:tc>
        <w:tc>
          <w:tcPr>
            <w:tcW w:w="180" w:type="dxa"/>
            <w:vAlign w:val="bottom"/>
            <w:tcBorders>
              <w:top w:val="single" w:sz="8" w:color="CCEEFF"/>
              <w:bottom w:val="single" w:sz="8" w:color="auto"/>
            </w:tcBorders>
            <w:gridSpan w:val="10"/>
            <w:shd w:val="clear" w:color="auto" w:fill="CCEEFF"/>
          </w:tcPr>
          <w:p>
            <w:pPr>
              <w:spacing w:after="0"/>
              <w:rPr>
                <w:sz w:val="15"/>
                <w:szCs w:val="15"/>
                <w:color w:val="auto"/>
              </w:rPr>
            </w:pPr>
          </w:p>
        </w:tc>
        <w:tc>
          <w:tcPr>
            <w:tcW w:w="80" w:type="dxa"/>
            <w:vAlign w:val="bottom"/>
            <w:tcBorders>
              <w:top w:val="single" w:sz="8" w:color="CCEEFF"/>
              <w:bottom w:val="single" w:sz="8" w:color="auto"/>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auto"/>
            </w:tcBorders>
            <w:gridSpan w:val="3"/>
            <w:shd w:val="clear" w:color="auto" w:fill="CCEEFF"/>
          </w:tcPr>
          <w:p>
            <w:pPr>
              <w:spacing w:after="0"/>
              <w:rPr>
                <w:sz w:val="15"/>
                <w:szCs w:val="15"/>
                <w:color w:val="auto"/>
              </w:rPr>
            </w:pPr>
          </w:p>
        </w:tc>
        <w:tc>
          <w:tcPr>
            <w:tcW w:w="220" w:type="dxa"/>
            <w:vAlign w:val="bottom"/>
            <w:tcBorders>
              <w:top w:val="single" w:sz="8" w:color="CCEEFF"/>
              <w:bottom w:val="single" w:sz="8" w:color="auto"/>
              <w:right w:val="single" w:sz="8" w:color="auto"/>
            </w:tcBorders>
            <w:gridSpan w:val="4"/>
            <w:shd w:val="clear" w:color="auto" w:fill="CCEEFF"/>
          </w:tcPr>
          <w:p>
            <w:pPr>
              <w:spacing w:after="0"/>
              <w:rPr>
                <w:sz w:val="15"/>
                <w:szCs w:val="15"/>
                <w:color w:val="auto"/>
              </w:rPr>
            </w:pP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10.22#</w:t>
            </w:r>
          </w:p>
        </w:tc>
        <w:tc>
          <w:tcPr>
            <w:tcW w:w="4560" w:type="dxa"/>
            <w:vAlign w:val="bottom"/>
            <w:tcBorders>
              <w:right w:val="single" w:sz="8" w:color="auto"/>
            </w:tcBorders>
            <w:gridSpan w:val="55"/>
          </w:tcPr>
          <w:p>
            <w:pPr>
              <w:spacing w:after="0" w:line="169" w:lineRule="exact"/>
              <w:rPr>
                <w:rFonts w:ascii="Times New Roman" w:cs="Times New Roman" w:eastAsia="Times New Roman" w:hAnsi="Times New Roman"/>
                <w:sz w:val="16"/>
                <w:szCs w:val="16"/>
                <w:color w:val="auto"/>
              </w:rPr>
            </w:pPr>
            <w:hyperlink r:id="rId154">
              <w:r>
                <w:rPr>
                  <w:rFonts w:ascii="Times New Roman" w:cs="Times New Roman" w:eastAsia="Times New Roman" w:hAnsi="Times New Roman"/>
                  <w:sz w:val="16"/>
                  <w:szCs w:val="16"/>
                  <w:color w:val="auto"/>
                </w:rPr>
                <w:t>Digital Property and Demand Services Agreement, dated as of</w:t>
              </w:r>
            </w:hyperlink>
          </w:p>
        </w:tc>
        <w:tc>
          <w:tcPr>
            <w:tcW w:w="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10-Q</w:t>
            </w:r>
          </w:p>
        </w:tc>
        <w:tc>
          <w:tcPr>
            <w:tcW w:w="11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1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6"/>
                <w:szCs w:val="16"/>
                <w:color w:val="auto"/>
              </w:rPr>
              <w:t>November 7, 2024</w:t>
            </w: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060" w:type="dxa"/>
            <w:vAlign w:val="bottom"/>
            <w:tcBorders>
              <w:top w:val="single" w:sz="8" w:color="auto"/>
            </w:tcBorders>
            <w:gridSpan w:val="34"/>
          </w:tcPr>
          <w:p>
            <w:pPr>
              <w:spacing w:after="0" w:line="142" w:lineRule="exact"/>
              <w:rPr>
                <w:rFonts w:ascii="Times New Roman" w:cs="Times New Roman" w:eastAsia="Times New Roman" w:hAnsi="Times New Roman"/>
                <w:sz w:val="16"/>
                <w:szCs w:val="16"/>
                <w:color w:val="auto"/>
              </w:rPr>
            </w:pPr>
            <w:hyperlink r:id="rId154">
              <w:r>
                <w:rPr>
                  <w:rFonts w:ascii="Times New Roman" w:cs="Times New Roman" w:eastAsia="Times New Roman" w:hAnsi="Times New Roman"/>
                  <w:sz w:val="16"/>
                  <w:szCs w:val="16"/>
                  <w:color w:val="auto"/>
                </w:rPr>
                <w:t>November 28, 2022, and amendments through June 30, 2024,</w:t>
              </w:r>
            </w:hyperlink>
          </w:p>
        </w:tc>
        <w:tc>
          <w:tcPr>
            <w:tcW w:w="500" w:type="dxa"/>
            <w:vAlign w:val="bottom"/>
            <w:tcBorders>
              <w:right w:val="single" w:sz="8" w:color="auto"/>
            </w:tcBorders>
            <w:gridSpan w:val="21"/>
          </w:tcPr>
          <w:p>
            <w:pPr>
              <w:spacing w:after="0" w:line="142" w:lineRule="exact"/>
              <w:rPr>
                <w:rFonts w:ascii="Times New Roman" w:cs="Times New Roman" w:eastAsia="Times New Roman" w:hAnsi="Times New Roman"/>
                <w:sz w:val="16"/>
                <w:szCs w:val="16"/>
                <w:color w:val="auto"/>
              </w:rPr>
            </w:pPr>
            <w:hyperlink r:id="rId154">
              <w:r>
                <w:rPr>
                  <w:rFonts w:ascii="Times New Roman" w:cs="Times New Roman" w:eastAsia="Times New Roman" w:hAnsi="Times New Roman"/>
                  <w:sz w:val="16"/>
                  <w:szCs w:val="16"/>
                  <w:color w:val="auto"/>
                </w:rPr>
                <w:t>by</w:t>
              </w:r>
            </w:hyperlink>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4240" w:type="dxa"/>
            <w:vAlign w:val="bottom"/>
            <w:tcBorders>
              <w:top w:val="single" w:sz="8" w:color="auto"/>
            </w:tcBorders>
            <w:gridSpan w:val="44"/>
          </w:tcPr>
          <w:p>
            <w:pPr>
              <w:spacing w:after="0" w:line="142" w:lineRule="exact"/>
              <w:rPr>
                <w:rFonts w:ascii="Times New Roman" w:cs="Times New Roman" w:eastAsia="Times New Roman" w:hAnsi="Times New Roman"/>
                <w:sz w:val="16"/>
                <w:szCs w:val="16"/>
                <w:color w:val="auto"/>
              </w:rPr>
            </w:pPr>
            <w:hyperlink r:id="rId154">
              <w:r>
                <w:rPr>
                  <w:rFonts w:ascii="Times New Roman" w:cs="Times New Roman" w:eastAsia="Times New Roman" w:hAnsi="Times New Roman"/>
                  <w:sz w:val="16"/>
                  <w:szCs w:val="16"/>
                  <w:color w:val="auto"/>
                </w:rPr>
                <w:t>and between Taboola, Inc. and Yahoo Inc. and its affiliates</w:t>
              </w:r>
            </w:hyperlink>
          </w:p>
        </w:tc>
        <w:tc>
          <w:tcPr>
            <w:tcW w:w="80" w:type="dxa"/>
            <w:vAlign w:val="bottom"/>
            <w:gridSpan w:val="4"/>
          </w:tcPr>
          <w:p>
            <w:pPr>
              <w:spacing w:after="0"/>
              <w:rPr>
                <w:sz w:val="12"/>
                <w:szCs w:val="12"/>
                <w:color w:val="auto"/>
              </w:rPr>
            </w:pPr>
          </w:p>
        </w:tc>
        <w:tc>
          <w:tcPr>
            <w:tcW w:w="20" w:type="dxa"/>
            <w:vAlign w:val="bottom"/>
            <w:gridSpan w:val="3"/>
          </w:tcPr>
          <w:p>
            <w:pPr>
              <w:spacing w:after="0"/>
              <w:rPr>
                <w:sz w:val="12"/>
                <w:szCs w:val="12"/>
                <w:color w:val="auto"/>
              </w:rPr>
            </w:pPr>
          </w:p>
        </w:tc>
        <w:tc>
          <w:tcPr>
            <w:tcW w:w="220" w:type="dxa"/>
            <w:vAlign w:val="bottom"/>
            <w:tcBorders>
              <w:right w:val="single" w:sz="8" w:color="auto"/>
            </w:tcBorders>
            <w:gridSpan w:val="4"/>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gridSpan w:val="28"/>
          </w:tcPr>
          <w:p>
            <w:pPr>
              <w:spacing w:after="0" w:line="20" w:lineRule="exact"/>
              <w:rPr>
                <w:sz w:val="1"/>
                <w:szCs w:val="1"/>
                <w:color w:val="auto"/>
              </w:rPr>
            </w:pPr>
          </w:p>
        </w:tc>
        <w:tc>
          <w:tcPr>
            <w:tcW w:w="760" w:type="dxa"/>
            <w:vAlign w:val="bottom"/>
            <w:tcBorders>
              <w:bottom w:val="single" w:sz="8" w:color="auto"/>
              <w:right w:val="single" w:sz="8" w:color="auto"/>
            </w:tcBorders>
            <w:gridSpan w:val="27"/>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19†</w:t>
            </w:r>
          </w:p>
        </w:tc>
        <w:tc>
          <w:tcPr>
            <w:tcW w:w="4560" w:type="dxa"/>
            <w:vAlign w:val="bottom"/>
            <w:tcBorders>
              <w:bottom w:val="single" w:sz="8" w:color="auto"/>
              <w:right w:val="single" w:sz="8" w:color="auto"/>
            </w:tcBorders>
            <w:gridSpan w:val="5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Insider Trading Policy and Procedures</w:t>
            </w: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21</w:t>
            </w:r>
          </w:p>
        </w:tc>
        <w:tc>
          <w:tcPr>
            <w:tcW w:w="4560" w:type="dxa"/>
            <w:vAlign w:val="bottom"/>
            <w:tcBorders>
              <w:right w:val="single" w:sz="8" w:color="auto"/>
            </w:tcBorders>
            <w:gridSpan w:val="55"/>
          </w:tcPr>
          <w:p>
            <w:pPr>
              <w:spacing w:after="0" w:line="169" w:lineRule="exact"/>
              <w:rPr>
                <w:sz w:val="20"/>
                <w:szCs w:val="20"/>
                <w:color w:val="auto"/>
              </w:rPr>
            </w:pPr>
            <w:r>
              <w:rPr>
                <w:rFonts w:ascii="Times New Roman" w:cs="Times New Roman" w:eastAsia="Times New Roman" w:hAnsi="Times New Roman"/>
                <w:sz w:val="16"/>
                <w:szCs w:val="16"/>
                <w:color w:val="auto"/>
              </w:rPr>
              <w:t>Significant Subsidiaries of Taboola.com Ltd.</w:t>
            </w:r>
          </w:p>
        </w:tc>
        <w:tc>
          <w:tcPr>
            <w:tcW w:w="7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gridSpan w:val="13"/>
          </w:tcPr>
          <w:p>
            <w:pPr>
              <w:spacing w:after="0" w:line="20" w:lineRule="exact"/>
              <w:rPr>
                <w:sz w:val="1"/>
                <w:szCs w:val="1"/>
                <w:color w:val="auto"/>
              </w:rPr>
            </w:pPr>
          </w:p>
        </w:tc>
        <w:tc>
          <w:tcPr>
            <w:tcW w:w="1640" w:type="dxa"/>
            <w:vAlign w:val="bottom"/>
            <w:tcBorders>
              <w:bottom w:val="single" w:sz="8" w:color="auto"/>
              <w:right w:val="single" w:sz="8" w:color="auto"/>
            </w:tcBorders>
            <w:gridSpan w:val="42"/>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23</w:t>
            </w:r>
          </w:p>
        </w:tc>
        <w:tc>
          <w:tcPr>
            <w:tcW w:w="4560" w:type="dxa"/>
            <w:vAlign w:val="bottom"/>
            <w:tcBorders>
              <w:right w:val="single" w:sz="8" w:color="auto"/>
            </w:tcBorders>
            <w:gridSpan w:val="5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Consent of Kost Forer Gabbay &amp; Kasierer, a member of EY Global,</w:t>
            </w:r>
          </w:p>
        </w:tc>
        <w:tc>
          <w:tcPr>
            <w:tcW w:w="700" w:type="dxa"/>
            <w:vAlign w:val="bottom"/>
            <w:tcBorders>
              <w:right w:val="single" w:sz="8" w:color="auto"/>
            </w:tcBorders>
            <w:shd w:val="clear" w:color="auto" w:fill="CCEEFF"/>
          </w:tcPr>
          <w:p>
            <w:pPr>
              <w:spacing w:after="0"/>
              <w:rPr>
                <w:sz w:val="14"/>
                <w:szCs w:val="14"/>
                <w:color w:val="auto"/>
              </w:rPr>
            </w:pPr>
          </w:p>
        </w:tc>
        <w:tc>
          <w:tcPr>
            <w:tcW w:w="11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1620" w:type="dxa"/>
            <w:vAlign w:val="bottom"/>
            <w:tcBorders>
              <w:right w:val="single" w:sz="8" w:color="auto"/>
            </w:tcBorders>
            <w:shd w:val="clear" w:color="auto" w:fill="CCEEFF"/>
          </w:tcPr>
          <w:p>
            <w:pPr>
              <w:spacing w:after="0"/>
              <w:rPr>
                <w:sz w:val="14"/>
                <w:szCs w:val="14"/>
                <w:color w:val="auto"/>
              </w:rPr>
            </w:pPr>
          </w:p>
        </w:tc>
        <w:tc>
          <w:tcPr>
            <w:tcW w:w="1180" w:type="dxa"/>
            <w:vAlign w:val="bottom"/>
            <w:tcBorders>
              <w:right w:val="single" w:sz="8" w:color="auto"/>
            </w:tcBorders>
            <w:shd w:val="clear" w:color="auto" w:fill="CCEEFF"/>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118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4560" w:type="dxa"/>
            <w:vAlign w:val="bottom"/>
            <w:tcBorders>
              <w:top w:val="single" w:sz="8" w:color="auto"/>
              <w:bottom w:val="single" w:sz="8" w:color="auto"/>
              <w:right w:val="single" w:sz="8" w:color="auto"/>
            </w:tcBorders>
            <w:gridSpan w:val="5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independent registered accounting firm for the Registrant.</w:t>
            </w:r>
          </w:p>
        </w:tc>
        <w:tc>
          <w:tcPr>
            <w:tcW w:w="70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8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62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31.1</w:t>
            </w:r>
          </w:p>
        </w:tc>
        <w:tc>
          <w:tcPr>
            <w:tcW w:w="4560" w:type="dxa"/>
            <w:vAlign w:val="bottom"/>
            <w:tcBorders>
              <w:right w:val="single" w:sz="8" w:color="auto"/>
            </w:tcBorders>
            <w:gridSpan w:val="55"/>
          </w:tcPr>
          <w:p>
            <w:pPr>
              <w:spacing w:after="0" w:line="169" w:lineRule="exact"/>
              <w:rPr>
                <w:sz w:val="20"/>
                <w:szCs w:val="20"/>
                <w:color w:val="auto"/>
              </w:rPr>
            </w:pPr>
            <w:r>
              <w:rPr>
                <w:rFonts w:ascii="Times New Roman" w:cs="Times New Roman" w:eastAsia="Times New Roman" w:hAnsi="Times New Roman"/>
                <w:sz w:val="16"/>
                <w:szCs w:val="16"/>
                <w:color w:val="auto"/>
              </w:rPr>
              <w:t>Rule 13a-14(a)/15d-14(a) Certification of Chief Executive Officer</w:t>
            </w:r>
          </w:p>
        </w:tc>
        <w:tc>
          <w:tcPr>
            <w:tcW w:w="7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gridSpan w:val="51"/>
          </w:tcPr>
          <w:p>
            <w:pPr>
              <w:spacing w:after="0" w:line="20" w:lineRule="exact"/>
              <w:rPr>
                <w:sz w:val="1"/>
                <w:szCs w:val="1"/>
                <w:color w:val="auto"/>
              </w:rPr>
            </w:pPr>
          </w:p>
        </w:tc>
        <w:tc>
          <w:tcPr>
            <w:tcW w:w="220" w:type="dxa"/>
            <w:vAlign w:val="bottom"/>
            <w:tcBorders>
              <w:bottom w:val="single" w:sz="8" w:color="auto"/>
              <w:right w:val="single" w:sz="8" w:color="auto"/>
            </w:tcBorders>
            <w:gridSpan w:val="4"/>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31.2</w:t>
            </w:r>
          </w:p>
        </w:tc>
        <w:tc>
          <w:tcPr>
            <w:tcW w:w="4560" w:type="dxa"/>
            <w:vAlign w:val="bottom"/>
            <w:tcBorders>
              <w:bottom w:val="single" w:sz="8" w:color="auto"/>
              <w:right w:val="single" w:sz="8" w:color="auto"/>
            </w:tcBorders>
            <w:gridSpan w:val="5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Rule 13a-14(a)/15d-14(a) Certification of Chief Financial Officer</w:t>
            </w: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6"/>
                <w:szCs w:val="16"/>
                <w:color w:val="auto"/>
              </w:rPr>
              <w:t>32</w:t>
            </w:r>
          </w:p>
        </w:tc>
        <w:tc>
          <w:tcPr>
            <w:tcW w:w="4560" w:type="dxa"/>
            <w:vAlign w:val="bottom"/>
            <w:tcBorders>
              <w:right w:val="single" w:sz="8" w:color="auto"/>
            </w:tcBorders>
            <w:gridSpan w:val="55"/>
          </w:tcPr>
          <w:p>
            <w:pPr>
              <w:spacing w:after="0" w:line="169" w:lineRule="exact"/>
              <w:rPr>
                <w:sz w:val="20"/>
                <w:szCs w:val="20"/>
                <w:color w:val="auto"/>
              </w:rPr>
            </w:pPr>
            <w:r>
              <w:rPr>
                <w:rFonts w:ascii="Times New Roman" w:cs="Times New Roman" w:eastAsia="Times New Roman" w:hAnsi="Times New Roman"/>
                <w:sz w:val="16"/>
                <w:szCs w:val="16"/>
                <w:color w:val="auto"/>
              </w:rPr>
              <w:t>Section 1350 Certifications</w:t>
            </w:r>
          </w:p>
        </w:tc>
        <w:tc>
          <w:tcPr>
            <w:tcW w:w="7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right"/>
              <w:ind w:right="99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7"/>
          </w:tcPr>
          <w:p>
            <w:pPr>
              <w:spacing w:after="0" w:line="20" w:lineRule="exact"/>
              <w:rPr>
                <w:sz w:val="1"/>
                <w:szCs w:val="1"/>
                <w:color w:val="auto"/>
              </w:rPr>
            </w:pPr>
          </w:p>
        </w:tc>
        <w:tc>
          <w:tcPr>
            <w:tcW w:w="2780" w:type="dxa"/>
            <w:vAlign w:val="bottom"/>
            <w:tcBorders>
              <w:bottom w:val="single" w:sz="8" w:color="auto"/>
              <w:right w:val="single" w:sz="8" w:color="auto"/>
            </w:tcBorders>
            <w:gridSpan w:val="48"/>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97</w:t>
            </w:r>
          </w:p>
        </w:tc>
        <w:tc>
          <w:tcPr>
            <w:tcW w:w="4560" w:type="dxa"/>
            <w:vAlign w:val="bottom"/>
            <w:tcBorders>
              <w:bottom w:val="single" w:sz="8" w:color="auto"/>
              <w:right w:val="single" w:sz="8" w:color="auto"/>
            </w:tcBorders>
            <w:gridSpan w:val="55"/>
            <w:shd w:val="clear" w:color="auto" w:fill="CCEEFF"/>
          </w:tcPr>
          <w:p>
            <w:pPr>
              <w:spacing w:after="0" w:line="169" w:lineRule="exact"/>
              <w:rPr>
                <w:rFonts w:ascii="Times New Roman" w:cs="Times New Roman" w:eastAsia="Times New Roman" w:hAnsi="Times New Roman"/>
                <w:sz w:val="16"/>
                <w:szCs w:val="16"/>
                <w:color w:val="auto"/>
              </w:rPr>
            </w:pPr>
            <w:hyperlink r:id="rId155">
              <w:r>
                <w:rPr>
                  <w:rFonts w:ascii="Times New Roman" w:cs="Times New Roman" w:eastAsia="Times New Roman" w:hAnsi="Times New Roman"/>
                  <w:sz w:val="16"/>
                  <w:szCs w:val="16"/>
                  <w:color w:val="auto"/>
                </w:rPr>
                <w:t>Policy for Recovery of Erroneously Awarded Compensation</w:t>
              </w:r>
            </w:hyperlink>
          </w:p>
        </w:tc>
        <w:tc>
          <w:tcPr>
            <w:tcW w:w="70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10-K</w:t>
            </w:r>
          </w:p>
        </w:tc>
        <w:tc>
          <w:tcPr>
            <w:tcW w:w="118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001-40566</w:t>
            </w: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February 28, 2024</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4560" w:type="dxa"/>
            <w:vAlign w:val="bottom"/>
            <w:tcBorders>
              <w:bottom w:val="single" w:sz="8" w:color="auto"/>
              <w:right w:val="single" w:sz="8" w:color="auto"/>
            </w:tcBorders>
            <w:gridSpan w:val="55"/>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7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tcBorders>
              <w:bottom w:val="single" w:sz="8" w:color="auto"/>
              <w:right w:val="single" w:sz="8" w:color="auto"/>
            </w:tcBorders>
            <w:gridSpan w:val="5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4560" w:type="dxa"/>
            <w:vAlign w:val="bottom"/>
            <w:tcBorders>
              <w:bottom w:val="single" w:sz="8" w:color="auto"/>
              <w:right w:val="single" w:sz="8" w:color="auto"/>
            </w:tcBorders>
            <w:gridSpan w:val="5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4560" w:type="dxa"/>
            <w:vAlign w:val="bottom"/>
            <w:tcBorders>
              <w:bottom w:val="single" w:sz="8" w:color="auto"/>
              <w:right w:val="single" w:sz="8" w:color="auto"/>
            </w:tcBorders>
            <w:gridSpan w:val="5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4560" w:type="dxa"/>
            <w:vAlign w:val="bottom"/>
            <w:tcBorders>
              <w:bottom w:val="single" w:sz="8" w:color="auto"/>
              <w:right w:val="single" w:sz="8" w:color="auto"/>
            </w:tcBorders>
            <w:gridSpan w:val="5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80" w:type="dxa"/>
            <w:vAlign w:val="bottom"/>
            <w:tcBorders>
              <w:left w:val="single" w:sz="8" w:color="auto"/>
              <w:right w:val="single" w:sz="8" w:color="auto"/>
            </w:tcBorders>
            <w:shd w:val="clear" w:color="auto" w:fill="CCEEFF"/>
          </w:tcPr>
          <w:p>
            <w:pPr>
              <w:ind w:left="40"/>
              <w:spacing w:after="0" w:line="158" w:lineRule="exact"/>
              <w:rPr>
                <w:sz w:val="20"/>
                <w:szCs w:val="20"/>
                <w:color w:val="auto"/>
              </w:rPr>
            </w:pPr>
            <w:r>
              <w:rPr>
                <w:rFonts w:ascii="Times New Roman" w:cs="Times New Roman" w:eastAsia="Times New Roman" w:hAnsi="Times New Roman"/>
                <w:sz w:val="16"/>
                <w:szCs w:val="16"/>
                <w:color w:val="auto"/>
              </w:rPr>
              <w:t>101.PRE</w:t>
            </w:r>
          </w:p>
        </w:tc>
        <w:tc>
          <w:tcPr>
            <w:tcW w:w="4560" w:type="dxa"/>
            <w:vAlign w:val="bottom"/>
            <w:tcBorders>
              <w:right w:val="single" w:sz="8" w:color="auto"/>
            </w:tcBorders>
            <w:gridSpan w:val="55"/>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700" w:type="dxa"/>
            <w:vAlign w:val="bottom"/>
            <w:tcBorders>
              <w:right w:val="single" w:sz="8" w:color="auto"/>
            </w:tcBorders>
            <w:shd w:val="clear" w:color="auto" w:fill="CCEEFF"/>
          </w:tcPr>
          <w:p>
            <w:pPr>
              <w:spacing w:after="0"/>
              <w:rPr>
                <w:sz w:val="13"/>
                <w:szCs w:val="13"/>
                <w:color w:val="auto"/>
              </w:rPr>
            </w:pPr>
          </w:p>
        </w:tc>
        <w:tc>
          <w:tcPr>
            <w:tcW w:w="1180" w:type="dxa"/>
            <w:vAlign w:val="bottom"/>
            <w:tcBorders>
              <w:right w:val="single" w:sz="8" w:color="auto"/>
            </w:tcBorders>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c>
          <w:tcPr>
            <w:tcW w:w="1620" w:type="dxa"/>
            <w:vAlign w:val="bottom"/>
            <w:tcBorders>
              <w:right w:val="single" w:sz="8" w:color="auto"/>
            </w:tcBorders>
            <w:shd w:val="clear" w:color="auto" w:fill="CCEEFF"/>
          </w:tcPr>
          <w:p>
            <w:pPr>
              <w:spacing w:after="0"/>
              <w:rPr>
                <w:sz w:val="13"/>
                <w:szCs w:val="13"/>
                <w:color w:val="auto"/>
              </w:rPr>
            </w:pPr>
          </w:p>
        </w:tc>
        <w:tc>
          <w:tcPr>
            <w:tcW w:w="11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1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4560" w:type="dxa"/>
            <w:vAlign w:val="bottom"/>
            <w:tcBorders>
              <w:bottom w:val="single" w:sz="8" w:color="auto"/>
              <w:right w:val="single" w:sz="8" w:color="auto"/>
            </w:tcBorders>
            <w:gridSpan w:val="55"/>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80" w:type="dxa"/>
            <w:vAlign w:val="bottom"/>
            <w:tcBorders>
              <w:left w:val="single" w:sz="8" w:color="auto"/>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104</w:t>
            </w:r>
          </w:p>
        </w:tc>
        <w:tc>
          <w:tcPr>
            <w:tcW w:w="4560" w:type="dxa"/>
            <w:vAlign w:val="bottom"/>
            <w:tcBorders>
              <w:right w:val="single" w:sz="8" w:color="auto"/>
            </w:tcBorders>
            <w:gridSpan w:val="55"/>
          </w:tcPr>
          <w:p>
            <w:pPr>
              <w:spacing w:after="0" w:line="158" w:lineRule="exact"/>
              <w:rPr>
                <w:sz w:val="20"/>
                <w:szCs w:val="20"/>
                <w:color w:val="auto"/>
              </w:rPr>
            </w:pPr>
            <w:r>
              <w:rPr>
                <w:rFonts w:ascii="Times New Roman" w:cs="Times New Roman" w:eastAsia="Times New Roman" w:hAnsi="Times New Roman"/>
                <w:sz w:val="16"/>
                <w:szCs w:val="16"/>
                <w:color w:val="auto"/>
              </w:rPr>
              <w:t>Cover Page Interactive Data File (embedded with the Inline XBRL</w:t>
            </w:r>
          </w:p>
        </w:tc>
        <w:tc>
          <w:tcPr>
            <w:tcW w:w="7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60" w:type="dxa"/>
            <w:vAlign w:val="bottom"/>
            <w:tcBorders>
              <w:bottom w:val="single" w:sz="8" w:color="auto"/>
              <w:right w:val="single" w:sz="8" w:color="auto"/>
            </w:tcBorders>
            <w:gridSpan w:val="55"/>
          </w:tcPr>
          <w:p>
            <w:pPr>
              <w:spacing w:after="0"/>
              <w:rPr>
                <w:sz w:val="20"/>
                <w:szCs w:val="20"/>
                <w:color w:val="auto"/>
              </w:rPr>
            </w:pPr>
            <w:r>
              <w:rPr>
                <w:rFonts w:ascii="Times New Roman" w:cs="Times New Roman" w:eastAsia="Times New Roman" w:hAnsi="Times New Roman"/>
                <w:sz w:val="16"/>
                <w:szCs w:val="16"/>
                <w:color w:val="auto"/>
              </w:rPr>
              <w:t>document)</w:t>
            </w:r>
          </w:p>
        </w:tc>
        <w:tc>
          <w:tcPr>
            <w:tcW w:w="7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Filed herewith.</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Certain confidential portions (indicated by brackets and asterisks) have been omitted from this exhibit.</w:t>
      </w:r>
    </w:p>
    <w:p>
      <w:pPr>
        <w:sectPr>
          <w:pgSz w:w="11900" w:h="16838" w:orient="portrait"/>
          <w:cols w:equalWidth="0" w:num="1">
            <w:col w:w="11260"/>
          </w:cols>
          <w:pgMar w:left="320" w:top="147" w:right="319" w:bottom="0" w:gutter="0" w:footer="0" w:header="0"/>
        </w:sectPr>
      </w:pPr>
    </w:p>
    <w:bookmarkStart w:id="93" w:name="page94"/>
    <w:bookmarkEnd w:id="93"/>
    <w:p>
      <w:pPr>
        <w:ind w:left="340" w:hanging="89"/>
        <w:spacing w:after="0" w:line="280" w:lineRule="auto"/>
        <w:tabs>
          <w:tab w:leader="none" w:pos="41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to this Exhibit omitted pursuant to Regulation S-K Item 601(b)(2). The Registrant agrees to furnish supplementally a copy of any omitted schedule or exhibit to the SEC upon request.</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11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ind w:left="20"/>
        <w:spacing w:after="0"/>
        <w:tabs>
          <w:tab w:leader="none" w:pos="956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GLOSSARY</w:t>
      </w:r>
    </w:p>
    <w:p>
      <w:pPr>
        <w:spacing w:after="0" w:line="169"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Unless otherwise stated or unless the context otherwise requires, the terms “Company,” “the registrant,” “our company,” “the company,” “we,” “us,” “our,” “ours,” and “Taboola” refer to Taboola.com Ltd., a company organized under the laws of the State of Israel, and its consolidated subsidiaries. In this Annual Report:</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“Advertisers” means advertisers, merchants, affiliate networks and their respective brands and agencies.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“Board” means the Taboola.com Ltd. Board of Directors.</w:t>
      </w:r>
    </w:p>
    <w:p>
      <w:pPr>
        <w:spacing w:after="0" w:line="127"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“Business Combination” means the merger pursuant to the Merger Agreement, whereby Merger Sub merged with and into ION, with ION surviving the merger, and the other transactions contemplated by the Merger Agreement, which we consummated on June 29, 2021.</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“Connexity” means, Shop Holding Corporation, a Delaware corporation</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“Effective Time” means the effective time of the closing of the Business Combination.</w:t>
      </w:r>
    </w:p>
    <w:p>
      <w:pPr>
        <w:spacing w:after="0" w:line="113" w:lineRule="exact"/>
        <w:rPr>
          <w:sz w:val="20"/>
          <w:szCs w:val="20"/>
          <w:color w:val="auto"/>
        </w:rPr>
      </w:pPr>
    </w:p>
    <w:p>
      <w:pPr>
        <w:jc w:val="both"/>
        <w:ind w:right="20" w:firstLine="243"/>
        <w:spacing w:after="0" w:line="298" w:lineRule="auto"/>
        <w:rPr>
          <w:sz w:val="20"/>
          <w:szCs w:val="20"/>
          <w:color w:val="auto"/>
        </w:rPr>
      </w:pPr>
      <w:r>
        <w:rPr>
          <w:rFonts w:ascii="Times New Roman" w:cs="Times New Roman" w:eastAsia="Times New Roman" w:hAnsi="Times New Roman"/>
          <w:sz w:val="16"/>
          <w:szCs w:val="16"/>
          <w:color w:val="auto"/>
        </w:rPr>
        <w:t>“Investors’ Rights Agreement” means the Amended and Restated Investors’ Rights Agreement, effective as of the Effective Time, pursuant to which each of the Sponsors, and certain of Taboola’s shareholders were granted certain resale registration rights with respect to any Ordinary shares or Warrants.</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“ION” means ION Acquisition Corp. 1 Ltd., a Cayman Islands exempted company.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“Merger Agreement” means the agreement and plan of merger, dated as of January 25, 2021, by and among ION, Taboola and Merger Sub.</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“Merger Sub” means Toronto Sub Ltd., a Cayman Islands exempted company and wholly owned subsidiary of the Company.</w:t>
      </w:r>
    </w:p>
    <w:p>
      <w:pPr>
        <w:spacing w:after="0" w:line="113" w:lineRule="exact"/>
        <w:rPr>
          <w:sz w:val="20"/>
          <w:szCs w:val="20"/>
          <w:color w:val="auto"/>
        </w:rPr>
      </w:pPr>
    </w:p>
    <w:p>
      <w:pPr>
        <w:jc w:val="both"/>
        <w:ind w:firstLine="243"/>
        <w:spacing w:after="0" w:line="298" w:lineRule="auto"/>
        <w:rPr>
          <w:sz w:val="20"/>
          <w:szCs w:val="20"/>
          <w:color w:val="auto"/>
        </w:rPr>
      </w:pPr>
      <w:r>
        <w:rPr>
          <w:rFonts w:ascii="Times New Roman" w:cs="Times New Roman" w:eastAsia="Times New Roman" w:hAnsi="Times New Roman"/>
          <w:sz w:val="16"/>
          <w:szCs w:val="16"/>
          <w:color w:val="auto"/>
        </w:rPr>
        <w:t>“Non-voting Ordinary shares” means each non-voting ordinary share of Taboola, no par value per share, originally issued in connection with the Yahoo partnership and not entitled to vote, except in limited circumstances as provided in Taboola’s Amended and Restated Articles of Association</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“Ordinary shares” means each ordinary share of Taboola, no par value per share, listed on NASDAQ and entitled to vote.</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“Shares” means both the Ordinary shares and the Non-Voting Ordinary shares, unless the context otherwise requires.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“Sponsors” means ION Holdings 1, LP and ION Co-Investment LLC.</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“Taboola” means Taboola.com Ltd., a company organized under the laws of the State of Israel and its consolidated subsidiaries.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“Warrants” means warrants of Taboola issued to ION warrant holders and the Ordinary shares underlying such warrants.</w:t>
      </w:r>
    </w:p>
    <w:p>
      <w:pPr>
        <w:spacing w:after="0" w:line="11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6"/>
          <w:szCs w:val="16"/>
          <w:color w:val="auto"/>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29" w:lineRule="exact"/>
        <w:rPr>
          <w:sz w:val="20"/>
          <w:szCs w:val="20"/>
          <w:color w:val="auto"/>
        </w:rPr>
      </w:pPr>
    </w:p>
    <w:p>
      <w:pPr>
        <w:jc w:val="both"/>
        <w:ind w:right="20" w:firstLine="243"/>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on February 26, 2025, hereunto duly authorized.</w:t>
      </w:r>
    </w:p>
    <w:p>
      <w:pPr>
        <w:spacing w:after="0" w:line="200" w:lineRule="exact"/>
        <w:rPr>
          <w:sz w:val="20"/>
          <w:szCs w:val="20"/>
          <w:color w:val="auto"/>
        </w:rPr>
      </w:pPr>
    </w:p>
    <w:p>
      <w:pPr>
        <w:spacing w:after="0" w:line="20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By: /s/ Stephen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-4445</wp:posOffset>
            </wp:positionV>
            <wp:extent cx="920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Name: Stephen C. Walker</w:t>
      </w:r>
    </w:p>
    <w:p>
      <w:pPr>
        <w:spacing w:after="0" w:line="11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127"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on February 26, 2025 by the following persons on behalf of the registrant and in the capacities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95" w:name="page96"/>
    <w:bookmarkEnd w:id="95"/>
    <w:p>
      <w:pPr>
        <w:spacing w:after="0"/>
        <w:tabs>
          <w:tab w:leader="none" w:pos="9540" w:val="left"/>
        </w:tabs>
        <w:rPr>
          <w:sz w:val="20"/>
          <w:szCs w:val="20"/>
          <w:color w:val="auto"/>
        </w:rPr>
      </w:pPr>
      <w:r>
        <w:rPr>
          <w:rFonts w:ascii="Times New Roman" w:cs="Times New Roman" w:eastAsia="Times New Roman" w:hAnsi="Times New Roman"/>
          <w:sz w:val="16"/>
          <w:szCs w:val="16"/>
          <w:i w:val="1"/>
          <w:iCs w:val="1"/>
          <w:u w:val="single" w:color="auto"/>
          <w:color w:val="0000FF"/>
        </w:rPr>
        <w:t>Table of Contents</w:t>
      </w:r>
      <w:r>
        <w:rPr>
          <w:sz w:val="20"/>
          <w:szCs w:val="20"/>
          <w:color w:val="auto"/>
        </w:rPr>
        <w:tab/>
      </w:r>
      <w:r>
        <w:rPr>
          <w:rFonts w:ascii="Times New Roman" w:cs="Times New Roman" w:eastAsia="Times New Roman" w:hAnsi="Times New Roman"/>
          <w:sz w:val="15"/>
          <w:szCs w:val="15"/>
          <w:b w:val="1"/>
          <w:bCs w:val="1"/>
          <w:color w:val="auto"/>
        </w:rPr>
        <w:t>TABOOLA.COM LTD.</w:t>
      </w:r>
    </w:p>
    <w:p>
      <w:pPr>
        <w:sectPr>
          <w:pgSz w:w="11900" w:h="16838" w:orient="portrait"/>
          <w:cols w:equalWidth="0" w:num="1">
            <w:col w:w="11200"/>
          </w:cols>
          <w:pgMar w:left="340" w:top="1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50" w:type="dxa"/>
        <w:tblCellMar>
          <w:top w:w="0" w:type="dxa"/>
          <w:left w:w="0" w:type="dxa"/>
          <w:bottom w:w="0" w:type="dxa"/>
          <w:right w:w="0" w:type="dxa"/>
        </w:tblCellMar>
      </w:tblPr>
      <w:tr>
        <w:trPr>
          <w:trHeight w:val="250"/>
        </w:trPr>
        <w:tc>
          <w:tcPr>
            <w:tcW w:w="420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Signature</w:t>
            </w:r>
          </w:p>
        </w:tc>
        <w:tc>
          <w:tcPr>
            <w:tcW w:w="67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Title</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Adam Singolda</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Stephen C. Walker</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Zvi Limon</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Chairman of the Board</w:t>
            </w:r>
          </w:p>
        </w:tc>
      </w:tr>
      <w:tr>
        <w:trPr>
          <w:trHeight w:val="236"/>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Deirdre Bigley</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Lynda Clarizio</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Monica Mijaleski</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Nechemia J. Peres</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36"/>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Richard Scanlon</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Erez Shachar</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r>
        <w:trPr>
          <w:trHeight w:val="237"/>
        </w:trPr>
        <w:tc>
          <w:tcPr>
            <w:tcW w:w="42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 Gilad Shany</w:t>
            </w:r>
          </w:p>
        </w:tc>
        <w:tc>
          <w:tcPr>
            <w:tcW w:w="67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Director</w:t>
            </w:r>
          </w:p>
        </w:tc>
      </w:tr>
    </w:tbl>
    <w:p>
      <w:pPr>
        <w:sectPr>
          <w:pgSz w:w="11900" w:h="16838" w:orient="portrait"/>
          <w:cols w:equalWidth="0" w:num="1">
            <w:col w:w="11200"/>
          </w:cols>
          <w:pgMar w:left="340" w:top="164" w:right="359" w:bottom="1440" w:gutter="0" w:footer="0" w:header="0"/>
          <w:type w:val="continuous"/>
        </w:sectPr>
      </w:pPr>
    </w:p>
    <w:bookmarkStart w:id="96" w:name="page97"/>
    <w:bookmarkEnd w:id="96"/>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4.1</w:t>
      </w:r>
    </w:p>
    <w:p>
      <w:pPr>
        <w:spacing w:after="0" w:line="200" w:lineRule="exact"/>
        <w:rPr>
          <w:sz w:val="20"/>
          <w:szCs w:val="20"/>
          <w:color w:val="auto"/>
        </w:rPr>
      </w:pPr>
    </w:p>
    <w:p>
      <w:pPr>
        <w:spacing w:after="0" w:line="26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3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 AS AMENDED</w:t>
      </w:r>
    </w:p>
    <w:p>
      <w:pPr>
        <w:spacing w:after="0" w:line="212" w:lineRule="exact"/>
        <w:rPr>
          <w:sz w:val="20"/>
          <w:szCs w:val="20"/>
          <w:color w:val="auto"/>
        </w:rPr>
      </w:pPr>
    </w:p>
    <w:p>
      <w:pPr>
        <w:ind w:left="760" w:right="8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Taboola.com Ltd. had two classes of securities registered under Section 12 of the Securities Exchange Act of 1934, as amended: ordinary shares and warrants to purchase ordinary shares.</w:t>
      </w:r>
    </w:p>
    <w:p>
      <w:pPr>
        <w:spacing w:after="0" w:line="108" w:lineRule="exact"/>
        <w:rPr>
          <w:sz w:val="20"/>
          <w:szCs w:val="20"/>
          <w:color w:val="auto"/>
        </w:rPr>
      </w:pPr>
    </w:p>
    <w:p>
      <w:pPr>
        <w:ind w:left="760" w:right="839" w:firstLine="324"/>
        <w:spacing w:after="0" w:line="256" w:lineRule="auto"/>
        <w:rPr>
          <w:sz w:val="20"/>
          <w:szCs w:val="20"/>
          <w:color w:val="auto"/>
        </w:rPr>
      </w:pPr>
      <w:r>
        <w:rPr>
          <w:rFonts w:ascii="Times New Roman" w:cs="Times New Roman" w:eastAsia="Times New Roman" w:hAnsi="Times New Roman"/>
          <w:sz w:val="18"/>
          <w:szCs w:val="18"/>
          <w:color w:val="auto"/>
        </w:rPr>
        <w:t>References herein to “we,” “us,” “our” “Taboola” and the “Company” refer to Taboola.com Ltd. and not to any of its subsidiaries. The following description may not contain all of the information that is important to you, and we therefore refer you to our amended and restated articles of association (the “Articles”), a copy of which is filed with the Securities and Exchange Commission (“SEC”) as an exhibit to the Company’s annual report on Form 10-K for the year ended December 31, 2024 (“Annual Report”).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Share Capital</w:t>
      </w:r>
    </w:p>
    <w:p>
      <w:pPr>
        <w:spacing w:after="0" w:line="229" w:lineRule="exact"/>
        <w:rPr>
          <w:sz w:val="20"/>
          <w:szCs w:val="20"/>
          <w:color w:val="auto"/>
        </w:rPr>
      </w:pPr>
    </w:p>
    <w:p>
      <w:pPr>
        <w:jc w:val="both"/>
        <w:ind w:left="760" w:right="1139" w:firstLine="360"/>
        <w:spacing w:after="0" w:line="261" w:lineRule="auto"/>
        <w:rPr>
          <w:sz w:val="20"/>
          <w:szCs w:val="20"/>
          <w:color w:val="auto"/>
        </w:rPr>
      </w:pPr>
      <w:r>
        <w:rPr>
          <w:rFonts w:ascii="Times New Roman" w:cs="Times New Roman" w:eastAsia="Times New Roman" w:hAnsi="Times New Roman"/>
          <w:sz w:val="18"/>
          <w:szCs w:val="18"/>
          <w:color w:val="auto"/>
          <w:highlight w:val="white"/>
        </w:rPr>
        <w:t>The authorized share capital of the Company consists of 700,000,000 ordinary shares, no par value and 46,000,000 non-voting ordinary shares, no par value. As of December 31, 2024 we had 293,134,865 ordinary shares issued and outstanding and as of February 1, 2025 we had 44,210,406 non-voting shares issued and outstanding.</w:t>
      </w:r>
    </w:p>
    <w:p>
      <w:pPr>
        <w:spacing w:after="0" w:line="180" w:lineRule="exact"/>
        <w:rPr>
          <w:sz w:val="20"/>
          <w:szCs w:val="20"/>
          <w:color w:val="auto"/>
        </w:rPr>
      </w:pPr>
    </w:p>
    <w:p>
      <w:pPr>
        <w:ind w:left="760" w:right="779" w:firstLine="360"/>
        <w:spacing w:after="0" w:line="266" w:lineRule="auto"/>
        <w:rPr>
          <w:sz w:val="20"/>
          <w:szCs w:val="20"/>
          <w:color w:val="auto"/>
        </w:rPr>
      </w:pPr>
      <w:r>
        <w:rPr>
          <w:rFonts w:ascii="Times New Roman" w:cs="Times New Roman" w:eastAsia="Times New Roman" w:hAnsi="Times New Roman"/>
          <w:sz w:val="18"/>
          <w:szCs w:val="18"/>
          <w:color w:val="auto"/>
          <w:highlight w:val="white"/>
        </w:rPr>
        <w:t>All of our outstanding ordinary shares and non-voting ordinary shares are validly issued, fully paid and non-assessable. Our ordinary shares and non-voting ordinary shares are not redeemable and do not have any preemptive rights.</w:t>
      </w:r>
    </w:p>
    <w:p>
      <w:pPr>
        <w:spacing w:after="0" w:line="176" w:lineRule="exact"/>
        <w:rPr>
          <w:sz w:val="20"/>
          <w:szCs w:val="20"/>
          <w:color w:val="auto"/>
        </w:rPr>
      </w:pPr>
    </w:p>
    <w:p>
      <w:pPr>
        <w:ind w:left="760" w:right="919" w:firstLine="360"/>
        <w:spacing w:after="0" w:line="261" w:lineRule="auto"/>
        <w:rPr>
          <w:sz w:val="20"/>
          <w:szCs w:val="20"/>
          <w:color w:val="auto"/>
        </w:rPr>
      </w:pPr>
      <w:r>
        <w:rPr>
          <w:rFonts w:ascii="Times New Roman" w:cs="Times New Roman" w:eastAsia="Times New Roman" w:hAnsi="Times New Roman"/>
          <w:sz w:val="18"/>
          <w:szCs w:val="18"/>
          <w:color w:val="auto"/>
          <w:highlight w:val="white"/>
        </w:rPr>
        <w:t>Taboola’s board of directors may determine the issue prices and terms for such shares or other securities, and may further determine any other provision relating to such issue of shares or securities. Taboola may also issue and redeem redeemable securities on such terms and in such manner as Taboola’s board of directors shall determine.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Registration Number and Purposes of the Company</w:t>
      </w:r>
    </w:p>
    <w:p>
      <w:pPr>
        <w:spacing w:after="0" w:line="229" w:lineRule="exact"/>
        <w:rPr>
          <w:sz w:val="20"/>
          <w:szCs w:val="20"/>
          <w:color w:val="auto"/>
        </w:rPr>
      </w:pPr>
    </w:p>
    <w:p>
      <w:pPr>
        <w:ind w:left="760" w:right="899" w:firstLine="360"/>
        <w:spacing w:after="0" w:line="258" w:lineRule="auto"/>
        <w:rPr>
          <w:sz w:val="20"/>
          <w:szCs w:val="20"/>
          <w:color w:val="auto"/>
        </w:rPr>
      </w:pPr>
      <w:r>
        <w:rPr>
          <w:rFonts w:ascii="Times New Roman" w:cs="Times New Roman" w:eastAsia="Times New Roman" w:hAnsi="Times New Roman"/>
          <w:sz w:val="18"/>
          <w:szCs w:val="18"/>
          <w:color w:val="auto"/>
          <w:highlight w:val="white"/>
        </w:rPr>
        <w:t>We are registered with the Israeli Registrar of Companies. Our registration number is 51-387068-3. Our affairs are governed by our Amended and Restated Articles of Association, applicable Israeli law and specifically, the Israeli Companies Law 5759-1999 (the "Companies Law"). Our purpose as set forth in our Amended and Restated Articles of Association is to engage in any lawful act or activity.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Voting Rights</w:t>
      </w:r>
    </w:p>
    <w:p>
      <w:pPr>
        <w:spacing w:after="0" w:line="229" w:lineRule="exact"/>
        <w:rPr>
          <w:sz w:val="20"/>
          <w:szCs w:val="20"/>
          <w:color w:val="auto"/>
        </w:rPr>
      </w:pPr>
    </w:p>
    <w:p>
      <w:pPr>
        <w:ind w:left="760" w:right="85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All of our ordinary shares are identical in all respects, except that our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will have rights identical to the rights of ordinary shares.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Transfer of Shares</w:t>
      </w:r>
    </w:p>
    <w:p>
      <w:pPr>
        <w:spacing w:after="0" w:line="229" w:lineRule="exact"/>
        <w:rPr>
          <w:sz w:val="20"/>
          <w:szCs w:val="20"/>
          <w:color w:val="auto"/>
        </w:rPr>
      </w:pPr>
    </w:p>
    <w:p>
      <w:pPr>
        <w:ind w:left="760" w:right="899" w:firstLine="360"/>
        <w:spacing w:after="0" w:line="256" w:lineRule="auto"/>
        <w:rPr>
          <w:sz w:val="20"/>
          <w:szCs w:val="20"/>
          <w:color w:val="auto"/>
        </w:rPr>
      </w:pPr>
      <w:r>
        <w:rPr>
          <w:rFonts w:ascii="Times New Roman" w:cs="Times New Roman" w:eastAsia="Times New Roman" w:hAnsi="Times New Roman"/>
          <w:sz w:val="18"/>
          <w:szCs w:val="18"/>
          <w:color w:val="auto"/>
          <w:highlight w:val="white"/>
        </w:rPr>
        <w:t>Our fully paid ordinary shares are issued in registered form and may be freely transferred under our Amended and Restated Articles of Association, unless the transfer is restricted or prohibited by another instrument, applicable law or the rules of Nasdaq.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ectPr>
          <w:pgSz w:w="11900" w:h="16838" w:orient="portrait"/>
          <w:cols w:equalWidth="0" w:num="1">
            <w:col w:w="9019"/>
          </w:cols>
          <w:pgMar w:left="1440" w:top="9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ectPr>
          <w:pgSz w:w="11900" w:h="16838" w:orient="portrait"/>
          <w:cols w:equalWidth="0" w:num="1">
            <w:col w:w="9019"/>
          </w:cols>
          <w:pgMar w:left="1440" w:top="941" w:right="1440" w:bottom="0" w:gutter="0" w:footer="0" w:header="0"/>
          <w:type w:val="continuous"/>
        </w:sectPr>
      </w:pPr>
    </w:p>
    <w:bookmarkStart w:id="97" w:name="page98"/>
    <w:bookmarkEnd w:id="97"/>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Election of Directors</w:t>
      </w:r>
    </w:p>
    <w:p>
      <w:pPr>
        <w:spacing w:after="0" w:line="229" w:lineRule="exact"/>
        <w:rPr>
          <w:sz w:val="20"/>
          <w:szCs w:val="20"/>
          <w:color w:val="auto"/>
        </w:rPr>
      </w:pPr>
    </w:p>
    <w:p>
      <w:pPr>
        <w:ind w:left="760" w:right="79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188" w:lineRule="exact"/>
        <w:rPr>
          <w:sz w:val="20"/>
          <w:szCs w:val="20"/>
          <w:color w:val="auto"/>
        </w:rPr>
      </w:pPr>
    </w:p>
    <w:p>
      <w:pPr>
        <w:ind w:left="760" w:right="859" w:firstLine="360"/>
        <w:spacing w:after="0" w:line="253" w:lineRule="auto"/>
        <w:rPr>
          <w:sz w:val="20"/>
          <w:szCs w:val="20"/>
          <w:color w:val="auto"/>
        </w:rPr>
      </w:pPr>
      <w:r>
        <w:rPr>
          <w:rFonts w:ascii="Times New Roman" w:cs="Times New Roman" w:eastAsia="Times New Roman" w:hAnsi="Times New Roman"/>
          <w:sz w:val="18"/>
          <w:szCs w:val="18"/>
          <w:color w:val="auto"/>
          <w:highlight w:val="white"/>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Dividend and Liquidation Rights</w:t>
      </w:r>
    </w:p>
    <w:p>
      <w:pPr>
        <w:spacing w:after="0" w:line="229" w:lineRule="exact"/>
        <w:rPr>
          <w:sz w:val="20"/>
          <w:szCs w:val="20"/>
          <w:color w:val="auto"/>
        </w:rPr>
      </w:pPr>
    </w:p>
    <w:p>
      <w:pPr>
        <w:ind w:left="760" w:right="979" w:firstLine="360"/>
        <w:spacing w:after="0" w:line="256" w:lineRule="auto"/>
        <w:rPr>
          <w:sz w:val="20"/>
          <w:szCs w:val="20"/>
          <w:color w:val="auto"/>
        </w:rPr>
      </w:pPr>
      <w:r>
        <w:rPr>
          <w:rFonts w:ascii="Times New Roman" w:cs="Times New Roman" w:eastAsia="Times New Roman" w:hAnsi="Times New Roman"/>
          <w:sz w:val="18"/>
          <w:szCs w:val="18"/>
          <w:color w:val="auto"/>
          <w:highlight w:val="white"/>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left="760" w:right="79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Pursuant to the Companies Law, the distribution amount is limited to the greater of retained earnings or earnings generated over the previous two years, according to the company’s most recently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w:t>
      </w:r>
    </w:p>
    <w:p>
      <w:pPr>
        <w:spacing w:after="0" w:line="192" w:lineRule="exact"/>
        <w:rPr>
          <w:sz w:val="20"/>
          <w:szCs w:val="20"/>
          <w:color w:val="auto"/>
        </w:rPr>
      </w:pPr>
    </w:p>
    <w:p>
      <w:pPr>
        <w:jc w:val="both"/>
        <w:ind w:left="760" w:right="899" w:firstLine="360"/>
        <w:spacing w:after="0" w:line="281" w:lineRule="auto"/>
        <w:rPr>
          <w:sz w:val="20"/>
          <w:szCs w:val="20"/>
          <w:color w:val="auto"/>
        </w:rPr>
      </w:pPr>
      <w:r>
        <w:rPr>
          <w:rFonts w:ascii="Times New Roman" w:cs="Times New Roman" w:eastAsia="Times New Roman" w:hAnsi="Times New Roman"/>
          <w:sz w:val="17"/>
          <w:szCs w:val="17"/>
          <w:color w:val="auto"/>
          <w:highlight w:val="white"/>
        </w:rPr>
        <w:t>In the event of Taboola’s liquidation, after satisfaction of liabilities to creditors, its assets will be distributed to the holders of its ordinary shares in proportion to their shareholdings. This right, as well as the right to receive dividends, may be affected by the grant of preferential dividend or distribution rights to the holders of a class of shares with preferential rights which may be authorized in the future.</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Exchange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jc w:val="both"/>
        <w:ind w:left="760" w:right="1059" w:firstLine="360"/>
        <w:spacing w:after="0" w:line="261" w:lineRule="auto"/>
        <w:rPr>
          <w:sz w:val="20"/>
          <w:szCs w:val="20"/>
          <w:color w:val="auto"/>
        </w:rPr>
      </w:pPr>
      <w:r>
        <w:rPr>
          <w:rFonts w:ascii="Times New Roman" w:cs="Times New Roman" w:eastAsia="Times New Roman" w:hAnsi="Times New Roman"/>
          <w:sz w:val="18"/>
          <w:szCs w:val="18"/>
          <w:color w:val="auto"/>
          <w:highlight w:val="white"/>
        </w:rPr>
        <w:t>There are currently no Israeli currency control restrictions on remittances of dividends on our ordinary shares, proceeds from the sale of our srdinary shares or interest or other payments to non-residents of Israel, except for shareholders who are subjects of countries that at the time are, or have been, in a state of war with Israel.</w:t>
      </w:r>
    </w:p>
    <w:p>
      <w:pPr>
        <w:sectPr>
          <w:pgSz w:w="11900" w:h="16902" w:orient="portrait"/>
          <w:cols w:equalWidth="0" w:num="1">
            <w:col w:w="9019"/>
          </w:cols>
          <w:pgMar w:left="1440" w:top="333" w:right="1440" w:bottom="0" w:gutter="0" w:footer="0" w:header="0"/>
        </w:sectPr>
      </w:pP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Shareholder Meetings</w:t>
      </w:r>
    </w:p>
    <w:p>
      <w:pPr>
        <w:sectPr>
          <w:pgSz w:w="11900" w:h="16902" w:orient="portrait"/>
          <w:cols w:equalWidth="0" w:num="1">
            <w:col w:w="9019"/>
          </w:cols>
          <w:pgMar w:left="1440" w:top="333" w:right="1440" w:bottom="0" w:gutter="0" w:footer="0" w:header="0"/>
          <w:type w:val="continuous"/>
        </w:sectPr>
      </w:pPr>
    </w:p>
    <w:bookmarkStart w:id="98" w:name="page99"/>
    <w:bookmarkEnd w:id="98"/>
    <w:p>
      <w:pPr>
        <w:ind w:left="760" w:right="779" w:firstLine="360"/>
        <w:spacing w:after="0" w:line="253"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Under Israeli law, Taboola is required to hold an annual general meeting of its shareholders once every calendar year and no later than 15 months after the date of the previous annual general meeting. All meetings other than the annual general meeting of shareholders are referred to in the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as a company listed on an exchange in outside of Israel, one or more shareholders holding, in the aggregate, either (a) 10% or more of Taboola’s issued and outstanding shares and 1% or more of Taboola’s outstanding voting power or (b) 10% or more of Taboola’s outstanding voting power.</w:t>
      </w:r>
    </w:p>
    <w:p>
      <w:pPr>
        <w:spacing w:after="0" w:line="192" w:lineRule="exact"/>
        <w:rPr>
          <w:sz w:val="20"/>
          <w:szCs w:val="20"/>
          <w:color w:val="auto"/>
        </w:rPr>
      </w:pPr>
    </w:p>
    <w:p>
      <w:pPr>
        <w:ind w:left="760" w:right="799" w:firstLine="360"/>
        <w:spacing w:after="0" w:line="252" w:lineRule="auto"/>
        <w:rPr>
          <w:sz w:val="20"/>
          <w:szCs w:val="20"/>
          <w:color w:val="auto"/>
        </w:rPr>
      </w:pPr>
      <w:r>
        <w:rPr>
          <w:rFonts w:ascii="Times New Roman" w:cs="Times New Roman" w:eastAsia="Times New Roman" w:hAnsi="Times New Roman"/>
          <w:sz w:val="18"/>
          <w:szCs w:val="18"/>
          <w:color w:val="auto"/>
          <w:highlight w:val="white"/>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Our Amended and Restated Articles of Association contain procedural guidelines and disclosure items with respect to the submission of shareholder proposals for general meetings. 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60 days prior to the date of the meeting. Furthermore, the Companies Law requires that resolutions regarding the following matters must be passed at a general meeting of shareholders:</w:t>
      </w:r>
    </w:p>
    <w:p>
      <w:pPr>
        <w:spacing w:after="0" w:line="116" w:lineRule="exact"/>
        <w:rPr>
          <w:sz w:val="20"/>
          <w:szCs w:val="20"/>
          <w:color w:val="auto"/>
        </w:rPr>
      </w:pPr>
    </w:p>
    <w:p>
      <w:pPr>
        <w:ind w:left="1480" w:hanging="35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articles of association;</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terms of service and termination of services of auditors;</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directors, including external directors (if applicable);</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authorized share capital;</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117" w:lineRule="exact"/>
        <w:rPr>
          <w:rFonts w:ascii="Times New Roman" w:cs="Times New Roman" w:eastAsia="Times New Roman" w:hAnsi="Times New Roman"/>
          <w:sz w:val="18"/>
          <w:szCs w:val="18"/>
          <w:color w:val="auto"/>
        </w:rPr>
      </w:pPr>
    </w:p>
    <w:p>
      <w:pPr>
        <w:ind w:left="1480" w:right="939" w:hanging="356"/>
        <w:spacing w:after="0" w:line="281" w:lineRule="auto"/>
        <w:tabs>
          <w:tab w:leader="none" w:pos="1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the board of director’s powers by a general meeting, if the board of directors is unable to exercise its powers and the exercise of any of its powers is required for proper management of the company.</w:t>
      </w:r>
    </w:p>
    <w:p>
      <w:pPr>
        <w:spacing w:after="0" w:line="200" w:lineRule="exact"/>
        <w:rPr>
          <w:sz w:val="20"/>
          <w:szCs w:val="20"/>
          <w:color w:val="auto"/>
        </w:rPr>
      </w:pPr>
    </w:p>
    <w:p>
      <w:pPr>
        <w:spacing w:after="0" w:line="207" w:lineRule="exact"/>
        <w:rPr>
          <w:sz w:val="20"/>
          <w:szCs w:val="20"/>
          <w:color w:val="auto"/>
        </w:rPr>
      </w:pPr>
    </w:p>
    <w:p>
      <w:pPr>
        <w:ind w:left="760" w:right="87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ind w:left="760" w:right="799" w:firstLine="360"/>
        <w:spacing w:after="0" w:line="269" w:lineRule="auto"/>
        <w:rPr>
          <w:sz w:val="20"/>
          <w:szCs w:val="20"/>
          <w:color w:val="auto"/>
        </w:rPr>
      </w:pPr>
      <w:r>
        <w:rPr>
          <w:rFonts w:ascii="Times New Roman" w:cs="Times New Roman" w:eastAsia="Times New Roman" w:hAnsi="Times New Roman"/>
          <w:sz w:val="17"/>
          <w:szCs w:val="17"/>
          <w:color w:val="auto"/>
          <w:highlight w:val="white"/>
        </w:rPr>
        <w:t>Pursuant to our Amended and Restated Articles of Association, holders of our ordinary shares have one vote for each ordinary share held on all matters submitted to a vote of the shareholders at a general meeting of shareholders. The quorum required for our general meetings of shareholders consists of at least two shareholders present in person or by proxy who hold or represent at least 33</w:t>
      </w:r>
      <w:r>
        <w:rPr>
          <w:rFonts w:ascii="Times New Roman" w:cs="Times New Roman" w:eastAsia="Times New Roman" w:hAnsi="Times New Roman"/>
          <w:sz w:val="8"/>
          <w:szCs w:val="8"/>
          <w:color w:val="auto"/>
          <w:highlight w:val="white"/>
        </w:rPr>
        <w:t>1</w:t>
      </w:r>
      <w:r>
        <w:rPr>
          <w:rFonts w:ascii="Times New Roman" w:cs="Times New Roman" w:eastAsia="Times New Roman" w:hAnsi="Times New Roman"/>
          <w:sz w:val="17"/>
          <w:szCs w:val="17"/>
          <w:color w:val="auto"/>
          <w:highlight w:val="white"/>
        </w:rPr>
        <w:t>∕3% of the total outstanding voting power of our shares, except that if (i) any such general meeting was initiated by and convened pursuant to a resolution adopted by the board of directors and (ii) at the time of such general meeting we qualify as a “foreign private issuer,” the requisite quorum will consist of two or more shareholders present in person or by proxy who hold or represent at least 25% of the total outstanding voting power of our shares. The requisite quorum may be present within half an hour of the time fixed for the commencement of the general meeting. A general meeting adjourned for lack of a quorum shall be adjourned either to the same day in the next week, at the same time and place, to such</w:t>
      </w:r>
    </w:p>
    <w:p>
      <w:pPr>
        <w:sectPr>
          <w:pgSz w:w="11900" w:h="16838" w:orient="portrait"/>
          <w:cols w:equalWidth="0" w:num="1">
            <w:col w:w="9019"/>
          </w:cols>
          <w:pgMar w:left="1440" w:top="364" w:right="1440" w:bottom="0" w:gutter="0" w:footer="0" w:header="0"/>
        </w:sectPr>
      </w:pPr>
    </w:p>
    <w:bookmarkStart w:id="99" w:name="page100"/>
    <w:bookmarkEnd w:id="99"/>
    <w:p>
      <w:pPr>
        <w:ind w:left="760" w:right="1079"/>
        <w:spacing w:after="0" w:line="202" w:lineRule="auto"/>
        <w:rPr>
          <w:sz w:val="20"/>
          <w:szCs w:val="20"/>
          <w:color w:val="auto"/>
        </w:rPr>
      </w:pPr>
      <w:r>
        <w:rPr>
          <w:rFonts w:ascii="Times New Roman" w:cs="Times New Roman" w:eastAsia="Times New Roman" w:hAnsi="Times New Roman"/>
          <w:sz w:val="17"/>
          <w:szCs w:val="17"/>
          <w:color w:val="auto"/>
          <w:highlight w:val="white"/>
        </w:rPr>
        <w:t>day and at such time and place as indicated in the notice to such meeting, or to such day and at such time and place as the chairperson of the meeting shall determine. At the reconvened meeting,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-179070</wp:posOffset>
            </wp:positionV>
            <wp:extent cx="713232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right="919"/>
        <w:spacing w:after="0" w:line="253" w:lineRule="auto"/>
        <w:rPr>
          <w:sz w:val="20"/>
          <w:szCs w:val="20"/>
          <w:color w:val="auto"/>
        </w:rPr>
      </w:pPr>
      <w:r>
        <w:rPr>
          <w:rFonts w:ascii="Times New Roman" w:cs="Times New Roman" w:eastAsia="Times New Roman" w:hAnsi="Times New Roman"/>
          <w:sz w:val="18"/>
          <w:szCs w:val="18"/>
          <w:color w:val="auto"/>
          <w:highlight w:val="white"/>
        </w:rPr>
        <w:t xml:space="preserve">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w:t>
      </w:r>
      <w:r>
        <w:rPr>
          <w:rFonts w:ascii="Times New Roman" w:cs="Times New Roman" w:eastAsia="Times New Roman" w:hAnsi="Times New Roman"/>
          <w:sz w:val="18"/>
          <w:szCs w:val="18"/>
          <w:i w:val="1"/>
          <w:iCs w:val="1"/>
          <w:color w:val="auto"/>
          <w:highlight w:val="white"/>
        </w:rPr>
        <w:t>“Shareholder Meetings.”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Vote Requirements</w:t>
      </w:r>
    </w:p>
    <w:p>
      <w:pPr>
        <w:spacing w:after="0" w:line="229" w:lineRule="exact"/>
        <w:rPr>
          <w:sz w:val="20"/>
          <w:szCs w:val="20"/>
          <w:color w:val="auto"/>
        </w:rPr>
      </w:pPr>
    </w:p>
    <w:p>
      <w:pPr>
        <w:ind w:left="760" w:right="799" w:firstLine="360"/>
        <w:spacing w:after="0" w:line="269" w:lineRule="auto"/>
        <w:rPr>
          <w:sz w:val="20"/>
          <w:szCs w:val="20"/>
          <w:color w:val="auto"/>
        </w:rPr>
      </w:pPr>
      <w:r>
        <w:rPr>
          <w:rFonts w:ascii="Times New Roman" w:cs="Times New Roman" w:eastAsia="Times New Roman" w:hAnsi="Times New Roman"/>
          <w:sz w:val="17"/>
          <w:szCs w:val="17"/>
          <w:color w:val="auto"/>
          <w:highlight w:val="white"/>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79" w:lineRule="exact"/>
        <w:rPr>
          <w:sz w:val="20"/>
          <w:szCs w:val="20"/>
          <w:color w:val="auto"/>
        </w:rPr>
      </w:pPr>
    </w:p>
    <w:p>
      <w:pPr>
        <w:ind w:left="760" w:right="779" w:firstLine="360"/>
        <w:spacing w:after="0" w:line="253" w:lineRule="auto"/>
        <w:rPr>
          <w:sz w:val="20"/>
          <w:szCs w:val="20"/>
          <w:color w:val="auto"/>
        </w:rPr>
      </w:pPr>
      <w:r>
        <w:rPr>
          <w:rFonts w:ascii="Times New Roman" w:cs="Times New Roman" w:eastAsia="Times New Roman" w:hAnsi="Times New Roman"/>
          <w:sz w:val="18"/>
          <w:szCs w:val="18"/>
          <w:color w:val="auto"/>
          <w:highlight w:val="white"/>
        </w:rPr>
        <w:t>Under our Amended and Restated Articles of Association,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a majority of the shareholders present and represented at the meeting, and holding at least 75% of the voting rights represented at the meeting and voting on the resolution.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Access to Corporate Records</w:t>
      </w:r>
    </w:p>
    <w:p>
      <w:pPr>
        <w:spacing w:after="0" w:line="229" w:lineRule="exact"/>
        <w:rPr>
          <w:sz w:val="20"/>
          <w:szCs w:val="20"/>
          <w:color w:val="auto"/>
        </w:rPr>
      </w:pPr>
    </w:p>
    <w:p>
      <w:pPr>
        <w:ind w:left="760" w:right="79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Taboola is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Taboola may deny a request to review a document if it determines that the request was not made in good faith, that the document contains a commercial secret or a patent or that the document’s disclosure may otherwise impair its interests.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Anti-Takeover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Acquisitions under Israeli Law</w:t>
      </w:r>
    </w:p>
    <w:p>
      <w:pPr>
        <w:spacing w:after="0" w:line="2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highlight w:val="white"/>
        </w:rPr>
        <w:t>Full Tender Offer</w:t>
      </w:r>
    </w:p>
    <w:p>
      <w:pPr>
        <w:spacing w:after="0" w:line="227" w:lineRule="exact"/>
        <w:rPr>
          <w:sz w:val="20"/>
          <w:szCs w:val="20"/>
          <w:color w:val="auto"/>
        </w:rPr>
      </w:pPr>
    </w:p>
    <w:p>
      <w:pPr>
        <w:ind w:left="760" w:right="799" w:firstLine="360"/>
        <w:spacing w:after="0" w:line="269" w:lineRule="auto"/>
        <w:rPr>
          <w:sz w:val="20"/>
          <w:szCs w:val="20"/>
          <w:color w:val="auto"/>
        </w:rPr>
      </w:pPr>
      <w:r>
        <w:rPr>
          <w:rFonts w:ascii="Times New Roman" w:cs="Times New Roman" w:eastAsia="Times New Roman" w:hAnsi="Times New Roman"/>
          <w:sz w:val="17"/>
          <w:szCs w:val="17"/>
          <w:color w:val="auto"/>
          <w:highlight w:val="white"/>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w:t>
      </w:r>
    </w:p>
    <w:p>
      <w:pPr>
        <w:sectPr>
          <w:pgSz w:w="11900" w:h="16838" w:orient="portrait"/>
          <w:cols w:equalWidth="0" w:num="1">
            <w:col w:w="9019"/>
          </w:cols>
          <w:pgMar w:left="1440" w:top="94" w:right="1440" w:bottom="0" w:gutter="0" w:footer="0" w:header="0"/>
        </w:sectPr>
      </w:pPr>
    </w:p>
    <w:bookmarkStart w:id="100" w:name="page101"/>
    <w:bookmarkEnd w:id="100"/>
    <w:p>
      <w:pPr>
        <w:ind w:left="760" w:right="859"/>
        <w:spacing w:after="0" w:line="226" w:lineRule="auto"/>
        <w:rPr>
          <w:sz w:val="20"/>
          <w:szCs w:val="20"/>
          <w:color w:val="auto"/>
        </w:rPr>
      </w:pPr>
      <w:r>
        <w:rPr>
          <w:rFonts w:ascii="Times New Roman" w:cs="Times New Roman" w:eastAsia="Times New Roman" w:hAnsi="Times New Roman"/>
          <w:sz w:val="17"/>
          <w:szCs w:val="17"/>
          <w:color w:val="auto"/>
          <w:highlight w:val="white"/>
        </w:rPr>
        <w:t>determined by the court. However, an offeror may provide in the offer that a shareholder who accepted the offer will not be entitled to petition the court for appraisal rights as described in the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-196215</wp:posOffset>
            </wp:positionV>
            <wp:extent cx="7132320"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right="839"/>
        <w:spacing w:after="0" w:line="252" w:lineRule="auto"/>
        <w:rPr>
          <w:sz w:val="20"/>
          <w:szCs w:val="20"/>
          <w:color w:val="auto"/>
        </w:rPr>
      </w:pPr>
      <w:r>
        <w:rPr>
          <w:rFonts w:ascii="Times New Roman" w:cs="Times New Roman" w:eastAsia="Times New Roman" w:hAnsi="Times New Roman"/>
          <w:sz w:val="18"/>
          <w:szCs w:val="18"/>
          <w:color w:val="auto"/>
          <w:highlight w:val="white"/>
        </w:rPr>
        <w:t>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highlight w:val="white"/>
        </w:rPr>
        <w:t>Special Tender Offer</w:t>
      </w:r>
    </w:p>
    <w:p>
      <w:pPr>
        <w:spacing w:after="0" w:line="227" w:lineRule="exact"/>
        <w:rPr>
          <w:sz w:val="20"/>
          <w:szCs w:val="20"/>
          <w:color w:val="auto"/>
        </w:rPr>
      </w:pPr>
    </w:p>
    <w:p>
      <w:pPr>
        <w:ind w:left="760" w:right="839" w:firstLine="360"/>
        <w:spacing w:after="0" w:line="251" w:lineRule="auto"/>
        <w:rPr>
          <w:sz w:val="20"/>
          <w:szCs w:val="20"/>
          <w:color w:val="auto"/>
        </w:rPr>
      </w:pPr>
      <w:r>
        <w:rPr>
          <w:rFonts w:ascii="Times New Roman" w:cs="Times New Roman" w:eastAsia="Times New Roman" w:hAnsi="Times New Roman"/>
          <w:sz w:val="18"/>
          <w:szCs w:val="18"/>
          <w:color w:val="auto"/>
          <w:highlight w:val="white"/>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05" w:lineRule="exact"/>
        <w:rPr>
          <w:sz w:val="20"/>
          <w:szCs w:val="20"/>
          <w:color w:val="auto"/>
        </w:rPr>
      </w:pPr>
    </w:p>
    <w:p>
      <w:pPr>
        <w:ind w:left="760" w:right="919" w:firstLine="360"/>
        <w:spacing w:after="0" w:line="261" w:lineRule="auto"/>
        <w:rPr>
          <w:sz w:val="20"/>
          <w:szCs w:val="20"/>
          <w:color w:val="auto"/>
        </w:rPr>
      </w:pPr>
      <w:r>
        <w:rPr>
          <w:rFonts w:ascii="Times New Roman" w:cs="Times New Roman" w:eastAsia="Times New Roman" w:hAnsi="Times New Roman"/>
          <w:sz w:val="18"/>
          <w:szCs w:val="18"/>
          <w:color w:val="auto"/>
          <w:highlight w:val="white"/>
        </w:rPr>
        <w:t>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 tender offer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ind w:left="760" w:right="839"/>
        <w:spacing w:after="0" w:line="255" w:lineRule="auto"/>
        <w:rPr>
          <w:sz w:val="20"/>
          <w:szCs w:val="20"/>
          <w:color w:val="auto"/>
        </w:rPr>
      </w:pPr>
      <w:r>
        <w:rPr>
          <w:rFonts w:ascii="Times New Roman" w:cs="Times New Roman" w:eastAsia="Times New Roman" w:hAnsi="Times New Roman"/>
          <w:sz w:val="18"/>
          <w:szCs w:val="18"/>
          <w:color w:val="auto"/>
          <w:highlight w:val="white"/>
        </w:rPr>
        <w:t>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89" w:lineRule="exact"/>
        <w:rPr>
          <w:sz w:val="20"/>
          <w:szCs w:val="20"/>
          <w:color w:val="auto"/>
        </w:rPr>
      </w:pPr>
    </w:p>
    <w:p>
      <w:pPr>
        <w:ind w:left="760" w:right="859" w:firstLine="360"/>
        <w:spacing w:after="0" w:line="266" w:lineRule="auto"/>
        <w:rPr>
          <w:sz w:val="20"/>
          <w:szCs w:val="20"/>
          <w:color w:val="auto"/>
        </w:rPr>
      </w:pPr>
      <w:r>
        <w:rPr>
          <w:rFonts w:ascii="Times New Roman" w:cs="Times New Roman" w:eastAsia="Times New Roman" w:hAnsi="Times New Roman"/>
          <w:sz w:val="18"/>
          <w:szCs w:val="18"/>
          <w:color w:val="auto"/>
          <w:highlight w:val="white"/>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176" w:lineRule="exact"/>
        <w:rPr>
          <w:sz w:val="20"/>
          <w:szCs w:val="20"/>
          <w:color w:val="auto"/>
        </w:rPr>
      </w:pPr>
    </w:p>
    <w:p>
      <w:pPr>
        <w:ind w:left="760" w:right="101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highlight w:val="white"/>
        </w:rPr>
        <w:t>Merger</w:t>
      </w: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highlight w:val="white"/>
        </w:rPr>
        <w:t>The Companies Law permits merger transactions if approved by each party’s board of directors</w:t>
      </w:r>
    </w:p>
    <w:p>
      <w:pPr>
        <w:sectPr>
          <w:pgSz w:w="11900" w:h="16838" w:orient="portrait"/>
          <w:cols w:equalWidth="0" w:num="1">
            <w:col w:w="9019"/>
          </w:cols>
          <w:pgMar w:left="1440" w:top="81" w:right="1440" w:bottom="0" w:gutter="0" w:footer="0" w:header="0"/>
        </w:sectPr>
      </w:pPr>
    </w:p>
    <w:bookmarkStart w:id="101" w:name="page102"/>
    <w:bookmarkEnd w:id="101"/>
    <w:p>
      <w:pPr>
        <w:spacing w:after="0" w:line="34" w:lineRule="exact"/>
        <w:rPr>
          <w:sz w:val="20"/>
          <w:szCs w:val="20"/>
          <w:color w:val="auto"/>
        </w:rPr>
      </w:pPr>
    </w:p>
    <w:p>
      <w:pPr>
        <w:ind w:left="760" w:right="819"/>
        <w:spacing w:after="0" w:line="242" w:lineRule="auto"/>
        <w:rPr>
          <w:sz w:val="20"/>
          <w:szCs w:val="20"/>
          <w:color w:val="auto"/>
        </w:rPr>
      </w:pPr>
      <w:r>
        <w:rPr>
          <w:rFonts w:ascii="Times New Roman" w:cs="Times New Roman" w:eastAsia="Times New Roman" w:hAnsi="Times New Roman"/>
          <w:sz w:val="17"/>
          <w:szCs w:val="17"/>
          <w:color w:val="auto"/>
          <w:highlight w:val="white"/>
        </w:rPr>
        <w:t>and, unless certain conditions described under the Companies Law are met, a simple majority of the outstanding shares of each party to the merger that are represented and voting on the merger.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-212725</wp:posOffset>
            </wp:positionV>
            <wp:extent cx="713232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right="799"/>
        <w:spacing w:after="0" w:line="252" w:lineRule="auto"/>
        <w:rPr>
          <w:sz w:val="20"/>
          <w:szCs w:val="20"/>
          <w:color w:val="auto"/>
        </w:rPr>
      </w:pPr>
      <w:r>
        <w:rPr>
          <w:rFonts w:ascii="Times New Roman" w:cs="Times New Roman" w:eastAsia="Times New Roman" w:hAnsi="Times New Roman"/>
          <w:sz w:val="18"/>
          <w:szCs w:val="18"/>
          <w:color w:val="auto"/>
          <w:highlight w:val="white"/>
        </w:rPr>
        <w:t>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8" w:lineRule="exact"/>
        <w:rPr>
          <w:sz w:val="20"/>
          <w:szCs w:val="20"/>
          <w:color w:val="auto"/>
        </w:rPr>
      </w:pPr>
    </w:p>
    <w:p>
      <w:pPr>
        <w:ind w:left="760" w:right="779" w:firstLine="360"/>
        <w:spacing w:after="0" w:line="252" w:lineRule="auto"/>
        <w:rPr>
          <w:sz w:val="20"/>
          <w:szCs w:val="20"/>
          <w:color w:val="auto"/>
        </w:rPr>
      </w:pPr>
      <w:r>
        <w:rPr>
          <w:rFonts w:ascii="Times New Roman" w:cs="Times New Roman" w:eastAsia="Times New Roman" w:hAnsi="Times New Roman"/>
          <w:sz w:val="18"/>
          <w:szCs w:val="18"/>
          <w:color w:val="auto"/>
          <w:highlight w:val="white"/>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92" w:lineRule="exact"/>
        <w:rPr>
          <w:sz w:val="20"/>
          <w:szCs w:val="20"/>
          <w:color w:val="auto"/>
        </w:rPr>
      </w:pPr>
    </w:p>
    <w:p>
      <w:pPr>
        <w:ind w:left="760" w:right="939" w:firstLine="360"/>
        <w:spacing w:after="0" w:line="256" w:lineRule="auto"/>
        <w:rPr>
          <w:sz w:val="20"/>
          <w:szCs w:val="20"/>
          <w:color w:val="auto"/>
        </w:rPr>
      </w:pPr>
      <w:r>
        <w:rPr>
          <w:rFonts w:ascii="Times New Roman" w:cs="Times New Roman" w:eastAsia="Times New Roman" w:hAnsi="Times New Roman"/>
          <w:sz w:val="18"/>
          <w:szCs w:val="18"/>
          <w:color w:val="auto"/>
          <w:highlight w:val="white"/>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b w:val="1"/>
          <w:bCs w:val="1"/>
          <w:color w:val="auto"/>
          <w:highlight w:val="white"/>
        </w:rPr>
        <w:t>Exhibit 4.1</w:t>
      </w:r>
    </w:p>
    <w:p>
      <w:pPr>
        <w:spacing w:after="0" w:line="200" w:lineRule="exact"/>
        <w:rPr>
          <w:sz w:val="20"/>
          <w:szCs w:val="20"/>
          <w:color w:val="auto"/>
        </w:rPr>
      </w:pPr>
    </w:p>
    <w:p>
      <w:pPr>
        <w:spacing w:after="0" w:line="259" w:lineRule="exact"/>
        <w:rPr>
          <w:sz w:val="20"/>
          <w:szCs w:val="20"/>
          <w:color w:val="auto"/>
        </w:rPr>
      </w:pPr>
    </w:p>
    <w:p>
      <w:pPr>
        <w:jc w:val="both"/>
        <w:ind w:left="760" w:right="859" w:firstLine="360"/>
        <w:spacing w:after="0" w:line="266" w:lineRule="auto"/>
        <w:rPr>
          <w:sz w:val="20"/>
          <w:szCs w:val="20"/>
          <w:color w:val="auto"/>
        </w:rPr>
      </w:pPr>
      <w:r>
        <w:rPr>
          <w:rFonts w:ascii="Times New Roman" w:cs="Times New Roman" w:eastAsia="Times New Roman" w:hAnsi="Times New Roman"/>
          <w:sz w:val="18"/>
          <w:szCs w:val="18"/>
          <w:color w:val="auto"/>
          <w:highlight w:val="white"/>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highlight w:val="white"/>
        </w:rPr>
        <w:t>Anti-Takeover Measures</w:t>
      </w:r>
    </w:p>
    <w:p>
      <w:pPr>
        <w:spacing w:after="0" w:line="227" w:lineRule="exact"/>
        <w:rPr>
          <w:sz w:val="20"/>
          <w:szCs w:val="20"/>
          <w:color w:val="auto"/>
        </w:rPr>
      </w:pPr>
    </w:p>
    <w:p>
      <w:pPr>
        <w:ind w:left="760" w:right="799" w:firstLine="360"/>
        <w:spacing w:after="0" w:line="252" w:lineRule="auto"/>
        <w:rPr>
          <w:sz w:val="20"/>
          <w:szCs w:val="20"/>
          <w:color w:val="auto"/>
        </w:rPr>
      </w:pPr>
      <w:r>
        <w:rPr>
          <w:rFonts w:ascii="Times New Roman" w:cs="Times New Roman" w:eastAsia="Times New Roman" w:hAnsi="Times New Roman"/>
          <w:sz w:val="18"/>
          <w:szCs w:val="18"/>
          <w:color w:val="auto"/>
          <w:highlight w:val="white"/>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our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as described above in “</w:t>
      </w:r>
      <w:r>
        <w:rPr>
          <w:rFonts w:ascii="Times New Roman" w:cs="Times New Roman" w:eastAsia="Times New Roman" w:hAnsi="Times New Roman"/>
          <w:sz w:val="18"/>
          <w:szCs w:val="18"/>
          <w:i w:val="1"/>
          <w:iCs w:val="1"/>
          <w:color w:val="auto"/>
          <w:highlight w:val="white"/>
        </w:rPr>
        <w:t>Shareholder</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i w:val="1"/>
          <w:iCs w:val="1"/>
          <w:color w:val="auto"/>
          <w:highlight w:val="white"/>
        </w:rPr>
        <w:t>Meetings</w:t>
      </w:r>
      <w:r>
        <w:rPr>
          <w:rFonts w:ascii="Times New Roman" w:cs="Times New Roman" w:eastAsia="Times New Roman" w:hAnsi="Times New Roman"/>
          <w:sz w:val="18"/>
          <w:szCs w:val="18"/>
          <w:color w:val="auto"/>
          <w:highlight w:val="white"/>
        </w:rPr>
        <w:t>.” In addition, as disclosed under “</w:t>
      </w:r>
      <w:r>
        <w:rPr>
          <w:rFonts w:ascii="Times New Roman" w:cs="Times New Roman" w:eastAsia="Times New Roman" w:hAnsi="Times New Roman"/>
          <w:sz w:val="18"/>
          <w:szCs w:val="18"/>
          <w:i w:val="1"/>
          <w:iCs w:val="1"/>
          <w:color w:val="auto"/>
          <w:highlight w:val="white"/>
        </w:rPr>
        <w:t>Election of Directors</w:t>
      </w:r>
      <w:r>
        <w:rPr>
          <w:rFonts w:ascii="Times New Roman" w:cs="Times New Roman" w:eastAsia="Times New Roman" w:hAnsi="Times New Roman"/>
          <w:sz w:val="18"/>
          <w:szCs w:val="18"/>
          <w:color w:val="auto"/>
          <w:highlight w:val="white"/>
        </w:rPr>
        <w:t>,” we have a classified board structure,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which effectively limits the ability of any investor or potential investor or group of investors or potential investors to gain control of our board of directors.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Borrowing Powers</w:t>
      </w:r>
    </w:p>
    <w:p>
      <w:pPr>
        <w:spacing w:after="0" w:line="229" w:lineRule="exact"/>
        <w:rPr>
          <w:sz w:val="20"/>
          <w:szCs w:val="20"/>
          <w:color w:val="auto"/>
        </w:rPr>
      </w:pPr>
    </w:p>
    <w:p>
      <w:pPr>
        <w:ind w:left="760" w:right="799" w:firstLine="360"/>
        <w:spacing w:after="0" w:line="266" w:lineRule="auto"/>
        <w:rPr>
          <w:sz w:val="20"/>
          <w:szCs w:val="20"/>
          <w:color w:val="auto"/>
        </w:rPr>
      </w:pPr>
      <w:r>
        <w:rPr>
          <w:rFonts w:ascii="Times New Roman" w:cs="Times New Roman" w:eastAsia="Times New Roman" w:hAnsi="Times New Roman"/>
          <w:sz w:val="18"/>
          <w:szCs w:val="18"/>
          <w:color w:val="auto"/>
          <w:highlight w:val="white"/>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w:t>
      </w:r>
    </w:p>
    <w:p>
      <w:pPr>
        <w:sectPr>
          <w:pgSz w:w="11900" w:h="16872" w:orient="portrait"/>
          <w:cols w:equalWidth="0" w:num="1">
            <w:col w:w="9019"/>
          </w:cols>
          <w:pgMar w:left="1440" w:top="81" w:right="1440" w:bottom="0" w:gutter="0" w:footer="0" w:header="0"/>
        </w:sectPr>
      </w:pPr>
    </w:p>
    <w:bookmarkStart w:id="102" w:name="page103"/>
    <w:bookmarkEnd w:id="102"/>
    <w:p>
      <w:pPr>
        <w:spacing w:after="0" w:line="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the power to borrow money for company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-93980</wp:posOffset>
            </wp:positionV>
            <wp:extent cx="713232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Changes in Capital</w:t>
      </w:r>
    </w:p>
    <w:p>
      <w:pPr>
        <w:spacing w:after="0" w:line="229" w:lineRule="exact"/>
        <w:rPr>
          <w:sz w:val="20"/>
          <w:szCs w:val="20"/>
          <w:color w:val="auto"/>
        </w:rPr>
      </w:pPr>
    </w:p>
    <w:p>
      <w:pPr>
        <w:ind w:left="760" w:right="939" w:firstLine="360"/>
        <w:spacing w:after="0" w:line="258" w:lineRule="auto"/>
        <w:rPr>
          <w:sz w:val="20"/>
          <w:szCs w:val="20"/>
          <w:color w:val="auto"/>
        </w:rPr>
      </w:pPr>
      <w:r>
        <w:rPr>
          <w:rFonts w:ascii="Times New Roman" w:cs="Times New Roman" w:eastAsia="Times New Roman" w:hAnsi="Times New Roman"/>
          <w:sz w:val="18"/>
          <w:szCs w:val="18"/>
          <w:color w:val="auto"/>
          <w:highlight w:val="white"/>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Exclusive Forum</w:t>
      </w:r>
    </w:p>
    <w:p>
      <w:pPr>
        <w:spacing w:after="0" w:line="229" w:lineRule="exact"/>
        <w:rPr>
          <w:sz w:val="20"/>
          <w:szCs w:val="20"/>
          <w:color w:val="auto"/>
        </w:rPr>
      </w:pPr>
    </w:p>
    <w:p>
      <w:pPr>
        <w:ind w:left="760" w:right="83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Transfer Agent and Registrar</w:t>
      </w:r>
    </w:p>
    <w:p>
      <w:pPr>
        <w:spacing w:after="0" w:line="229" w:lineRule="exact"/>
        <w:rPr>
          <w:sz w:val="20"/>
          <w:szCs w:val="20"/>
          <w:color w:val="auto"/>
        </w:rPr>
      </w:pPr>
    </w:p>
    <w:p>
      <w:pPr>
        <w:ind w:left="760" w:right="919" w:firstLine="360"/>
        <w:spacing w:after="0" w:line="282" w:lineRule="auto"/>
        <w:rPr>
          <w:sz w:val="20"/>
          <w:szCs w:val="20"/>
          <w:color w:val="auto"/>
        </w:rPr>
      </w:pPr>
      <w:r>
        <w:rPr>
          <w:rFonts w:ascii="Times New Roman" w:cs="Times New Roman" w:eastAsia="Times New Roman" w:hAnsi="Times New Roman"/>
          <w:sz w:val="18"/>
          <w:szCs w:val="18"/>
          <w:color w:val="auto"/>
          <w:highlight w:val="white"/>
        </w:rPr>
        <w:t>The transfer agent and registrar for our ordinary shares is Broadridge Corporate Issuer Solutions, Inc. Its address is 51 Mercedes Way, Edgewood, NY 11717.</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highlight w:val="white"/>
        </w:rPr>
        <w:t>Description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b w:val="1"/>
          <w:bCs w:val="1"/>
          <w:color w:val="auto"/>
          <w:highlight w:val="white"/>
        </w:rPr>
        <w:t>Exhibit 4.1</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Public Warrants</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highlight w:val="white"/>
        </w:rPr>
        <w:t>Each whole warrant entitles the registered holder to purchase one ordinary share at a price of</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highlight w:val="white"/>
        </w:rPr>
        <w:t>$11.50 per share, subject to adjustment as discussed below, at any time, provided in each case that there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is an effective registration statement under the Securities Act covering the ordinary shares issuable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upon exercise of the warrants and a current prospectus relating to them is available (or we permit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holders to exercise their warrants on a cashless basis under the circumstances specified in the warrant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assignment, assumption and amendment agreement) and such shares are registered, qualified or exempt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from registration under the securities, or blue sky, laws of the state of residence of the holder. Pursuant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to the warrant assignment, assumption and amendment agreement, a warrant holder may exercise its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warrants only for a whole number of our ordinary shares. This means only a whole warrant may be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exercised at a given time by a warrant holder. No fractional warrants will be issued upon separation of</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the units and only whole warrants will trade. The warrants (other than the warrants held by ION Co-</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Investment LLC, which will expire five years from October 1, 2021) will expire June 29, 2026 or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earlier upon redemption or liquidation.</w:t>
      </w:r>
    </w:p>
    <w:p>
      <w:pPr>
        <w:spacing w:after="0" w:line="207" w:lineRule="exact"/>
        <w:rPr>
          <w:sz w:val="20"/>
          <w:szCs w:val="20"/>
          <w:color w:val="auto"/>
        </w:rPr>
      </w:pPr>
    </w:p>
    <w:p>
      <w:pPr>
        <w:ind w:left="760" w:right="939" w:firstLine="360"/>
        <w:spacing w:after="0" w:line="253" w:lineRule="auto"/>
        <w:rPr>
          <w:sz w:val="20"/>
          <w:szCs w:val="20"/>
          <w:color w:val="auto"/>
        </w:rPr>
      </w:pPr>
      <w:r>
        <w:rPr>
          <w:rFonts w:ascii="Times New Roman" w:cs="Times New Roman" w:eastAsia="Times New Roman" w:hAnsi="Times New Roman"/>
          <w:sz w:val="18"/>
          <w:szCs w:val="18"/>
          <w:color w:val="auto"/>
          <w:highlight w:val="white"/>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us satisfying our registration obligations. No warrant will be exercisable and we will not be obligated to issue ordinary shares upon exercise of a warrant unless the ordinary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The company is not required to net cash settle any warrant other than as set forth herein.</w:t>
      </w:r>
    </w:p>
    <w:p>
      <w:pPr>
        <w:spacing w:after="0" w:line="192" w:lineRule="exact"/>
        <w:rPr>
          <w:sz w:val="20"/>
          <w:szCs w:val="20"/>
          <w:color w:val="auto"/>
        </w:rPr>
      </w:pPr>
    </w:p>
    <w:p>
      <w:pPr>
        <w:ind w:left="760" w:right="83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We have agreed that the ordinary shares issuable upon exercise of the warrants will be registered on a registration statement on Form F-1 and filed such registration statement with the SEC on July 13, 2021. We will use our best efforts to maintain the effectiveness of such registration statement, and a current prospectus relating thereto, until the expiration of the warrants in accordance with the provisions of the warrant assignment, assumption and amendment agreement. Warrant holders may, during any period when we will have failed to maintain an effective registration statement covering the ordinary shares issuable upon exercise of the warrants, exercise warrants on a “cashless basis” in</w:t>
      </w:r>
    </w:p>
    <w:p>
      <w:pPr>
        <w:sectPr>
          <w:pgSz w:w="11900" w:h="16900" w:orient="portrait"/>
          <w:cols w:equalWidth="0" w:num="1">
            <w:col w:w="9019"/>
          </w:cols>
          <w:pgMar w:left="1440" w:top="81" w:right="1440" w:bottom="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18"/>
          <w:szCs w:val="18"/>
          <w:color w:val="auto"/>
          <w:highlight w:val="white"/>
        </w:rPr>
        <w:t>accordance with Section 3(a)(9) of the Securities Act or another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-101600</wp:posOffset>
            </wp:positionV>
            <wp:extent cx="713232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6" w:lineRule="exact"/>
        <w:rPr>
          <w:sz w:val="20"/>
          <w:szCs w:val="20"/>
          <w:color w:val="auto"/>
        </w:rPr>
      </w:pPr>
    </w:p>
    <w:p>
      <w:pPr>
        <w:ind w:left="760" w:right="919" w:firstLine="360"/>
        <w:spacing w:after="0" w:line="273" w:lineRule="auto"/>
        <w:rPr>
          <w:sz w:val="20"/>
          <w:szCs w:val="20"/>
          <w:color w:val="auto"/>
        </w:rPr>
      </w:pPr>
      <w:r>
        <w:rPr>
          <w:rFonts w:ascii="Times New Roman" w:cs="Times New Roman" w:eastAsia="Times New Roman" w:hAnsi="Times New Roman"/>
          <w:sz w:val="17"/>
          <w:szCs w:val="17"/>
          <w:color w:val="auto"/>
          <w:highlight w:val="white"/>
        </w:rPr>
        <w:t>Notwithstanding the above, if our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69" w:lineRule="exact"/>
        <w:rPr>
          <w:sz w:val="20"/>
          <w:szCs w:val="20"/>
          <w:color w:val="auto"/>
        </w:rPr>
      </w:pPr>
    </w:p>
    <w:p>
      <w:pPr>
        <w:jc w:val="both"/>
        <w:ind w:left="760" w:right="1059" w:firstLine="360"/>
        <w:spacing w:after="0" w:line="267" w:lineRule="auto"/>
        <w:rPr>
          <w:sz w:val="20"/>
          <w:szCs w:val="20"/>
          <w:color w:val="auto"/>
        </w:rPr>
      </w:pPr>
      <w:r>
        <w:rPr>
          <w:rFonts w:ascii="Times New Roman" w:cs="Times New Roman" w:eastAsia="Times New Roman" w:hAnsi="Times New Roman"/>
          <w:sz w:val="18"/>
          <w:szCs w:val="18"/>
          <w:i w:val="1"/>
          <w:iCs w:val="1"/>
          <w:color w:val="auto"/>
          <w:highlight w:val="white"/>
        </w:rPr>
        <w:t>Redemption of warrants when the price per ordinary share equals or exceeds $18.00</w:t>
      </w:r>
      <w:r>
        <w:rPr>
          <w:rFonts w:ascii="Times New Roman" w:cs="Times New Roman" w:eastAsia="Times New Roman" w:hAnsi="Times New Roman"/>
          <w:sz w:val="18"/>
          <w:szCs w:val="18"/>
          <w:color w:val="auto"/>
          <w:highlight w:val="white"/>
        </w:rPr>
        <w:t>. Once the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warrants become exercisable, we may redeem the outstanding warrants (except as described herein with respect to the private placement warrants):</w:t>
      </w:r>
    </w:p>
    <w:p>
      <w:pPr>
        <w:spacing w:after="0" w:line="94" w:lineRule="exact"/>
        <w:rPr>
          <w:sz w:val="20"/>
          <w:szCs w:val="20"/>
          <w:color w:val="auto"/>
        </w:rPr>
      </w:pPr>
    </w:p>
    <w:p>
      <w:pPr>
        <w:ind w:left="1480" w:hanging="356"/>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b w:val="1"/>
          <w:bCs w:val="1"/>
          <w:color w:val="auto"/>
          <w:highlight w:val="white"/>
        </w:rPr>
        <w:t>Exhibit 4.1</w:t>
      </w:r>
    </w:p>
    <w:p>
      <w:pPr>
        <w:spacing w:after="0" w:line="297" w:lineRule="exact"/>
        <w:rPr>
          <w:sz w:val="20"/>
          <w:szCs w:val="20"/>
          <w:color w:val="auto"/>
        </w:rPr>
      </w:pPr>
    </w:p>
    <w:p>
      <w:pPr>
        <w:ind w:left="1480" w:right="1139" w:hanging="356"/>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40" w:lineRule="exact"/>
        <w:rPr>
          <w:rFonts w:ascii="Times New Roman" w:cs="Times New Roman" w:eastAsia="Times New Roman" w:hAnsi="Times New Roman"/>
          <w:sz w:val="18"/>
          <w:szCs w:val="18"/>
          <w:color w:val="auto"/>
        </w:rPr>
      </w:pPr>
    </w:p>
    <w:p>
      <w:pPr>
        <w:ind w:left="1480" w:right="859" w:hanging="356"/>
        <w:spacing w:after="0" w:line="258"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ordinary shares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Redemption Procedures — 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for any 20 trading days within a 30-trading day period ending three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before the notice of redemption is sent to the warrant holders.</w:t>
      </w:r>
    </w:p>
    <w:p>
      <w:pPr>
        <w:spacing w:after="0" w:line="200" w:lineRule="exact"/>
        <w:rPr>
          <w:sz w:val="20"/>
          <w:szCs w:val="20"/>
          <w:color w:val="auto"/>
        </w:rPr>
      </w:pPr>
    </w:p>
    <w:p>
      <w:pPr>
        <w:spacing w:after="0" w:line="240" w:lineRule="exact"/>
        <w:rPr>
          <w:sz w:val="20"/>
          <w:szCs w:val="20"/>
          <w:color w:val="auto"/>
        </w:rPr>
      </w:pPr>
    </w:p>
    <w:p>
      <w:pPr>
        <w:jc w:val="both"/>
        <w:ind w:left="760" w:right="779" w:firstLine="360"/>
        <w:spacing w:after="0" w:line="266" w:lineRule="auto"/>
        <w:rPr>
          <w:sz w:val="20"/>
          <w:szCs w:val="20"/>
          <w:color w:val="auto"/>
        </w:rPr>
      </w:pPr>
      <w:r>
        <w:rPr>
          <w:rFonts w:ascii="Times New Roman" w:cs="Times New Roman" w:eastAsia="Times New Roman" w:hAnsi="Times New Roman"/>
          <w:sz w:val="18"/>
          <w:szCs w:val="18"/>
          <w:color w:val="auto"/>
          <w:highlight w:val="white"/>
        </w:rPr>
        <w:t>If and when the warrants become redeemable by us, we may exercise our redemption right even if we are unable to register or qualify the underlying securities for sale under all applicable state securities laws.</w:t>
      </w:r>
    </w:p>
    <w:p>
      <w:pPr>
        <w:spacing w:after="0" w:line="176" w:lineRule="exact"/>
        <w:rPr>
          <w:sz w:val="20"/>
          <w:szCs w:val="20"/>
          <w:color w:val="auto"/>
        </w:rPr>
      </w:pPr>
    </w:p>
    <w:p>
      <w:pPr>
        <w:ind w:left="760" w:right="81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ind w:left="760" w:right="1059" w:firstLine="360"/>
        <w:spacing w:after="0" w:line="267" w:lineRule="auto"/>
        <w:rPr>
          <w:sz w:val="20"/>
          <w:szCs w:val="20"/>
          <w:color w:val="auto"/>
        </w:rPr>
      </w:pPr>
      <w:r>
        <w:rPr>
          <w:rFonts w:ascii="Times New Roman" w:cs="Times New Roman" w:eastAsia="Times New Roman" w:hAnsi="Times New Roman"/>
          <w:sz w:val="18"/>
          <w:szCs w:val="18"/>
          <w:i w:val="1"/>
          <w:iCs w:val="1"/>
          <w:color w:val="auto"/>
          <w:highlight w:val="white"/>
        </w:rPr>
        <w:t xml:space="preserve">Redemption of warrants when the price per ordinary share equals or exceeds $10.00. </w:t>
      </w:r>
      <w:r>
        <w:rPr>
          <w:rFonts w:ascii="Times New Roman" w:cs="Times New Roman" w:eastAsia="Times New Roman" w:hAnsi="Times New Roman"/>
          <w:sz w:val="18"/>
          <w:szCs w:val="18"/>
          <w:color w:val="auto"/>
          <w:highlight w:val="white"/>
        </w:rPr>
        <w:t>Once the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warrants become exercisable, we may redeem the outstanding warrants (except as described herein with respect to the private placement warrants):</w:t>
      </w:r>
    </w:p>
    <w:p>
      <w:pPr>
        <w:spacing w:after="0" w:line="94" w:lineRule="exact"/>
        <w:rPr>
          <w:sz w:val="20"/>
          <w:szCs w:val="20"/>
          <w:color w:val="auto"/>
        </w:rPr>
      </w:pPr>
    </w:p>
    <w:p>
      <w:pPr>
        <w:ind w:left="1480" w:hanging="356"/>
        <w:spacing w:after="0"/>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480" w:hanging="356"/>
        <w:spacing w:after="0"/>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$0.10 per warrant;</w:t>
      </w:r>
    </w:p>
    <w:p>
      <w:pPr>
        <w:spacing w:after="0" w:line="117" w:lineRule="exact"/>
        <w:rPr>
          <w:rFonts w:ascii="Times New Roman" w:cs="Times New Roman" w:eastAsia="Times New Roman" w:hAnsi="Times New Roman"/>
          <w:sz w:val="18"/>
          <w:szCs w:val="18"/>
          <w:color w:val="auto"/>
        </w:rPr>
      </w:pPr>
    </w:p>
    <w:p>
      <w:pPr>
        <w:ind w:left="1480" w:right="979" w:hanging="356"/>
        <w:spacing w:after="0" w:line="266"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the ordinary shares except as otherwise described below; and</w:t>
      </w:r>
    </w:p>
    <w:p>
      <w:pPr>
        <w:ind w:left="1480" w:right="859" w:hanging="356"/>
        <w:spacing w:after="0" w:line="258"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ordinary Sshares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xml:space="preserve">“— Redemption Procedures — Anti-dilution Adjustments”) </w:t>
      </w:r>
      <w:r>
        <w:rPr>
          <w:rFonts w:ascii="Times New Roman" w:cs="Times New Roman" w:eastAsia="Times New Roman" w:hAnsi="Times New Roman"/>
          <w:sz w:val="18"/>
          <w:szCs w:val="18"/>
          <w:color w:val="auto"/>
        </w:rPr>
        <w:t>for any 20 trading days within the 30-trading day period ending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days before the notice of redemption is sent to the warrant holders.</w:t>
      </w:r>
    </w:p>
    <w:p>
      <w:pPr>
        <w:sectPr>
          <w:pgSz w:w="11900" w:h="16838" w:orient="portrait"/>
          <w:cols w:equalWidth="0" w:num="1">
            <w:col w:w="9019"/>
          </w:cols>
          <w:pgMar w:left="1440" w:top="94" w:right="1440" w:bottom="14" w:gutter="0" w:footer="0" w:header="0"/>
        </w:sectPr>
      </w:pPr>
    </w:p>
    <w:bookmarkStart w:id="104" w:name="page105"/>
    <w:bookmarkEnd w:id="104"/>
    <w:p>
      <w:pPr>
        <w:ind w:left="760" w:right="799" w:firstLine="360"/>
        <w:spacing w:after="0" w:line="269" w:lineRule="auto"/>
        <w:rPr>
          <w:sz w:val="20"/>
          <w:szCs w:val="20"/>
          <w:color w:val="auto"/>
        </w:rPr>
      </w:pPr>
      <w:r>
        <w:rPr>
          <w:rFonts w:ascii="Times New Roman" w:cs="Times New Roman" w:eastAsia="Times New Roman" w:hAnsi="Times New Roman"/>
          <w:sz w:val="17"/>
          <w:szCs w:val="17"/>
          <w:color w:val="auto"/>
          <w:highlight w:val="white"/>
        </w:rPr>
        <w:t>Beginning on the date the notice of redemption is given and until the warrants are redeemed or exercised,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the volume-weighted average price of the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-1518285</wp:posOffset>
            </wp:positionV>
            <wp:extent cx="713232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2" w:lineRule="exact"/>
        <w:rPr>
          <w:sz w:val="20"/>
          <w:szCs w:val="20"/>
          <w:color w:val="auto"/>
        </w:rPr>
      </w:pPr>
    </w:p>
    <w:p>
      <w:pPr>
        <w:jc w:val="both"/>
        <w:ind w:left="760" w:right="799" w:firstLine="360"/>
        <w:spacing w:after="0" w:line="257" w:lineRule="auto"/>
        <w:rPr>
          <w:sz w:val="20"/>
          <w:szCs w:val="20"/>
          <w:color w:val="auto"/>
        </w:rPr>
      </w:pPr>
      <w:r>
        <w:rPr>
          <w:rFonts w:ascii="Times New Roman" w:cs="Times New Roman" w:eastAsia="Times New Roman" w:hAnsi="Times New Roman"/>
          <w:sz w:val="18"/>
          <w:szCs w:val="18"/>
          <w:color w:val="auto"/>
          <w:highlight w:val="white"/>
        </w:rPr>
        <w:t xml:space="preserve">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 w:cs="Times New Roman" w:eastAsia="Times New Roman" w:hAnsi="Times New Roman"/>
          <w:sz w:val="18"/>
          <w:szCs w:val="18"/>
          <w:i w:val="1"/>
          <w:iCs w:val="1"/>
          <w:color w:val="auto"/>
          <w:highlight w:val="white"/>
        </w:rPr>
        <w:t>“— Redemption Procedures — Anti-dilution</w:t>
      </w:r>
    </w:p>
    <w:p>
      <w:pPr>
        <w:spacing w:after="0" w:line="1" w:lineRule="exact"/>
        <w:rPr>
          <w:sz w:val="20"/>
          <w:szCs w:val="20"/>
          <w:color w:val="auto"/>
        </w:rPr>
      </w:pPr>
    </w:p>
    <w:p>
      <w:pPr>
        <w:ind w:left="760" w:right="1219"/>
        <w:spacing w:after="0" w:line="290" w:lineRule="auto"/>
        <w:rPr>
          <w:sz w:val="20"/>
          <w:szCs w:val="20"/>
          <w:color w:val="auto"/>
        </w:rPr>
      </w:pPr>
      <w:r>
        <w:rPr>
          <w:rFonts w:ascii="Times New Roman" w:cs="Times New Roman" w:eastAsia="Times New Roman" w:hAnsi="Times New Roman"/>
          <w:sz w:val="17"/>
          <w:szCs w:val="17"/>
          <w:i w:val="1"/>
          <w:iCs w:val="1"/>
          <w:color w:val="auto"/>
          <w:highlight w:val="white"/>
        </w:rPr>
        <w:t xml:space="preserve">Adjustments” </w:t>
      </w:r>
      <w:r>
        <w:rPr>
          <w:rFonts w:ascii="Times New Roman" w:cs="Times New Roman" w:eastAsia="Times New Roman" w:hAnsi="Times New Roman"/>
          <w:sz w:val="17"/>
          <w:szCs w:val="17"/>
          <w:color w:val="auto"/>
          <w:highlight w:val="white"/>
        </w:rPr>
        <w:t>below. If the number of shares issuable upon exercise of a warrant is adjusted, the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color w:val="auto"/>
          <w:highlight w:val="white"/>
        </w:rPr>
        <w:t>adjusted share prices in the column headings will equal the share prices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ind w:left="760" w:right="779"/>
        <w:spacing w:after="0" w:line="258" w:lineRule="auto"/>
        <w:rPr>
          <w:sz w:val="20"/>
          <w:szCs w:val="20"/>
          <w:color w:val="auto"/>
        </w:rPr>
      </w:pPr>
      <w:r>
        <w:rPr>
          <w:rFonts w:ascii="Times New Roman" w:cs="Times New Roman" w:eastAsia="Times New Roman" w:hAnsi="Times New Roman"/>
          <w:sz w:val="18"/>
          <w:szCs w:val="18"/>
          <w:color w:val="auto"/>
          <w:highlight w:val="white"/>
        </w:rPr>
        <w:t>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278" w:lineRule="exact"/>
        <w:rPr>
          <w:sz w:val="20"/>
          <w:szCs w:val="20"/>
          <w:color w:val="auto"/>
        </w:rPr>
      </w:pPr>
    </w:p>
    <w:p>
      <w:pPr>
        <w:ind w:left="760" w:right="83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 xml:space="preserve">If the exercise price of a warrant is adjusted, (a) in the case of an adjustment pursuant to the fifth paragraph under the heading </w:t>
      </w:r>
      <w:r>
        <w:rPr>
          <w:rFonts w:ascii="Times New Roman" w:cs="Times New Roman" w:eastAsia="Times New Roman" w:hAnsi="Times New Roman"/>
          <w:sz w:val="18"/>
          <w:szCs w:val="18"/>
          <w:i w:val="1"/>
          <w:iCs w:val="1"/>
          <w:color w:val="auto"/>
          <w:highlight w:val="white"/>
        </w:rPr>
        <w:t>“— Redemption Procedures — Anti-dilution Adjustments”</w:t>
      </w:r>
      <w:r>
        <w:rPr>
          <w:rFonts w:ascii="Times New Roman" w:cs="Times New Roman" w:eastAsia="Times New Roman" w:hAnsi="Times New Roman"/>
          <w:sz w:val="18"/>
          <w:szCs w:val="18"/>
          <w:color w:val="auto"/>
          <w:highlight w:val="white"/>
        </w:rPr>
        <w:t xml:space="preserve"> below, the adjusted share prices in the column headings will equal the unadjusted share prices multiplied by a fraction, the numerator of which is the higher of the Market Value and the Newly Issued Price as set forth under the heading </w:t>
      </w:r>
      <w:r>
        <w:rPr>
          <w:rFonts w:ascii="Times New Roman" w:cs="Times New Roman" w:eastAsia="Times New Roman" w:hAnsi="Times New Roman"/>
          <w:sz w:val="18"/>
          <w:szCs w:val="18"/>
          <w:i w:val="1"/>
          <w:iCs w:val="1"/>
          <w:color w:val="auto"/>
          <w:highlight w:val="white"/>
        </w:rPr>
        <w:t>“— Redemption Procedures — Anti-dilution Adjustments”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color w:val="auto"/>
          <w:highlight w:val="white"/>
        </w:rPr>
        <w:t xml:space="preserve"> denominator of which is $10.00 and (b) in the case of an adjustment pursuant to the second paragraph under the heading </w:t>
      </w:r>
      <w:r>
        <w:rPr>
          <w:rFonts w:ascii="Times New Roman" w:cs="Times New Roman" w:eastAsia="Times New Roman" w:hAnsi="Times New Roman"/>
          <w:sz w:val="18"/>
          <w:szCs w:val="18"/>
          <w:i w:val="1"/>
          <w:iCs w:val="1"/>
          <w:color w:val="auto"/>
          <w:highlight w:val="white"/>
        </w:rPr>
        <w:t>“— Redemption Procedures — Anti-dilution Adjustments”</w:t>
      </w:r>
      <w:r>
        <w:rPr>
          <w:rFonts w:ascii="Times New Roman" w:cs="Times New Roman" w:eastAsia="Times New Roman" w:hAnsi="Times New Roman"/>
          <w:sz w:val="18"/>
          <w:szCs w:val="18"/>
          <w:color w:val="auto"/>
          <w:highlight w:val="white"/>
        </w:rPr>
        <w:t xml:space="preserve"> below, the adjusted share prices in the column headings will equal the unadjusted share prices less the decrease in the exercise price of a warrant pursuant to such exercise price adjustment.</w:t>
      </w:r>
    </w:p>
    <w:p>
      <w:pPr>
        <w:spacing w:after="0" w:line="200" w:lineRule="exact"/>
        <w:rPr>
          <w:sz w:val="20"/>
          <w:szCs w:val="20"/>
          <w:color w:val="auto"/>
        </w:rPr>
      </w:pP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95"/>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248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Fair Market Value of Ordinary Shares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5"/>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 to</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48"/>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expiration of warrants)</w:t>
            </w: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≤$10.00</w:t>
            </w: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$11.00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$12.00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$13.00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$14.00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$15.00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$16.00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$17.00</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≥$18.00</w:t>
            </w:r>
          </w:p>
        </w:tc>
      </w:tr>
      <w:tr>
        <w:trPr>
          <w:trHeight w:val="242"/>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0.261</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0.311</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0.277</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0.310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0.337</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0.358</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0.272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0.307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0.335</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0.357</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0.246</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0.268</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0.287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0.333</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0.346</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0.357</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0.263</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0.332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0.356</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0.235</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0.258</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0.315</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0.330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0.343</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0.356</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0.228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0.252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0.328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0.355</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0.221</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0.246</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0.269</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0.290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0.309</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0.325</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0.354</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0.213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0.239</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0.263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0.323</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0.353</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0.205</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0.232</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0.280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0.320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0.352</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0.224</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0.316</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0.351</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0.185</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0.214</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0.268</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0.313</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0.350</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0.173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0.204</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0.233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0.308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0.161</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0.193</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0.223</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0.304</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0.326</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0.179</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0.211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0.271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0.298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0.345</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0.130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0.164</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0.197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0.230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0.262</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0.291</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0.111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0.146</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0.282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0.090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0.125</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0.162</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0.199</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0.237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0.272</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0.336</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0.065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0.099</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0.137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0.178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0.219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0.259</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0.331</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5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0.034</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0.065</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0.104</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0.150</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0.197</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0.243</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0.286</w:t>
            </w:r>
          </w:p>
        </w:tc>
        <w:tc>
          <w:tcPr>
            <w:tcW w:w="1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0.361</w:t>
            </w:r>
          </w:p>
        </w:tc>
      </w:tr>
      <w:tr>
        <w:trPr>
          <w:trHeight w:val="26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0.042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0.115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0.179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0.233</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0.323</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0.361</w:t>
            </w:r>
          </w:p>
        </w:tc>
      </w:tr>
    </w:tbl>
    <w:p>
      <w:pPr>
        <w:sectPr>
          <w:pgSz w:w="11900" w:h="16838" w:orient="portrait"/>
          <w:cols w:equalWidth="0" w:num="1">
            <w:col w:w="9019"/>
          </w:cols>
          <w:pgMar w:left="1440" w:top="121" w:right="1440" w:bottom="0" w:gutter="0" w:footer="0" w:header="0"/>
        </w:sectPr>
      </w:pPr>
    </w:p>
    <w:bookmarkStart w:id="105" w:name="page106"/>
    <w:bookmarkEnd w:id="105"/>
    <w:p>
      <w:pPr>
        <w:ind w:left="760" w:right="879" w:firstLine="360"/>
        <w:spacing w:after="0" w:line="237" w:lineRule="auto"/>
        <w:rPr>
          <w:sz w:val="20"/>
          <w:szCs w:val="20"/>
          <w:color w:val="auto"/>
        </w:rPr>
      </w:pPr>
      <w:r>
        <w:rPr>
          <w:rFonts w:ascii="Times New Roman" w:cs="Times New Roman" w:eastAsia="Times New Roman" w:hAnsi="Times New Roman"/>
          <w:sz w:val="18"/>
          <w:szCs w:val="18"/>
          <w:color w:val="auto"/>
          <w:highlight w:val="white"/>
        </w:rPr>
        <w:t>The exact fair market value and redemption date may not be set forth in the table above, in which case, if the fair market value is between two values in the table or the redemption date is between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-222250</wp:posOffset>
            </wp:positionV>
            <wp:extent cx="713232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right="799"/>
        <w:spacing w:after="0" w:line="268" w:lineRule="auto"/>
        <w:rPr>
          <w:sz w:val="20"/>
          <w:szCs w:val="20"/>
          <w:color w:val="auto"/>
        </w:rPr>
      </w:pPr>
      <w:r>
        <w:rPr>
          <w:rFonts w:ascii="Times New Roman" w:cs="Times New Roman" w:eastAsia="Times New Roman" w:hAnsi="Times New Roman"/>
          <w:sz w:val="17"/>
          <w:szCs w:val="17"/>
          <w:color w:val="auto"/>
          <w:highlight w:val="white"/>
        </w:rPr>
        <w:t>redemption dates in the table, the number of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ordinary shares for each whole warrant. For an example where the exact fair market value and redemption date are not as set forth in the table above, if the volume-weighted average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ind w:left="760" w:right="779"/>
        <w:spacing w:after="0" w:line="254" w:lineRule="auto"/>
        <w:rPr>
          <w:sz w:val="20"/>
          <w:szCs w:val="20"/>
          <w:color w:val="auto"/>
        </w:rPr>
      </w:pPr>
      <w:r>
        <w:rPr>
          <w:rFonts w:ascii="Times New Roman" w:cs="Times New Roman" w:eastAsia="Times New Roman" w:hAnsi="Times New Roman"/>
          <w:sz w:val="18"/>
          <w:szCs w:val="18"/>
          <w:color w:val="auto"/>
          <w:highlight w:val="white"/>
        </w:rPr>
        <w:t>of our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ordinary shares for each whole warrant. In no event will the warrants be exercisable on a cashless basis in connection with this redemption feature for more than</w:t>
      </w:r>
    </w:p>
    <w:p>
      <w:pPr>
        <w:spacing w:after="0" w:line="3" w:lineRule="exact"/>
        <w:rPr>
          <w:sz w:val="20"/>
          <w:szCs w:val="20"/>
          <w:color w:val="auto"/>
        </w:rPr>
      </w:pPr>
    </w:p>
    <w:p>
      <w:pPr>
        <w:ind w:left="760" w:right="859"/>
        <w:spacing w:after="0" w:line="253" w:lineRule="auto"/>
        <w:rPr>
          <w:sz w:val="20"/>
          <w:szCs w:val="20"/>
          <w:color w:val="auto"/>
        </w:rPr>
      </w:pPr>
      <w:r>
        <w:rPr>
          <w:rFonts w:ascii="Times New Roman" w:cs="Times New Roman" w:eastAsia="Times New Roman" w:hAnsi="Times New Roman"/>
          <w:sz w:val="18"/>
          <w:szCs w:val="18"/>
          <w:color w:val="auto"/>
          <w:highlight w:val="white"/>
        </w:rPr>
        <w:t>0.361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ordinary shares.</w:t>
      </w:r>
    </w:p>
    <w:p>
      <w:pPr>
        <w:spacing w:after="0" w:line="1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highlight w:val="white"/>
        </w:rPr>
        <w:t>This redemption feature differs from the typical warrant redemption features used in many other</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blank check company offerings, which typically only provide for a redemption of warrants for cash</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(other than the private placement warrants) when the trading price for the ordinary shares exceeds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$18.00 per share for a specified period of time. This redemption feature is structured to allow for all of</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the outstanding warrants to be redeemed when the ordinary shares are trading at or above $10.00 per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public share, which may be at a time when the trading price of the ordinary shares is below the exercise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price of the warrants. This redemption feature was established to provide the flexibility to redeem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highlight w:val="white"/>
        </w:rPr>
        <w:t xml:space="preserve">warrants without the warrants having to reach the $18.00 per share threshold set forth above under </w:t>
      </w:r>
      <w:r>
        <w:rPr>
          <w:rFonts w:ascii="Times New Roman" w:cs="Times New Roman" w:eastAsia="Times New Roman" w:hAnsi="Times New Roman"/>
          <w:sz w:val="18"/>
          <w:szCs w:val="18"/>
          <w:i w:val="1"/>
          <w:iCs w:val="1"/>
          <w:color w:val="auto"/>
          <w:highlight w:val="white"/>
        </w:rPr>
        <w: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highlight w:val="white"/>
        </w:rPr>
        <w:t>Redemption of warrants when the price per ordinary share equals or exceeds $18.00</w:t>
      </w:r>
      <w:r>
        <w:rPr>
          <w:rFonts w:ascii="Times New Roman" w:cs="Times New Roman" w:eastAsia="Times New Roman" w:hAnsi="Times New Roman"/>
          <w:sz w:val="18"/>
          <w:szCs w:val="18"/>
          <w:color w:val="auto"/>
          <w:highlight w:val="white"/>
        </w:rPr>
        <w:t>.”</w:t>
      </w:r>
    </w:p>
    <w:p>
      <w:pPr>
        <w:spacing w:after="0" w:line="207" w:lineRule="exact"/>
        <w:rPr>
          <w:sz w:val="20"/>
          <w:szCs w:val="20"/>
          <w:color w:val="auto"/>
        </w:rPr>
      </w:pPr>
    </w:p>
    <w:p>
      <w:pPr>
        <w:ind w:left="760" w:right="87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As stated above, we can redeem the warrants when the ordinary shares are trading at a price starting at $10.00, which is below the exercise price of $11.50, because we will provide certainty with respect to our capital structure and cash position while providing warrant holders with the opportunity to exercise their warrants on a cashless 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wait to exercise their warrants for ordinary shares if and when such ordinary shares were trading at a price higher than the exercise price of $11.50.</w:t>
      </w:r>
    </w:p>
    <w:p>
      <w:pPr>
        <w:spacing w:after="0" w:line="19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highlight w:val="white"/>
        </w:rPr>
        <w:t>Redemption Procedures</w:t>
      </w:r>
    </w:p>
    <w:p>
      <w:pPr>
        <w:spacing w:after="0" w:line="227" w:lineRule="exact"/>
        <w:rPr>
          <w:sz w:val="20"/>
          <w:szCs w:val="20"/>
          <w:color w:val="auto"/>
        </w:rPr>
      </w:pPr>
    </w:p>
    <w:p>
      <w:pPr>
        <w:ind w:left="760" w:right="879" w:firstLine="360"/>
        <w:spacing w:after="0" w:line="258" w:lineRule="auto"/>
        <w:rPr>
          <w:sz w:val="20"/>
          <w:szCs w:val="20"/>
          <w:color w:val="auto"/>
        </w:rPr>
      </w:pPr>
      <w:r>
        <w:rPr>
          <w:rFonts w:ascii="Times New Roman" w:cs="Times New Roman" w:eastAsia="Times New Roman" w:hAnsi="Times New Roman"/>
          <w:sz w:val="18"/>
          <w:szCs w:val="18"/>
          <w:color w:val="auto"/>
          <w:highlight w:val="white"/>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spacing w:after="0" w:line="1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highlight w:val="white"/>
        </w:rPr>
        <w:t>Anti-dilution Adjustments</w:t>
      </w:r>
    </w:p>
    <w:p>
      <w:pPr>
        <w:spacing w:after="0" w:line="227" w:lineRule="exact"/>
        <w:rPr>
          <w:sz w:val="20"/>
          <w:szCs w:val="20"/>
          <w:color w:val="auto"/>
        </w:rPr>
      </w:pPr>
    </w:p>
    <w:p>
      <w:pPr>
        <w:ind w:left="760" w:right="839" w:firstLine="360"/>
        <w:spacing w:after="0" w:line="252" w:lineRule="auto"/>
        <w:rPr>
          <w:sz w:val="20"/>
          <w:szCs w:val="20"/>
          <w:color w:val="auto"/>
        </w:rPr>
      </w:pPr>
      <w:r>
        <w:rPr>
          <w:rFonts w:ascii="Times New Roman" w:cs="Times New Roman" w:eastAsia="Times New Roman" w:hAnsi="Times New Roman"/>
          <w:sz w:val="18"/>
          <w:szCs w:val="18"/>
          <w:color w:val="auto"/>
          <w:highlight w:val="white"/>
        </w:rPr>
        <w:t>If the number of outstanding ordinary shares is increased by a share capitalization payable in ordinary shares, or by a sub-division of ordinary shares or other similar event, then, on the effective date of such share capitalization, sub-division or similar event, the number of ordinary shares issuable on exercise of each warrant will be increased in proportion to such increase in the outstanding ordinary shares. A rights offering made to all or substantially all holders of ordinary shares entitling holders to purchase our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our ordinary shares) and (ii) the quotient of (x) the price per ordinary share paid in such rights offering and (y) the fair market value. For these purposes</w:t>
      </w:r>
    </w:p>
    <w:p>
      <w:pPr>
        <w:spacing w:after="0" w:line="5" w:lineRule="exact"/>
        <w:rPr>
          <w:sz w:val="20"/>
          <w:szCs w:val="20"/>
          <w:color w:val="auto"/>
        </w:rPr>
      </w:pPr>
    </w:p>
    <w:p>
      <w:pPr>
        <w:ind w:left="760" w:right="1259" w:firstLine="4"/>
        <w:spacing w:after="0" w:line="255" w:lineRule="auto"/>
        <w:tabs>
          <w:tab w:leader="none" w:pos="975" w:val="left"/>
        </w:tabs>
        <w:numPr>
          <w:ilvl w:val="0"/>
          <w:numId w:val="49"/>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if the rights offering is for securities convertible into or exercisable for our ordinary shares, in determining the price payable for the ordinary shares, there will be taken into account any consideration received for such rights, as well as any additional amount payable upon exercise or</w:t>
      </w:r>
    </w:p>
    <w:p>
      <w:pPr>
        <w:sectPr>
          <w:pgSz w:w="11900" w:h="16838" w:orient="portrait"/>
          <w:cols w:equalWidth="0" w:num="1">
            <w:col w:w="9019"/>
          </w:cols>
          <w:pgMar w:left="1440" w:top="81" w:right="1440" w:bottom="0" w:gutter="0" w:footer="0" w:header="0"/>
        </w:sectPr>
      </w:pPr>
    </w:p>
    <w:bookmarkStart w:id="106" w:name="page107"/>
    <w:bookmarkEnd w:id="106"/>
    <w:p>
      <w:pPr>
        <w:ind w:left="760" w:right="939"/>
        <w:spacing w:after="0" w:line="190" w:lineRule="auto"/>
        <w:rPr>
          <w:sz w:val="20"/>
          <w:szCs w:val="20"/>
          <w:color w:val="auto"/>
        </w:rPr>
      </w:pPr>
      <w:r>
        <w:rPr>
          <w:rFonts w:ascii="Times New Roman" w:cs="Times New Roman" w:eastAsia="Times New Roman" w:hAnsi="Times New Roman"/>
          <w:sz w:val="18"/>
          <w:szCs w:val="18"/>
          <w:color w:val="auto"/>
          <w:highlight w:val="white"/>
        </w:rPr>
        <w:t>conversion and (ii) fair market value means the volume weighted average price of the ordinary shares as reported during the 10 trading day period ending on the trading day prior to the first date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-170815</wp:posOffset>
            </wp:positionV>
            <wp:extent cx="713232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760" w:right="939"/>
        <w:spacing w:after="0" w:line="260" w:lineRule="auto"/>
        <w:rPr>
          <w:sz w:val="20"/>
          <w:szCs w:val="20"/>
          <w:color w:val="auto"/>
        </w:rPr>
      </w:pPr>
      <w:r>
        <w:rPr>
          <w:rFonts w:ascii="Times New Roman" w:cs="Times New Roman" w:eastAsia="Times New Roman" w:hAnsi="Times New Roman"/>
          <w:sz w:val="18"/>
          <w:szCs w:val="18"/>
          <w:color w:val="auto"/>
          <w:highlight w:val="white"/>
        </w:rPr>
        <w:t>the ordinary shares trade on the applicable exchange or in the applicable market, regular way, without the right to receive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ind w:left="760" w:right="779" w:firstLine="360"/>
        <w:spacing w:after="0" w:line="255" w:lineRule="auto"/>
        <w:rPr>
          <w:sz w:val="20"/>
          <w:szCs w:val="20"/>
          <w:color w:val="auto"/>
        </w:rPr>
      </w:pPr>
      <w:r>
        <w:rPr>
          <w:rFonts w:ascii="Times New Roman" w:cs="Times New Roman" w:eastAsia="Times New Roman" w:hAnsi="Times New Roman"/>
          <w:sz w:val="18"/>
          <w:szCs w:val="18"/>
          <w:color w:val="auto"/>
          <w:highlight w:val="white"/>
        </w:rPr>
        <w:t>In addition, if we, at any time while the warrants are outstanding and unexpired, pay a dividend or makes a distribution in cash, securities or other assets to the holders of all or substantially all of its ordinary shares on account of such ordinary shares (or other securities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89" w:lineRule="exact"/>
        <w:rPr>
          <w:sz w:val="20"/>
          <w:szCs w:val="20"/>
          <w:color w:val="auto"/>
        </w:rPr>
      </w:pPr>
    </w:p>
    <w:p>
      <w:pPr>
        <w:ind w:left="760" w:right="819" w:firstLine="360"/>
        <w:spacing w:after="0" w:line="258" w:lineRule="auto"/>
        <w:rPr>
          <w:sz w:val="20"/>
          <w:szCs w:val="20"/>
          <w:color w:val="auto"/>
        </w:rPr>
      </w:pPr>
      <w:r>
        <w:rPr>
          <w:rFonts w:ascii="Times New Roman" w:cs="Times New Roman" w:eastAsia="Times New Roman" w:hAnsi="Times New Roman"/>
          <w:sz w:val="18"/>
          <w:szCs w:val="18"/>
          <w:color w:val="auto"/>
          <w:highlight w:val="white"/>
        </w:rPr>
        <w:t>If, the number of outstanding ordinary shares is decreased by a consolidation, combination, reverse share sub-division or reclassification of the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the outstanding ordinary shares.</w:t>
      </w:r>
    </w:p>
    <w:p>
      <w:pPr>
        <w:spacing w:after="0" w:line="183" w:lineRule="exact"/>
        <w:rPr>
          <w:sz w:val="20"/>
          <w:szCs w:val="20"/>
          <w:color w:val="auto"/>
        </w:rPr>
      </w:pPr>
    </w:p>
    <w:p>
      <w:pPr>
        <w:ind w:left="760" w:right="779" w:firstLine="360"/>
        <w:spacing w:after="0" w:line="256" w:lineRule="auto"/>
        <w:rPr>
          <w:sz w:val="20"/>
          <w:szCs w:val="20"/>
          <w:color w:val="auto"/>
        </w:rPr>
      </w:pPr>
      <w:r>
        <w:rPr>
          <w:rFonts w:ascii="Times New Roman" w:cs="Times New Roman" w:eastAsia="Times New Roman" w:hAnsi="Times New Roman"/>
          <w:sz w:val="18"/>
          <w:szCs w:val="18"/>
          <w:color w:val="auto"/>
          <w:highlight w:val="white"/>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7" w:lineRule="exact"/>
        <w:rPr>
          <w:sz w:val="20"/>
          <w:szCs w:val="20"/>
          <w:color w:val="auto"/>
        </w:rPr>
      </w:pPr>
    </w:p>
    <w:p>
      <w:pPr>
        <w:ind w:left="760" w:right="799" w:firstLine="360"/>
        <w:spacing w:after="0" w:line="251" w:lineRule="auto"/>
        <w:rPr>
          <w:sz w:val="20"/>
          <w:szCs w:val="20"/>
          <w:color w:val="auto"/>
        </w:rPr>
      </w:pPr>
      <w:r>
        <w:rPr>
          <w:rFonts w:ascii="Times New Roman" w:cs="Times New Roman" w:eastAsia="Times New Roman" w:hAnsi="Times New Roman"/>
          <w:sz w:val="18"/>
          <w:szCs w:val="18"/>
          <w:color w:val="auto"/>
          <w:highlight w:val="white"/>
        </w:rPr>
        <w:t>In case of any reclassification or reorganization of the outstanding ordinary shares (other than those described above or that solely affects the par value of such ordinary shares), or in the case of any merger or consolidation of Taboola with or into another corporation (other than a consolidation or merger in which Taboola is the continuing corporation and that does not result in any reclassification or reorganization of Taboola’s issued and outstanding ordinary shares), or in the case of any sale or conveyance to another corporation or entity of the assets or other property of Taboola as an entirety or substantially as an entirety in connection with which Taboola is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the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assignment, assumption and amendment agreement based on the Black-Scholes Warrant Value (as defined in the warrant assignment, assumption and amendment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5" w:lineRule="exact"/>
        <w:rPr>
          <w:sz w:val="20"/>
          <w:szCs w:val="20"/>
          <w:color w:val="auto"/>
        </w:rPr>
      </w:pPr>
    </w:p>
    <w:p>
      <w:pPr>
        <w:ind w:left="760" w:right="77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The warrant assignment, assumption and amendment agreement provides that the terms of the warrants may be amended without the consent of any holder for the purpose of (i) curing any ambiguity or to correct any defective provision or mistake, including to conform the provisions of the warrant assignment, assumption and amendment agreement to the description of the terms of the warrants and the warrant assignment, assumption and amendment agreement set forth in this prospectus,</w:t>
      </w:r>
    </w:p>
    <w:p>
      <w:pPr>
        <w:spacing w:after="0" w:line="3" w:lineRule="exact"/>
        <w:rPr>
          <w:sz w:val="20"/>
          <w:szCs w:val="20"/>
          <w:color w:val="auto"/>
        </w:rPr>
      </w:pPr>
    </w:p>
    <w:p>
      <w:pPr>
        <w:ind w:left="760" w:right="799" w:firstLine="4"/>
        <w:spacing w:after="0" w:line="269" w:lineRule="auto"/>
        <w:tabs>
          <w:tab w:leader="none" w:pos="1025" w:val="left"/>
        </w:tabs>
        <w:numPr>
          <w:ilvl w:val="0"/>
          <w:numId w:val="50"/>
        </w:numPr>
        <w:rPr>
          <w:rFonts w:ascii="Times New Roman" w:cs="Times New Roman" w:eastAsia="Times New Roman" w:hAnsi="Times New Roman"/>
          <w:sz w:val="17"/>
          <w:szCs w:val="17"/>
          <w:color w:val="auto"/>
          <w:highlight w:val="white"/>
        </w:rPr>
      </w:pPr>
      <w:r>
        <w:rPr>
          <w:rFonts w:ascii="Times New Roman" w:cs="Times New Roman" w:eastAsia="Times New Roman" w:hAnsi="Times New Roman"/>
          <w:sz w:val="17"/>
          <w:szCs w:val="17"/>
          <w:color w:val="auto"/>
          <w:highlight w:val="white"/>
        </w:rPr>
        <w:t>adjusting the provisions relating to cash dividends on ordinary shares as contemplated by and in accordance with the warrant assignment, assumption and amendment agreement or (iii) adding or changing any provisions with respect to matters or questions arising under the warrant assignment, assumption and amendment agreement as the parties to the warrant assignment, assumption and amendment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w:t>
      </w:r>
    </w:p>
    <w:p>
      <w:pPr>
        <w:sectPr>
          <w:pgSz w:w="11900" w:h="16838" w:orient="portrait"/>
          <w:cols w:equalWidth="0" w:num="1">
            <w:col w:w="9019"/>
          </w:cols>
          <w:pgMar w:left="1440" w:top="81" w:right="1440" w:bottom="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b w:val="1"/>
          <w:bCs w:val="1"/>
          <w:color w:val="auto"/>
          <w:highlight w:val="white"/>
        </w:rPr>
        <w:t>Exhibit 4.1</w:t>
      </w:r>
    </w:p>
    <w:p>
      <w:pPr>
        <w:spacing w:after="0" w:line="254" w:lineRule="exact"/>
        <w:rPr>
          <w:sz w:val="20"/>
          <w:szCs w:val="20"/>
          <w:color w:val="auto"/>
        </w:rPr>
      </w:pPr>
    </w:p>
    <w:p>
      <w:pPr>
        <w:ind w:left="760" w:right="899"/>
        <w:spacing w:after="0" w:line="261" w:lineRule="auto"/>
        <w:rPr>
          <w:sz w:val="20"/>
          <w:szCs w:val="20"/>
          <w:color w:val="auto"/>
        </w:rPr>
      </w:pPr>
      <w:r>
        <w:rPr>
          <w:rFonts w:ascii="Times New Roman" w:cs="Times New Roman" w:eastAsia="Times New Roman" w:hAnsi="Times New Roman"/>
          <w:sz w:val="18"/>
          <w:szCs w:val="18"/>
          <w:color w:val="auto"/>
          <w:highlight w:val="white"/>
        </w:rPr>
        <w:t>the interests of the registered holders of public warrants, and, solely with respect to any amendment to the terms of the private placement warrants, 50% of the then outstanding private placement warrants. You should review a copy of the warrant assignment, assumption and amendment agreement for a complete description of the terms and conditions applicable to the warrants.</w:t>
      </w:r>
    </w:p>
    <w:p>
      <w:pPr>
        <w:spacing w:after="0" w:line="180" w:lineRule="exact"/>
        <w:rPr>
          <w:sz w:val="20"/>
          <w:szCs w:val="20"/>
          <w:color w:val="auto"/>
        </w:rPr>
      </w:pPr>
    </w:p>
    <w:p>
      <w:pPr>
        <w:ind w:left="760" w:right="819" w:firstLine="360"/>
        <w:spacing w:after="0" w:line="254" w:lineRule="auto"/>
        <w:rPr>
          <w:sz w:val="20"/>
          <w:szCs w:val="20"/>
          <w:color w:val="auto"/>
        </w:rPr>
      </w:pPr>
      <w:r>
        <w:rPr>
          <w:rFonts w:ascii="Times New Roman" w:cs="Times New Roman" w:eastAsia="Times New Roman" w:hAnsi="Times New Roman"/>
          <w:sz w:val="18"/>
          <w:szCs w:val="18"/>
          <w:color w:val="auto"/>
          <w:highlight w:val="white"/>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36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Exhibit 19</w:t>
      </w:r>
    </w:p>
    <w:p>
      <w:pPr>
        <w:spacing w:after="0" w:line="200" w:lineRule="exact"/>
        <w:rPr>
          <w:sz w:val="20"/>
          <w:szCs w:val="20"/>
          <w:color w:val="auto"/>
        </w:rPr>
      </w:pP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Insider Trading Compliance Policy</w:t>
      </w:r>
    </w:p>
    <w:p>
      <w:pPr>
        <w:spacing w:after="0" w:line="2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Adopted April 11, 2021</w:t>
      </w:r>
    </w:p>
    <w:p>
      <w:pPr>
        <w:spacing w:after="0" w:line="14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(as amended through November 5, 2024)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0120"/>
          </w:cols>
          <w:pgMar w:left="1440" w:top="1440" w:right="339" w:bottom="1440" w:gutter="0" w:footer="0" w:header="0"/>
        </w:sectPr>
      </w:pPr>
    </w:p>
    <w:bookmarkStart w:id="109" w:name="page110"/>
    <w:bookmarkEnd w:id="109"/>
    <w:p>
      <w:pPr>
        <w:spacing w:after="0" w:line="9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Calibri" w:cs="Calibri" w:eastAsia="Calibri" w:hAnsi="Calibri"/>
                <w:sz w:val="18"/>
                <w:szCs w:val="18"/>
                <w:color w:val="auto"/>
                <w:w w:val="92"/>
              </w:rPr>
              <w:t>Page No.</w:t>
            </w:r>
          </w:p>
        </w:tc>
      </w:tr>
      <w:tr>
        <w:trPr>
          <w:trHeight w:val="199"/>
        </w:trPr>
        <w:tc>
          <w:tcPr>
            <w:tcW w:w="1580" w:type="dxa"/>
            <w:vAlign w:val="bottom"/>
          </w:tcPr>
          <w:p>
            <w:pPr>
              <w:spacing w:after="0" w:line="199" w:lineRule="exact"/>
              <w:rPr>
                <w:sz w:val="20"/>
                <w:szCs w:val="20"/>
                <w:color w:val="auto"/>
              </w:rPr>
            </w:pPr>
            <w:r>
              <w:rPr>
                <w:rFonts w:ascii="Calibri" w:cs="Calibri" w:eastAsia="Calibri" w:hAnsi="Calibri"/>
                <w:sz w:val="18"/>
                <w:szCs w:val="18"/>
                <w:color w:val="auto"/>
              </w:rPr>
              <w:t>I.</w:t>
            </w:r>
          </w:p>
        </w:tc>
        <w:tc>
          <w:tcPr>
            <w:tcW w:w="8580" w:type="dxa"/>
            <w:vAlign w:val="bottom"/>
            <w:gridSpan w:val="17"/>
          </w:tcPr>
          <w:p>
            <w:pPr>
              <w:spacing w:after="0" w:line="199" w:lineRule="exact"/>
              <w:rPr>
                <w:sz w:val="20"/>
                <w:szCs w:val="20"/>
                <w:color w:val="auto"/>
              </w:rPr>
            </w:pPr>
            <w:r>
              <w:rPr>
                <w:rFonts w:ascii="Calibri" w:cs="Calibri" w:eastAsia="Calibri" w:hAnsi="Calibri"/>
                <w:sz w:val="18"/>
                <w:szCs w:val="18"/>
                <w:color w:val="0000FF"/>
              </w:rPr>
              <w:t>Summary</w:t>
            </w:r>
          </w:p>
        </w:tc>
        <w:tc>
          <w:tcPr>
            <w:tcW w:w="180" w:type="dxa"/>
            <w:vAlign w:val="bottom"/>
            <w:gridSpan w:val="2"/>
          </w:tcPr>
          <w:p>
            <w:pPr>
              <w:spacing w:after="0" w:line="199" w:lineRule="exact"/>
              <w:rPr>
                <w:sz w:val="20"/>
                <w:szCs w:val="20"/>
                <w:color w:val="auto"/>
              </w:rPr>
            </w:pPr>
            <w:r>
              <w:rPr>
                <w:rFonts w:ascii="Calibri" w:cs="Calibri" w:eastAsia="Calibri" w:hAnsi="Calibri"/>
                <w:sz w:val="18"/>
                <w:szCs w:val="18"/>
                <w:color w:val="0000FF"/>
              </w:rPr>
              <w:t>2</w:t>
            </w:r>
          </w:p>
        </w:tc>
        <w:tc>
          <w:tcPr>
            <w:tcW w:w="44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II.</w:t>
            </w:r>
          </w:p>
        </w:tc>
        <w:tc>
          <w:tcPr>
            <w:tcW w:w="8580" w:type="dxa"/>
            <w:vAlign w:val="bottom"/>
            <w:gridSpan w:val="17"/>
          </w:tcPr>
          <w:p>
            <w:pPr>
              <w:spacing w:after="0" w:line="209" w:lineRule="exact"/>
              <w:rPr>
                <w:sz w:val="20"/>
                <w:szCs w:val="20"/>
                <w:color w:val="auto"/>
              </w:rPr>
            </w:pPr>
            <w:r>
              <w:rPr>
                <w:rFonts w:ascii="Calibri" w:cs="Calibri" w:eastAsia="Calibri" w:hAnsi="Calibri"/>
                <w:sz w:val="18"/>
                <w:szCs w:val="18"/>
                <w:color w:val="0000FF"/>
              </w:rPr>
              <w:t>The Use of Inside Informaton in Connecton with Trading in Securites</w:t>
            </w: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2</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rPr>
                <w:sz w:val="18"/>
                <w:szCs w:val="18"/>
                <w:color w:val="auto"/>
              </w:rPr>
            </w:pPr>
          </w:p>
        </w:tc>
        <w:tc>
          <w:tcPr>
            <w:tcW w:w="1140" w:type="dxa"/>
            <w:vAlign w:val="bottom"/>
            <w:gridSpan w:val="2"/>
          </w:tcPr>
          <w:p>
            <w:pPr>
              <w:spacing w:after="0" w:line="209" w:lineRule="exact"/>
              <w:rPr>
                <w:sz w:val="20"/>
                <w:szCs w:val="20"/>
                <w:color w:val="auto"/>
              </w:rPr>
            </w:pPr>
            <w:r>
              <w:rPr>
                <w:rFonts w:ascii="Calibri" w:cs="Calibri" w:eastAsia="Calibri" w:hAnsi="Calibri"/>
                <w:sz w:val="18"/>
                <w:szCs w:val="18"/>
                <w:color w:val="0000FF"/>
                <w:w w:val="90"/>
              </w:rPr>
              <w:t>A . General Rule.</w:t>
            </w:r>
          </w:p>
        </w:tc>
        <w:tc>
          <w:tcPr>
            <w:tcW w:w="3820" w:type="dxa"/>
            <w:vAlign w:val="bottom"/>
            <w:gridSpan w:val="14"/>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2</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rPr>
                <w:sz w:val="18"/>
                <w:szCs w:val="18"/>
                <w:color w:val="auto"/>
              </w:rPr>
            </w:pPr>
          </w:p>
        </w:tc>
        <w:tc>
          <w:tcPr>
            <w:tcW w:w="8580" w:type="dxa"/>
            <w:vAlign w:val="bottom"/>
            <w:gridSpan w:val="17"/>
          </w:tcPr>
          <w:p>
            <w:pPr>
              <w:spacing w:after="0" w:line="209" w:lineRule="exact"/>
              <w:rPr>
                <w:sz w:val="20"/>
                <w:szCs w:val="20"/>
                <w:color w:val="auto"/>
              </w:rPr>
            </w:pPr>
            <w:r>
              <w:rPr>
                <w:rFonts w:ascii="Calibri" w:cs="Calibri" w:eastAsia="Calibri" w:hAnsi="Calibri"/>
                <w:sz w:val="18"/>
                <w:szCs w:val="18"/>
                <w:color w:val="0000FF"/>
              </w:rPr>
              <w:t>B . Who Does the Policy Apply To?</w:t>
            </w: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4</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III.</w:t>
            </w:r>
          </w:p>
        </w:tc>
        <w:tc>
          <w:tcPr>
            <w:tcW w:w="1680" w:type="dxa"/>
            <w:vAlign w:val="bottom"/>
            <w:gridSpan w:val="3"/>
          </w:tcPr>
          <w:p>
            <w:pPr>
              <w:spacing w:after="0" w:line="209" w:lineRule="exact"/>
              <w:rPr>
                <w:sz w:val="20"/>
                <w:szCs w:val="20"/>
                <w:color w:val="auto"/>
              </w:rPr>
            </w:pPr>
            <w:r>
              <w:rPr>
                <w:rFonts w:ascii="Calibri" w:cs="Calibri" w:eastAsia="Calibri" w:hAnsi="Calibri"/>
                <w:sz w:val="18"/>
                <w:szCs w:val="18"/>
                <w:color w:val="0000FF"/>
                <w:w w:val="98"/>
              </w:rPr>
              <w:t>Prohibited Transactons</w:t>
            </w:r>
          </w:p>
        </w:tc>
        <w:tc>
          <w:tcPr>
            <w:tcW w:w="740" w:type="dxa"/>
            <w:vAlign w:val="bottom"/>
            <w:gridSpan w:val="5"/>
          </w:tcPr>
          <w:p>
            <w:pPr>
              <w:spacing w:after="0"/>
              <w:rPr>
                <w:sz w:val="18"/>
                <w:szCs w:val="18"/>
                <w:color w:val="auto"/>
              </w:rPr>
            </w:pPr>
          </w:p>
        </w:tc>
        <w:tc>
          <w:tcPr>
            <w:tcW w:w="6160" w:type="dxa"/>
            <w:vAlign w:val="bottom"/>
            <w:gridSpan w:val="9"/>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5</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rPr>
                <w:sz w:val="18"/>
                <w:szCs w:val="18"/>
                <w:color w:val="auto"/>
              </w:rPr>
            </w:pPr>
          </w:p>
        </w:tc>
        <w:tc>
          <w:tcPr>
            <w:tcW w:w="2000" w:type="dxa"/>
            <w:vAlign w:val="bottom"/>
            <w:gridSpan w:val="5"/>
          </w:tcPr>
          <w:p>
            <w:pPr>
              <w:spacing w:after="0" w:line="209" w:lineRule="exact"/>
              <w:rPr>
                <w:sz w:val="20"/>
                <w:szCs w:val="20"/>
                <w:color w:val="auto"/>
              </w:rPr>
            </w:pPr>
            <w:r>
              <w:rPr>
                <w:rFonts w:ascii="Calibri" w:cs="Calibri" w:eastAsia="Calibri" w:hAnsi="Calibri"/>
                <w:sz w:val="18"/>
                <w:szCs w:val="18"/>
                <w:color w:val="0000FF"/>
                <w:w w:val="97"/>
              </w:rPr>
              <w:t>A . Other Companies’ Stock.</w:t>
            </w:r>
          </w:p>
        </w:tc>
        <w:tc>
          <w:tcPr>
            <w:tcW w:w="6580" w:type="dxa"/>
            <w:vAlign w:val="bottom"/>
            <w:gridSpan w:val="12"/>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5</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580" w:type="dxa"/>
            <w:vAlign w:val="bottom"/>
          </w:tcPr>
          <w:p>
            <w:pPr>
              <w:spacing w:after="0"/>
              <w:rPr>
                <w:sz w:val="18"/>
                <w:szCs w:val="18"/>
                <w:color w:val="auto"/>
              </w:rPr>
            </w:pPr>
          </w:p>
        </w:tc>
        <w:tc>
          <w:tcPr>
            <w:tcW w:w="8580" w:type="dxa"/>
            <w:vAlign w:val="bottom"/>
            <w:gridSpan w:val="17"/>
          </w:tcPr>
          <w:p>
            <w:pPr>
              <w:spacing w:after="0" w:line="209" w:lineRule="exact"/>
              <w:rPr>
                <w:sz w:val="20"/>
                <w:szCs w:val="20"/>
                <w:color w:val="auto"/>
              </w:rPr>
            </w:pPr>
            <w:r>
              <w:rPr>
                <w:rFonts w:ascii="Calibri" w:cs="Calibri" w:eastAsia="Calibri" w:hAnsi="Calibri"/>
                <w:sz w:val="18"/>
                <w:szCs w:val="18"/>
                <w:color w:val="0000FF"/>
              </w:rPr>
              <w:t>B . Short Selling, Hedging and Derivatves.</w:t>
            </w: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5</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rPr>
                <w:sz w:val="18"/>
                <w:szCs w:val="18"/>
                <w:color w:val="auto"/>
              </w:rPr>
            </w:pPr>
          </w:p>
        </w:tc>
        <w:tc>
          <w:tcPr>
            <w:tcW w:w="3080" w:type="dxa"/>
            <w:vAlign w:val="bottom"/>
            <w:gridSpan w:val="10"/>
          </w:tcPr>
          <w:p>
            <w:pPr>
              <w:spacing w:after="0" w:line="209" w:lineRule="exact"/>
              <w:rPr>
                <w:sz w:val="20"/>
                <w:szCs w:val="20"/>
                <w:color w:val="auto"/>
              </w:rPr>
            </w:pPr>
            <w:r>
              <w:rPr>
                <w:rFonts w:ascii="Calibri" w:cs="Calibri" w:eastAsia="Calibri" w:hAnsi="Calibri"/>
                <w:sz w:val="18"/>
                <w:szCs w:val="18"/>
                <w:color w:val="0000FF"/>
                <w:w w:val="98"/>
              </w:rPr>
              <w:t>C . Pledging of Securites, Margin Accounts.</w:t>
            </w:r>
          </w:p>
        </w:tc>
        <w:tc>
          <w:tcPr>
            <w:tcW w:w="5500" w:type="dxa"/>
            <w:vAlign w:val="bottom"/>
            <w:gridSpan w:val="7"/>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6</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rPr>
                <w:sz w:val="18"/>
                <w:szCs w:val="18"/>
                <w:color w:val="auto"/>
              </w:rPr>
            </w:pPr>
          </w:p>
        </w:tc>
        <w:tc>
          <w:tcPr>
            <w:tcW w:w="3080" w:type="dxa"/>
            <w:vAlign w:val="bottom"/>
            <w:gridSpan w:val="10"/>
          </w:tcPr>
          <w:p>
            <w:pPr>
              <w:spacing w:after="0" w:line="209" w:lineRule="exact"/>
              <w:rPr>
                <w:sz w:val="20"/>
                <w:szCs w:val="20"/>
                <w:color w:val="auto"/>
              </w:rPr>
            </w:pPr>
            <w:r>
              <w:rPr>
                <w:rFonts w:ascii="Calibri" w:cs="Calibri" w:eastAsia="Calibri" w:hAnsi="Calibri"/>
                <w:sz w:val="18"/>
                <w:szCs w:val="18"/>
                <w:color w:val="0000FF"/>
              </w:rPr>
              <w:t>D . Open Orders</w:t>
            </w:r>
          </w:p>
        </w:tc>
        <w:tc>
          <w:tcPr>
            <w:tcW w:w="5500" w:type="dxa"/>
            <w:vAlign w:val="bottom"/>
            <w:gridSpan w:val="7"/>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6</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580" w:type="dxa"/>
            <w:vAlign w:val="bottom"/>
          </w:tcPr>
          <w:p>
            <w:pPr>
              <w:spacing w:after="0"/>
              <w:rPr>
                <w:sz w:val="18"/>
                <w:szCs w:val="18"/>
                <w:color w:val="auto"/>
              </w:rPr>
            </w:pPr>
          </w:p>
        </w:tc>
        <w:tc>
          <w:tcPr>
            <w:tcW w:w="8580" w:type="dxa"/>
            <w:vAlign w:val="bottom"/>
            <w:gridSpan w:val="17"/>
          </w:tcPr>
          <w:p>
            <w:pPr>
              <w:spacing w:after="0" w:line="209" w:lineRule="exact"/>
              <w:rPr>
                <w:sz w:val="20"/>
                <w:szCs w:val="20"/>
                <w:color w:val="auto"/>
              </w:rPr>
            </w:pPr>
            <w:r>
              <w:rPr>
                <w:rFonts w:ascii="Calibri" w:cs="Calibri" w:eastAsia="Calibri" w:hAnsi="Calibri"/>
                <w:sz w:val="18"/>
                <w:szCs w:val="18"/>
                <w:color w:val="0000FF"/>
              </w:rPr>
              <w:t>E . Gifs and Charitable Donatons</w:t>
            </w: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6</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IV.</w:t>
            </w:r>
          </w:p>
        </w:tc>
        <w:tc>
          <w:tcPr>
            <w:tcW w:w="1820" w:type="dxa"/>
            <w:vAlign w:val="bottom"/>
            <w:gridSpan w:val="4"/>
          </w:tcPr>
          <w:p>
            <w:pPr>
              <w:spacing w:after="0" w:line="209" w:lineRule="exact"/>
              <w:rPr>
                <w:sz w:val="20"/>
                <w:szCs w:val="20"/>
                <w:color w:val="auto"/>
              </w:rPr>
            </w:pPr>
            <w:r>
              <w:rPr>
                <w:rFonts w:ascii="Calibri" w:cs="Calibri" w:eastAsia="Calibri" w:hAnsi="Calibri"/>
                <w:sz w:val="18"/>
                <w:szCs w:val="18"/>
                <w:color w:val="0000FF"/>
                <w:w w:val="96"/>
              </w:rPr>
              <w:t>General Policy Guidelines</w:t>
            </w:r>
          </w:p>
        </w:tc>
        <w:tc>
          <w:tcPr>
            <w:tcW w:w="560" w:type="dxa"/>
            <w:vAlign w:val="bottom"/>
            <w:gridSpan w:val="3"/>
          </w:tcPr>
          <w:p>
            <w:pPr>
              <w:spacing w:after="0"/>
              <w:rPr>
                <w:sz w:val="18"/>
                <w:szCs w:val="18"/>
                <w:color w:val="auto"/>
              </w:rPr>
            </w:pPr>
          </w:p>
        </w:tc>
        <w:tc>
          <w:tcPr>
            <w:tcW w:w="6200" w:type="dxa"/>
            <w:vAlign w:val="bottom"/>
            <w:gridSpan w:val="10"/>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6</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V.</w:t>
            </w:r>
          </w:p>
        </w:tc>
        <w:tc>
          <w:tcPr>
            <w:tcW w:w="3120" w:type="dxa"/>
            <w:vAlign w:val="bottom"/>
            <w:gridSpan w:val="11"/>
          </w:tcPr>
          <w:p>
            <w:pPr>
              <w:spacing w:after="0" w:line="209" w:lineRule="exact"/>
              <w:rPr>
                <w:sz w:val="20"/>
                <w:szCs w:val="20"/>
                <w:color w:val="auto"/>
              </w:rPr>
            </w:pPr>
            <w:r>
              <w:rPr>
                <w:rFonts w:ascii="Calibri" w:cs="Calibri" w:eastAsia="Calibri" w:hAnsi="Calibri"/>
                <w:sz w:val="18"/>
                <w:szCs w:val="18"/>
                <w:color w:val="0000FF"/>
                <w:w w:val="97"/>
              </w:rPr>
              <w:t>Adopton and Eﬀect of 10b5-1 Trading Plans</w:t>
            </w:r>
          </w:p>
        </w:tc>
        <w:tc>
          <w:tcPr>
            <w:tcW w:w="5460" w:type="dxa"/>
            <w:vAlign w:val="bottom"/>
            <w:gridSpan w:val="6"/>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9</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VI.</w:t>
            </w:r>
          </w:p>
        </w:tc>
        <w:tc>
          <w:tcPr>
            <w:tcW w:w="8580" w:type="dxa"/>
            <w:vAlign w:val="bottom"/>
            <w:gridSpan w:val="17"/>
          </w:tcPr>
          <w:p>
            <w:pPr>
              <w:spacing w:after="0" w:line="209" w:lineRule="exact"/>
              <w:rPr>
                <w:sz w:val="20"/>
                <w:szCs w:val="20"/>
                <w:color w:val="auto"/>
              </w:rPr>
            </w:pPr>
            <w:r>
              <w:rPr>
                <w:rFonts w:ascii="Calibri" w:cs="Calibri" w:eastAsia="Calibri" w:hAnsi="Calibri"/>
                <w:sz w:val="18"/>
                <w:szCs w:val="18"/>
                <w:color w:val="0000FF"/>
              </w:rPr>
              <w:t>Applicability of U.S. Securites Laws to Internatonal Transactons</w:t>
            </w: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9</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VII.</w:t>
            </w:r>
          </w:p>
        </w:tc>
        <w:tc>
          <w:tcPr>
            <w:tcW w:w="2000" w:type="dxa"/>
            <w:vAlign w:val="bottom"/>
            <w:gridSpan w:val="5"/>
          </w:tcPr>
          <w:p>
            <w:pPr>
              <w:spacing w:after="0" w:line="209" w:lineRule="exact"/>
              <w:rPr>
                <w:sz w:val="20"/>
                <w:szCs w:val="20"/>
                <w:color w:val="auto"/>
              </w:rPr>
            </w:pPr>
            <w:r>
              <w:rPr>
                <w:rFonts w:ascii="Calibri" w:cs="Calibri" w:eastAsia="Calibri" w:hAnsi="Calibri"/>
                <w:sz w:val="18"/>
                <w:szCs w:val="18"/>
                <w:color w:val="0000FF"/>
                <w:w w:val="98"/>
              </w:rPr>
              <w:t>Consequences for Violaton.</w:t>
            </w:r>
          </w:p>
        </w:tc>
        <w:tc>
          <w:tcPr>
            <w:tcW w:w="2580" w:type="dxa"/>
            <w:vAlign w:val="bottom"/>
            <w:gridSpan w:val="10"/>
          </w:tcPr>
          <w:p>
            <w:pPr>
              <w:spacing w:after="0"/>
              <w:rPr>
                <w:sz w:val="18"/>
                <w:szCs w:val="18"/>
                <w:color w:val="auto"/>
              </w:rPr>
            </w:pPr>
          </w:p>
        </w:tc>
        <w:tc>
          <w:tcPr>
            <w:tcW w:w="4000" w:type="dxa"/>
            <w:vAlign w:val="bottom"/>
            <w:gridSpan w:val="2"/>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9</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VIII.</w:t>
            </w:r>
          </w:p>
        </w:tc>
        <w:tc>
          <w:tcPr>
            <w:tcW w:w="3620" w:type="dxa"/>
            <w:vAlign w:val="bottom"/>
            <w:gridSpan w:val="12"/>
          </w:tcPr>
          <w:p>
            <w:pPr>
              <w:spacing w:after="0" w:line="209" w:lineRule="exact"/>
              <w:rPr>
                <w:sz w:val="20"/>
                <w:szCs w:val="20"/>
                <w:color w:val="auto"/>
              </w:rPr>
            </w:pPr>
            <w:r>
              <w:rPr>
                <w:rFonts w:ascii="Calibri" w:cs="Calibri" w:eastAsia="Calibri" w:hAnsi="Calibri"/>
                <w:sz w:val="18"/>
                <w:szCs w:val="18"/>
                <w:color w:val="0000FF"/>
                <w:w w:val="99"/>
              </w:rPr>
              <w:t>Acknowledgement and Certficaton of Compliance</w:t>
            </w:r>
          </w:p>
        </w:tc>
        <w:tc>
          <w:tcPr>
            <w:tcW w:w="4960" w:type="dxa"/>
            <w:vAlign w:val="bottom"/>
            <w:gridSpan w:val="5"/>
          </w:tcPr>
          <w:p>
            <w:pPr>
              <w:spacing w:after="0"/>
              <w:rPr>
                <w:sz w:val="18"/>
                <w:szCs w:val="18"/>
                <w:color w:val="auto"/>
              </w:rPr>
            </w:pPr>
          </w:p>
        </w:tc>
        <w:tc>
          <w:tcPr>
            <w:tcW w:w="180" w:type="dxa"/>
            <w:vAlign w:val="bottom"/>
            <w:gridSpan w:val="2"/>
          </w:tcPr>
          <w:p>
            <w:pPr>
              <w:spacing w:after="0" w:line="209" w:lineRule="exact"/>
              <w:rPr>
                <w:sz w:val="20"/>
                <w:szCs w:val="20"/>
                <w:color w:val="auto"/>
              </w:rPr>
            </w:pPr>
            <w:r>
              <w:rPr>
                <w:rFonts w:ascii="Calibri" w:cs="Calibri" w:eastAsia="Calibri" w:hAnsi="Calibri"/>
                <w:sz w:val="18"/>
                <w:szCs w:val="18"/>
                <w:color w:val="0000FF"/>
              </w:rPr>
              <w:t>9</w:t>
            </w:r>
          </w:p>
        </w:tc>
        <w:tc>
          <w:tcPr>
            <w:tcW w:w="44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IX.</w:t>
            </w:r>
          </w:p>
        </w:tc>
        <w:tc>
          <w:tcPr>
            <w:tcW w:w="3620" w:type="dxa"/>
            <w:vAlign w:val="bottom"/>
            <w:gridSpan w:val="12"/>
          </w:tcPr>
          <w:p>
            <w:pPr>
              <w:spacing w:after="0" w:line="209" w:lineRule="exact"/>
              <w:rPr>
                <w:sz w:val="20"/>
                <w:szCs w:val="20"/>
                <w:color w:val="auto"/>
              </w:rPr>
            </w:pPr>
            <w:r>
              <w:rPr>
                <w:rFonts w:ascii="Calibri" w:cs="Calibri" w:eastAsia="Calibri" w:hAnsi="Calibri"/>
                <w:sz w:val="18"/>
                <w:szCs w:val="18"/>
                <w:color w:val="0000FF"/>
              </w:rPr>
              <w:t>Administraton and Interpretaton</w:t>
            </w:r>
          </w:p>
        </w:tc>
        <w:tc>
          <w:tcPr>
            <w:tcW w:w="4960" w:type="dxa"/>
            <w:vAlign w:val="bottom"/>
            <w:gridSpan w:val="5"/>
          </w:tcPr>
          <w:p>
            <w:pPr>
              <w:spacing w:after="0"/>
              <w:rPr>
                <w:sz w:val="18"/>
                <w:szCs w:val="18"/>
                <w:color w:val="auto"/>
              </w:rPr>
            </w:pPr>
          </w:p>
        </w:tc>
        <w:tc>
          <w:tcPr>
            <w:tcW w:w="620" w:type="dxa"/>
            <w:vAlign w:val="bottom"/>
            <w:gridSpan w:val="3"/>
          </w:tcPr>
          <w:p>
            <w:pPr>
              <w:spacing w:after="0" w:line="209" w:lineRule="exact"/>
              <w:rPr>
                <w:sz w:val="20"/>
                <w:szCs w:val="20"/>
                <w:color w:val="auto"/>
              </w:rPr>
            </w:pPr>
            <w:r>
              <w:rPr>
                <w:rFonts w:ascii="Calibri" w:cs="Calibri" w:eastAsia="Calibri" w:hAnsi="Calibri"/>
                <w:sz w:val="18"/>
                <w:szCs w:val="18"/>
                <w:color w:val="0000FF"/>
              </w:rPr>
              <w:t>10</w:t>
            </w:r>
          </w:p>
        </w:tc>
      </w:tr>
      <w:tr>
        <w:trPr>
          <w:trHeight w:val="210"/>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SCHEDULE I</w:t>
            </w:r>
          </w:p>
        </w:tc>
        <w:tc>
          <w:tcPr>
            <w:tcW w:w="2020" w:type="dxa"/>
            <w:vAlign w:val="bottom"/>
            <w:tcBorders>
              <w:top w:val="single" w:sz="8" w:color="0000FF"/>
              <w:bottom w:val="single" w:sz="8" w:color="0000FF"/>
            </w:tcBorders>
            <w:gridSpan w:val="6"/>
          </w:tcPr>
          <w:p>
            <w:pPr>
              <w:ind w:left="40"/>
              <w:spacing w:after="0" w:line="209" w:lineRule="exact"/>
              <w:rPr>
                <w:sz w:val="20"/>
                <w:szCs w:val="20"/>
                <w:color w:val="auto"/>
              </w:rPr>
            </w:pPr>
            <w:r>
              <w:rPr>
                <w:rFonts w:ascii="Calibri" w:cs="Calibri" w:eastAsia="Calibri" w:hAnsi="Calibri"/>
                <w:sz w:val="18"/>
                <w:szCs w:val="18"/>
                <w:color w:val="0000FF"/>
                <w:w w:val="98"/>
              </w:rPr>
              <w:t>Trade Clearance Commitee</w:t>
            </w:r>
          </w:p>
        </w:tc>
        <w:tc>
          <w:tcPr>
            <w:tcW w:w="400" w:type="dxa"/>
            <w:vAlign w:val="bottom"/>
            <w:tcBorders>
              <w:top w:val="single" w:sz="8" w:color="0000FF"/>
            </w:tcBorders>
            <w:gridSpan w:val="2"/>
          </w:tcPr>
          <w:p>
            <w:pPr>
              <w:spacing w:after="0"/>
              <w:rPr>
                <w:sz w:val="18"/>
                <w:szCs w:val="18"/>
                <w:color w:val="auto"/>
              </w:rPr>
            </w:pPr>
          </w:p>
        </w:tc>
        <w:tc>
          <w:tcPr>
            <w:tcW w:w="6160" w:type="dxa"/>
            <w:vAlign w:val="bottom"/>
            <w:gridSpan w:val="9"/>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12</w:t>
            </w:r>
          </w:p>
        </w:tc>
        <w:tc>
          <w:tcPr>
            <w:tcW w:w="440" w:type="dxa"/>
            <w:vAlign w:val="bottom"/>
          </w:tcPr>
          <w:p>
            <w:pPr>
              <w:spacing w:after="0"/>
              <w:rPr>
                <w:sz w:val="18"/>
                <w:szCs w:val="18"/>
                <w:color w:val="auto"/>
              </w:rPr>
            </w:pPr>
          </w:p>
        </w:tc>
      </w:tr>
      <w:tr>
        <w:trPr>
          <w:trHeight w:val="210"/>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SCHEDULE II</w:t>
            </w:r>
          </w:p>
        </w:tc>
        <w:tc>
          <w:tcPr>
            <w:tcW w:w="8580" w:type="dxa"/>
            <w:vAlign w:val="bottom"/>
            <w:gridSpan w:val="17"/>
          </w:tcPr>
          <w:p>
            <w:pPr>
              <w:ind w:left="40"/>
              <w:spacing w:after="0" w:line="209" w:lineRule="exact"/>
              <w:rPr>
                <w:sz w:val="20"/>
                <w:szCs w:val="20"/>
                <w:color w:val="auto"/>
              </w:rPr>
            </w:pPr>
            <w:r>
              <w:rPr>
                <w:rFonts w:ascii="Calibri" w:cs="Calibri" w:eastAsia="Calibri" w:hAnsi="Calibri"/>
                <w:sz w:val="18"/>
                <w:szCs w:val="18"/>
                <w:color w:val="0000FF"/>
              </w:rPr>
              <w:t>List of Directors and Oﬃcers Subject to Additonal Restrictons</w:t>
            </w:r>
          </w:p>
        </w:tc>
        <w:tc>
          <w:tcPr>
            <w:tcW w:w="620" w:type="dxa"/>
            <w:vAlign w:val="bottom"/>
            <w:gridSpan w:val="3"/>
          </w:tcPr>
          <w:p>
            <w:pPr>
              <w:spacing w:after="0" w:line="209" w:lineRule="exact"/>
              <w:rPr>
                <w:sz w:val="20"/>
                <w:szCs w:val="20"/>
                <w:color w:val="auto"/>
              </w:rPr>
            </w:pPr>
            <w:r>
              <w:rPr>
                <w:rFonts w:ascii="Calibri" w:cs="Calibri" w:eastAsia="Calibri" w:hAnsi="Calibri"/>
                <w:sz w:val="18"/>
                <w:szCs w:val="18"/>
                <w:color w:val="0000FF"/>
              </w:rPr>
              <w:t>13</w:t>
            </w:r>
          </w:p>
        </w:tc>
      </w:tr>
      <w:tr>
        <w:trPr>
          <w:trHeight w:val="209"/>
        </w:trPr>
        <w:tc>
          <w:tcPr>
            <w:tcW w:w="1580" w:type="dxa"/>
            <w:vAlign w:val="bottom"/>
          </w:tcPr>
          <w:p>
            <w:pPr>
              <w:spacing w:after="0" w:line="209" w:lineRule="exact"/>
              <w:rPr>
                <w:sz w:val="20"/>
                <w:szCs w:val="20"/>
                <w:color w:val="auto"/>
              </w:rPr>
            </w:pPr>
            <w:r>
              <w:rPr>
                <w:rFonts w:ascii="Calibri" w:cs="Calibri" w:eastAsia="Calibri" w:hAnsi="Calibri"/>
                <w:sz w:val="18"/>
                <w:szCs w:val="18"/>
                <w:color w:val="auto"/>
              </w:rPr>
              <w:t>SCHEDULE III</w:t>
            </w:r>
          </w:p>
        </w:tc>
        <w:tc>
          <w:tcPr>
            <w:tcW w:w="3660" w:type="dxa"/>
            <w:vAlign w:val="bottom"/>
            <w:tcBorders>
              <w:top w:val="single" w:sz="8" w:color="0000FF"/>
              <w:bottom w:val="single" w:sz="8" w:color="0000FF"/>
            </w:tcBorders>
            <w:gridSpan w:val="13"/>
          </w:tcPr>
          <w:p>
            <w:pPr>
              <w:ind w:left="40"/>
              <w:spacing w:after="0" w:line="209" w:lineRule="exact"/>
              <w:rPr>
                <w:sz w:val="20"/>
                <w:szCs w:val="20"/>
                <w:color w:val="auto"/>
              </w:rPr>
            </w:pPr>
            <w:r>
              <w:rPr>
                <w:rFonts w:ascii="Calibri" w:cs="Calibri" w:eastAsia="Calibri" w:hAnsi="Calibri"/>
                <w:sz w:val="18"/>
                <w:szCs w:val="18"/>
                <w:color w:val="0000FF"/>
                <w:w w:val="99"/>
              </w:rPr>
              <w:t>Acknowledgement and Certficaton of Compliance</w:t>
            </w:r>
          </w:p>
        </w:tc>
        <w:tc>
          <w:tcPr>
            <w:tcW w:w="780" w:type="dxa"/>
            <w:vAlign w:val="bottom"/>
            <w:tcBorders>
              <w:top w:val="single" w:sz="8" w:color="0000FF"/>
            </w:tcBorders>
          </w:tcPr>
          <w:p>
            <w:pPr>
              <w:spacing w:after="0"/>
              <w:rPr>
                <w:sz w:val="18"/>
                <w:szCs w:val="18"/>
                <w:color w:val="auto"/>
              </w:rPr>
            </w:pPr>
          </w:p>
        </w:tc>
        <w:tc>
          <w:tcPr>
            <w:tcW w:w="414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line="209" w:lineRule="exact"/>
              <w:rPr>
                <w:sz w:val="20"/>
                <w:szCs w:val="20"/>
                <w:color w:val="auto"/>
              </w:rPr>
            </w:pPr>
            <w:r>
              <w:rPr>
                <w:rFonts w:ascii="Calibri" w:cs="Calibri" w:eastAsia="Calibri" w:hAnsi="Calibri"/>
                <w:sz w:val="18"/>
                <w:szCs w:val="18"/>
                <w:color w:val="0000FF"/>
                <w:w w:val="87"/>
              </w:rPr>
              <w:t>14</w:t>
            </w:r>
          </w:p>
        </w:tc>
        <w:tc>
          <w:tcPr>
            <w:tcW w:w="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20"/>
          </w:cols>
          <w:pgMar w:left="340" w:top="1440" w:right="339" w:bottom="1440" w:gutter="0" w:footer="0" w:header="0"/>
        </w:sectPr>
      </w:pPr>
    </w:p>
    <w:bookmarkStart w:id="110" w:name="page111"/>
    <w:bookmarkEnd w:id="110"/>
    <w:p>
      <w:pPr>
        <w:spacing w:after="0" w:line="200" w:lineRule="exact"/>
        <w:rPr>
          <w:sz w:val="20"/>
          <w:szCs w:val="20"/>
          <w:color w:val="auto"/>
        </w:rPr>
      </w:pPr>
    </w:p>
    <w:p>
      <w:pPr>
        <w:spacing w:after="0" w:line="235" w:lineRule="exact"/>
        <w:rPr>
          <w:sz w:val="20"/>
          <w:szCs w:val="20"/>
          <w:color w:val="auto"/>
        </w:rPr>
      </w:pPr>
    </w:p>
    <w:p>
      <w:pPr>
        <w:ind w:left="642" w:hanging="642"/>
        <w:spacing w:after="0"/>
        <w:tabs>
          <w:tab w:leader="none" w:pos="642" w:val="left"/>
        </w:tabs>
        <w:numPr>
          <w:ilvl w:val="0"/>
          <w:numId w:val="51"/>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SUMMARY</w:t>
      </w:r>
    </w:p>
    <w:p>
      <w:pPr>
        <w:spacing w:after="0" w:line="306" w:lineRule="exact"/>
        <w:rPr>
          <w:sz w:val="20"/>
          <w:szCs w:val="20"/>
          <w:color w:val="auto"/>
        </w:rPr>
      </w:pPr>
    </w:p>
    <w:p>
      <w:pPr>
        <w:jc w:val="both"/>
        <w:ind w:left="2"/>
        <w:spacing w:after="0" w:line="259" w:lineRule="auto"/>
        <w:rPr>
          <w:sz w:val="20"/>
          <w:szCs w:val="20"/>
          <w:color w:val="auto"/>
        </w:rPr>
      </w:pPr>
      <w:r>
        <w:rPr>
          <w:rFonts w:ascii="Calibri" w:cs="Calibri" w:eastAsia="Calibri" w:hAnsi="Calibri"/>
          <w:sz w:val="16"/>
          <w:szCs w:val="16"/>
          <w:color w:val="auto"/>
        </w:rPr>
        <w:t>In order to take an actve role in the preventon of insider trading violatons by directors, oﬃcers, employees and other related individuals of Taboola.com Ltd. And its subsidiaries and aﬃliates (collectvely, the “Company”), the Company has adopted this Insider Trading Compliance Policy (the “Policy”). Each director, oﬃcer, and employee of the Company is expected to abide by this Policy. Individuals subject to this Policy are responsible for ensuring that members of their households – whether or not related – also comply with this Policy.</w:t>
      </w:r>
    </w:p>
    <w:p>
      <w:pPr>
        <w:spacing w:after="0" w:line="291" w:lineRule="exact"/>
        <w:rPr>
          <w:sz w:val="20"/>
          <w:szCs w:val="20"/>
          <w:color w:val="auto"/>
        </w:rPr>
      </w:pPr>
    </w:p>
    <w:p>
      <w:pPr>
        <w:jc w:val="both"/>
        <w:ind w:left="2"/>
        <w:spacing w:after="0" w:line="260" w:lineRule="auto"/>
        <w:rPr>
          <w:sz w:val="20"/>
          <w:szCs w:val="20"/>
          <w:color w:val="auto"/>
        </w:rPr>
      </w:pPr>
      <w:r>
        <w:rPr>
          <w:rFonts w:ascii="Calibri" w:cs="Calibri" w:eastAsia="Calibri" w:hAnsi="Calibri"/>
          <w:sz w:val="16"/>
          <w:szCs w:val="16"/>
          <w:color w:val="auto"/>
        </w:rPr>
        <w:t>Preventng insider trading is necessary to comply with securites laws and to preserve the reputaton and integrity of the Company as well as that of all persons aﬃliated with the Company. “Insider trading” occurs when any person purchases or sells a security while in possession of inside informaton relatng to the security. As explained below, “inside informaton” is informaton that is both “material” and “non-public.” Insider trading is a crime. The penaltes for violatng insider trading laws include imprisonment, disgorgement of profits, civil fines and significant criminal fines. Insider trading is also prohibited by this Policy, and violaton of this Policy may result in Company imposed sanctons, including terminaton of employment for cause.</w:t>
      </w:r>
    </w:p>
    <w:p>
      <w:pPr>
        <w:spacing w:after="0" w:line="277" w:lineRule="exact"/>
        <w:rPr>
          <w:sz w:val="20"/>
          <w:szCs w:val="20"/>
          <w:color w:val="auto"/>
        </w:rPr>
      </w:pPr>
    </w:p>
    <w:p>
      <w:pPr>
        <w:ind w:left="2"/>
        <w:spacing w:after="0"/>
        <w:rPr>
          <w:sz w:val="20"/>
          <w:szCs w:val="20"/>
          <w:color w:val="auto"/>
        </w:rPr>
      </w:pPr>
      <w:r>
        <w:rPr>
          <w:rFonts w:ascii="Calibri" w:cs="Calibri" w:eastAsia="Calibri" w:hAnsi="Calibri"/>
          <w:sz w:val="16"/>
          <w:szCs w:val="16"/>
          <w:color w:val="auto"/>
        </w:rPr>
        <w:t xml:space="preserve">Questons regarding this Policy should be directed to </w:t>
      </w:r>
      <w:r>
        <w:rPr>
          <w:rFonts w:ascii="Calibri" w:cs="Calibri" w:eastAsia="Calibri" w:hAnsi="Calibri"/>
          <w:sz w:val="16"/>
          <w:szCs w:val="16"/>
          <w:b w:val="1"/>
          <w:bCs w:val="1"/>
          <w:i w:val="1"/>
          <w:iCs w:val="1"/>
          <w:color w:val="auto"/>
        </w:rPr>
        <w:t>trading@taboola.com</w:t>
      </w:r>
      <w:r>
        <w:rPr>
          <w:rFonts w:ascii="Calibri" w:cs="Calibri" w:eastAsia="Calibri" w:hAnsi="Calibri"/>
          <w:sz w:val="16"/>
          <w:szCs w:val="16"/>
          <w:color w:val="auto"/>
        </w:rPr>
        <w:t>.</w:t>
      </w:r>
    </w:p>
    <w:p>
      <w:pPr>
        <w:spacing w:after="0" w:line="304" w:lineRule="exact"/>
        <w:rPr>
          <w:sz w:val="20"/>
          <w:szCs w:val="20"/>
          <w:color w:val="auto"/>
        </w:rPr>
      </w:pPr>
    </w:p>
    <w:p>
      <w:pPr>
        <w:ind w:left="642" w:hanging="642"/>
        <w:spacing w:after="0"/>
        <w:tabs>
          <w:tab w:leader="none" w:pos="642" w:val="left"/>
        </w:tabs>
        <w:numPr>
          <w:ilvl w:val="0"/>
          <w:numId w:val="52"/>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THE USE OF INSIDE INFORMATION IN CONNECTION WITH TRADING IN SECURITIES</w:t>
      </w:r>
    </w:p>
    <w:p>
      <w:pPr>
        <w:spacing w:after="0" w:line="304" w:lineRule="exact"/>
        <w:rPr>
          <w:rFonts w:ascii="Calibri" w:cs="Calibri" w:eastAsia="Calibri" w:hAnsi="Calibri"/>
          <w:sz w:val="16"/>
          <w:szCs w:val="16"/>
          <w:b w:val="1"/>
          <w:bCs w:val="1"/>
          <w:color w:val="auto"/>
        </w:rPr>
      </w:pPr>
    </w:p>
    <w:p>
      <w:pPr>
        <w:ind w:left="322"/>
        <w:spacing w:after="0"/>
        <w:rPr>
          <w:rFonts w:ascii="Calibri" w:cs="Calibri" w:eastAsia="Calibri" w:hAnsi="Calibri"/>
          <w:sz w:val="16"/>
          <w:szCs w:val="16"/>
          <w:b w:val="1"/>
          <w:bCs w:val="1"/>
          <w:color w:val="auto"/>
        </w:rPr>
      </w:pPr>
      <w:r>
        <w:rPr>
          <w:rFonts w:ascii="Calibri" w:cs="Calibri" w:eastAsia="Calibri" w:hAnsi="Calibri"/>
          <w:sz w:val="16"/>
          <w:szCs w:val="16"/>
          <w:b w:val="1"/>
          <w:bCs w:val="1"/>
          <w:i w:val="1"/>
          <w:iCs w:val="1"/>
          <w:color w:val="auto"/>
        </w:rPr>
        <w:t xml:space="preserve">A.  General  Rule.  </w:t>
      </w:r>
      <w:r>
        <w:rPr>
          <w:rFonts w:ascii="Calibri" w:cs="Calibri" w:eastAsia="Calibri" w:hAnsi="Calibri"/>
          <w:sz w:val="16"/>
          <w:szCs w:val="16"/>
          <w:i w:val="1"/>
          <w:iCs w:val="1"/>
          <w:color w:val="auto"/>
        </w:rPr>
        <w:t>It is a violaton of federal securites laws for any person to buy or sell securites while in possession of material inside informaton.</w:t>
      </w:r>
    </w:p>
    <w:p>
      <w:pPr>
        <w:spacing w:after="0" w:line="305" w:lineRule="exact"/>
        <w:rPr>
          <w:rFonts w:ascii="Calibri" w:cs="Calibri" w:eastAsia="Calibri" w:hAnsi="Calibri"/>
          <w:sz w:val="16"/>
          <w:szCs w:val="16"/>
          <w:b w:val="1"/>
          <w:bCs w:val="1"/>
          <w:color w:val="auto"/>
        </w:rPr>
      </w:pPr>
    </w:p>
    <w:p>
      <w:pPr>
        <w:ind w:left="962" w:right="20" w:hanging="314"/>
        <w:spacing w:after="0" w:line="246" w:lineRule="auto"/>
        <w:tabs>
          <w:tab w:leader="none" w:pos="952" w:val="left"/>
        </w:tabs>
        <w:numPr>
          <w:ilvl w:val="2"/>
          <w:numId w:val="52"/>
        </w:numPr>
        <w:rPr>
          <w:rFonts w:ascii="Arial" w:cs="Arial" w:eastAsia="Arial" w:hAnsi="Arial"/>
          <w:sz w:val="16"/>
          <w:szCs w:val="16"/>
          <w:color w:val="auto"/>
        </w:rPr>
      </w:pPr>
      <w:r>
        <w:rPr>
          <w:rFonts w:ascii="Calibri" w:cs="Calibri" w:eastAsia="Calibri" w:hAnsi="Calibri"/>
          <w:sz w:val="16"/>
          <w:szCs w:val="16"/>
          <w:color w:val="auto"/>
        </w:rPr>
        <w:t>The U.S. securites laws regulate the sale and purchase of U.S. securites in the interest of protectng the investng public. These laws are based upon the belief that all persons trading in a company’s securites should have equal access to all “material” informaton about that company.</w:t>
      </w:r>
    </w:p>
    <w:p>
      <w:pPr>
        <w:spacing w:after="0" w:line="301" w:lineRule="exact"/>
        <w:rPr>
          <w:rFonts w:ascii="Arial" w:cs="Arial" w:eastAsia="Arial" w:hAnsi="Arial"/>
          <w:sz w:val="16"/>
          <w:szCs w:val="16"/>
          <w:color w:val="auto"/>
        </w:rPr>
      </w:pPr>
    </w:p>
    <w:p>
      <w:pPr>
        <w:jc w:val="both"/>
        <w:ind w:left="962" w:right="20" w:hanging="314"/>
        <w:spacing w:after="0" w:line="264" w:lineRule="auto"/>
        <w:tabs>
          <w:tab w:leader="none" w:pos="979" w:val="left"/>
        </w:tabs>
        <w:numPr>
          <w:ilvl w:val="2"/>
          <w:numId w:val="52"/>
        </w:numPr>
        <w:rPr>
          <w:rFonts w:ascii="Arial" w:cs="Arial" w:eastAsia="Arial" w:hAnsi="Arial"/>
          <w:sz w:val="16"/>
          <w:szCs w:val="16"/>
          <w:color w:val="auto"/>
        </w:rPr>
      </w:pPr>
      <w:r>
        <w:rPr>
          <w:rFonts w:ascii="Calibri" w:cs="Calibri" w:eastAsia="Calibri" w:hAnsi="Calibri"/>
          <w:sz w:val="16"/>
          <w:szCs w:val="16"/>
          <w:color w:val="auto"/>
        </w:rPr>
        <w:t>U.S. securites laws give the Company, its directors, oﬃcers, employees, and other persons subject to this Policy the responsibility to ensure that informaton about the Company is not used unlawfully in the purchase and sale of securites (such as stocks, bonds, notes, debentures, limited partnership units or other equity or debt securites).</w:t>
      </w:r>
    </w:p>
    <w:p>
      <w:pPr>
        <w:spacing w:after="0" w:line="259" w:lineRule="exact"/>
        <w:rPr>
          <w:rFonts w:ascii="Arial" w:cs="Arial" w:eastAsia="Arial" w:hAnsi="Arial"/>
          <w:sz w:val="16"/>
          <w:szCs w:val="16"/>
          <w:color w:val="auto"/>
        </w:rPr>
      </w:pPr>
    </w:p>
    <w:p>
      <w:pPr>
        <w:ind w:left="962" w:right="20" w:hanging="314"/>
        <w:spacing w:after="0" w:line="246" w:lineRule="auto"/>
        <w:tabs>
          <w:tab w:leader="none" w:pos="965" w:val="left"/>
        </w:tabs>
        <w:numPr>
          <w:ilvl w:val="2"/>
          <w:numId w:val="52"/>
        </w:numPr>
        <w:rPr>
          <w:rFonts w:ascii="Arial" w:cs="Arial" w:eastAsia="Arial" w:hAnsi="Arial"/>
          <w:sz w:val="16"/>
          <w:szCs w:val="16"/>
          <w:color w:val="auto"/>
        </w:rPr>
      </w:pPr>
      <w:r>
        <w:rPr>
          <w:rFonts w:ascii="Calibri" w:cs="Calibri" w:eastAsia="Calibri" w:hAnsi="Calibri"/>
          <w:sz w:val="16"/>
          <w:szCs w:val="16"/>
          <w:color w:val="auto"/>
        </w:rPr>
        <w:t>All directors, oﬃcers, employees and other persons subject to this Policy should pay partcularly close atenton to the laws against trading while in possession of “inside” information.</w:t>
      </w:r>
    </w:p>
    <w:p>
      <w:pPr>
        <w:spacing w:after="0" w:line="288" w:lineRule="exact"/>
        <w:rPr>
          <w:rFonts w:ascii="Arial" w:cs="Arial" w:eastAsia="Arial" w:hAnsi="Arial"/>
          <w:sz w:val="16"/>
          <w:szCs w:val="16"/>
          <w:color w:val="auto"/>
        </w:rPr>
      </w:pPr>
    </w:p>
    <w:p>
      <w:pPr>
        <w:ind w:left="1382" w:right="20" w:hanging="329"/>
        <w:spacing w:after="0" w:line="246" w:lineRule="auto"/>
        <w:tabs>
          <w:tab w:leader="none" w:pos="1372" w:val="left"/>
        </w:tabs>
        <w:numPr>
          <w:ilvl w:val="3"/>
          <w:numId w:val="52"/>
        </w:numPr>
        <w:rPr>
          <w:rFonts w:ascii="Arial" w:cs="Arial" w:eastAsia="Arial" w:hAnsi="Arial"/>
          <w:sz w:val="16"/>
          <w:szCs w:val="16"/>
          <w:color w:val="auto"/>
        </w:rPr>
      </w:pPr>
      <w:r>
        <w:rPr>
          <w:rFonts w:ascii="Calibri" w:cs="Calibri" w:eastAsia="Calibri" w:hAnsi="Calibri"/>
          <w:sz w:val="16"/>
          <w:szCs w:val="16"/>
          <w:color w:val="auto"/>
        </w:rPr>
        <w:t>For example, if you are aware of material inside financial informaton, you are prohibited from buying or selling shares in the Company untl the informaton has been adequately disclosed to the public.</w:t>
      </w:r>
    </w:p>
    <w:p>
      <w:pPr>
        <w:spacing w:after="0" w:line="288" w:lineRule="exact"/>
        <w:rPr>
          <w:rFonts w:ascii="Arial" w:cs="Arial" w:eastAsia="Arial" w:hAnsi="Arial"/>
          <w:sz w:val="16"/>
          <w:szCs w:val="16"/>
          <w:color w:val="auto"/>
        </w:rPr>
      </w:pPr>
    </w:p>
    <w:p>
      <w:pPr>
        <w:jc w:val="both"/>
        <w:ind w:left="1382" w:hanging="329"/>
        <w:spacing w:after="0" w:line="256" w:lineRule="auto"/>
        <w:tabs>
          <w:tab w:leader="none" w:pos="1372" w:val="left"/>
        </w:tabs>
        <w:numPr>
          <w:ilvl w:val="3"/>
          <w:numId w:val="52"/>
        </w:numPr>
        <w:rPr>
          <w:rFonts w:ascii="Arial" w:cs="Arial" w:eastAsia="Arial" w:hAnsi="Arial"/>
          <w:sz w:val="16"/>
          <w:szCs w:val="16"/>
          <w:color w:val="auto"/>
        </w:rPr>
      </w:pPr>
      <w:r>
        <w:rPr>
          <w:rFonts w:ascii="Calibri" w:cs="Calibri" w:eastAsia="Calibri" w:hAnsi="Calibri"/>
          <w:sz w:val="16"/>
          <w:szCs w:val="16"/>
          <w:color w:val="auto"/>
        </w:rPr>
        <w:t xml:space="preserve">This is because you know informaton that could cause the share price to change, and it would be </w:t>
      </w:r>
      <w:r>
        <w:rPr>
          <w:rFonts w:ascii="Calibri" w:cs="Calibri" w:eastAsia="Calibri" w:hAnsi="Calibri"/>
          <w:sz w:val="16"/>
          <w:szCs w:val="16"/>
          <w:b w:val="1"/>
          <w:bCs w:val="1"/>
          <w:i w:val="1"/>
          <w:iCs w:val="1"/>
          <w:color w:val="auto"/>
        </w:rPr>
        <w:t>unfair for you to have an advantage</w:t>
      </w:r>
      <w:r>
        <w:rPr>
          <w:rFonts w:ascii="Calibri" w:cs="Calibri" w:eastAsia="Calibri" w:hAnsi="Calibri"/>
          <w:sz w:val="16"/>
          <w:szCs w:val="16"/>
          <w:color w:val="auto"/>
        </w:rPr>
        <w:t xml:space="preserve"> (knowledge that the share price could change) that the rest of the investng public does not have. In fact, </w:t>
      </w:r>
      <w:r>
        <w:rPr>
          <w:rFonts w:ascii="Calibri" w:cs="Calibri" w:eastAsia="Calibri" w:hAnsi="Calibri"/>
          <w:sz w:val="16"/>
          <w:szCs w:val="16"/>
          <w:b w:val="1"/>
          <w:bCs w:val="1"/>
          <w:i w:val="1"/>
          <w:iCs w:val="1"/>
          <w:color w:val="auto"/>
        </w:rPr>
        <w:t>it is more than unfair; it is illegal. Civil and</w:t>
      </w:r>
      <w:r>
        <w:rPr>
          <w:rFonts w:ascii="Calibri" w:cs="Calibri" w:eastAsia="Calibri" w:hAnsi="Calibri"/>
          <w:sz w:val="16"/>
          <w:szCs w:val="16"/>
          <w:color w:val="auto"/>
        </w:rPr>
        <w:t xml:space="preserve"> </w:t>
      </w:r>
      <w:r>
        <w:rPr>
          <w:rFonts w:ascii="Calibri" w:cs="Calibri" w:eastAsia="Calibri" w:hAnsi="Calibri"/>
          <w:sz w:val="16"/>
          <w:szCs w:val="16"/>
          <w:b w:val="1"/>
          <w:bCs w:val="1"/>
          <w:i w:val="1"/>
          <w:iCs w:val="1"/>
          <w:color w:val="auto"/>
        </w:rPr>
        <w:t xml:space="preserve">criminal penaltes for this kind of actvity are severe. See </w:t>
      </w:r>
      <w:r>
        <w:rPr>
          <w:rFonts w:ascii="Calibri" w:cs="Calibri" w:eastAsia="Calibri" w:hAnsi="Calibri"/>
          <w:sz w:val="16"/>
          <w:szCs w:val="16"/>
          <w:b w:val="1"/>
          <w:bCs w:val="1"/>
          <w:i w:val="1"/>
          <w:iCs w:val="1"/>
          <w:u w:val="single" w:color="auto"/>
          <w:color w:val="auto"/>
        </w:rPr>
        <w:t>Secton VII</w:t>
      </w:r>
      <w:r>
        <w:rPr>
          <w:rFonts w:ascii="Calibri" w:cs="Calibri" w:eastAsia="Calibri" w:hAnsi="Calibri"/>
          <w:sz w:val="16"/>
          <w:szCs w:val="16"/>
          <w:b w:val="1"/>
          <w:bCs w:val="1"/>
          <w:i w:val="1"/>
          <w:iCs w:val="1"/>
          <w:color w:val="auto"/>
        </w:rPr>
        <w:t xml:space="preserve"> below.</w:t>
      </w:r>
    </w:p>
    <w:p>
      <w:pPr>
        <w:sectPr>
          <w:pgSz w:w="11900" w:h="16838" w:orient="portrait"/>
          <w:cols w:equalWidth="0" w:num="1">
            <w:col w:w="11042"/>
          </w:cols>
          <w:pgMar w:left="418" w:top="1440" w:right="439" w:bottom="1440" w:gutter="0" w:footer="0" w:header="0"/>
        </w:sectPr>
      </w:pPr>
    </w:p>
    <w:bookmarkStart w:id="111" w:name="page112"/>
    <w:bookmarkEnd w:id="111"/>
    <w:p>
      <w:pPr>
        <w:jc w:val="both"/>
        <w:ind w:left="414" w:hanging="414"/>
        <w:spacing w:after="0" w:line="256" w:lineRule="auto"/>
        <w:tabs>
          <w:tab w:leader="none" w:pos="404" w:val="left"/>
        </w:tabs>
        <w:numPr>
          <w:ilvl w:val="0"/>
          <w:numId w:val="53"/>
        </w:numPr>
        <w:rPr>
          <w:rFonts w:ascii="Arial" w:cs="Arial" w:eastAsia="Arial" w:hAnsi="Arial"/>
          <w:sz w:val="16"/>
          <w:szCs w:val="16"/>
          <w:color w:val="auto"/>
        </w:rPr>
      </w:pPr>
      <w:r>
        <w:rPr>
          <w:rFonts w:ascii="Calibri" w:cs="Calibri" w:eastAsia="Calibri" w:hAnsi="Calibri"/>
          <w:sz w:val="16"/>
          <w:szCs w:val="16"/>
          <w:b w:val="1"/>
          <w:bCs w:val="1"/>
          <w:color w:val="auto"/>
        </w:rPr>
        <w:t xml:space="preserve">“Material” Informaton: </w:t>
      </w:r>
      <w:r>
        <w:rPr>
          <w:rFonts w:ascii="Calibri" w:cs="Calibri" w:eastAsia="Calibri" w:hAnsi="Calibri"/>
          <w:sz w:val="16"/>
          <w:szCs w:val="16"/>
          <w:color w:val="auto"/>
        </w:rPr>
        <w:t>Informaton is material if there is a substantal likelihood that a reasonable investor would consider it important in making an</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investment decision. Material informaton can be favorable or unfavorable. If it is not clear whether inside informaton is material, it should be treated as if it were material. Some examples of informaton that could be considered material include:</w:t>
      </w:r>
    </w:p>
    <w:p>
      <w:pPr>
        <w:spacing w:after="0" w:line="304" w:lineRule="exact"/>
        <w:rPr>
          <w:rFonts w:ascii="Arial" w:cs="Arial" w:eastAsia="Arial" w:hAnsi="Arial"/>
          <w:sz w:val="16"/>
          <w:szCs w:val="16"/>
          <w:color w:val="auto"/>
        </w:rPr>
      </w:pPr>
    </w:p>
    <w:p>
      <w:pPr>
        <w:ind w:left="954" w:hanging="306"/>
        <w:spacing w:after="0"/>
        <w:tabs>
          <w:tab w:leader="none" w:pos="954" w:val="left"/>
        </w:tabs>
        <w:numPr>
          <w:ilvl w:val="1"/>
          <w:numId w:val="53"/>
        </w:numPr>
        <w:rPr>
          <w:rFonts w:ascii="Arial" w:cs="Arial" w:eastAsia="Arial" w:hAnsi="Arial"/>
          <w:sz w:val="16"/>
          <w:szCs w:val="16"/>
          <w:color w:val="auto"/>
        </w:rPr>
      </w:pPr>
      <w:r>
        <w:rPr>
          <w:rFonts w:ascii="Calibri" w:cs="Calibri" w:eastAsia="Calibri" w:hAnsi="Calibri"/>
          <w:sz w:val="16"/>
          <w:szCs w:val="16"/>
          <w:color w:val="auto"/>
        </w:rPr>
        <w:t>Significant changes in key performance indicators of the Company,</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1"/>
          <w:numId w:val="53"/>
        </w:numPr>
        <w:rPr>
          <w:rFonts w:ascii="Arial" w:cs="Arial" w:eastAsia="Arial" w:hAnsi="Arial"/>
          <w:sz w:val="16"/>
          <w:szCs w:val="16"/>
          <w:color w:val="auto"/>
        </w:rPr>
      </w:pPr>
      <w:r>
        <w:rPr>
          <w:rFonts w:ascii="Calibri" w:cs="Calibri" w:eastAsia="Calibri" w:hAnsi="Calibri"/>
          <w:sz w:val="16"/>
          <w:szCs w:val="16"/>
          <w:color w:val="auto"/>
        </w:rPr>
        <w:t>Actual, antcipated or targeted earnings and other financial information,</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1"/>
          <w:numId w:val="53"/>
        </w:numPr>
        <w:rPr>
          <w:rFonts w:ascii="Arial" w:cs="Arial" w:eastAsia="Arial" w:hAnsi="Arial"/>
          <w:sz w:val="16"/>
          <w:szCs w:val="16"/>
          <w:color w:val="auto"/>
        </w:rPr>
      </w:pPr>
      <w:r>
        <w:rPr>
          <w:rFonts w:ascii="Calibri" w:cs="Calibri" w:eastAsia="Calibri" w:hAnsi="Calibri"/>
          <w:sz w:val="16"/>
          <w:szCs w:val="16"/>
          <w:color w:val="auto"/>
        </w:rPr>
        <w:t>Financial, sales and other significant internal business forecasts, or a change in previously released estmates,</w:t>
      </w:r>
    </w:p>
    <w:p>
      <w:pPr>
        <w:spacing w:after="0" w:line="304" w:lineRule="exact"/>
        <w:rPr>
          <w:rFonts w:ascii="Arial" w:cs="Arial" w:eastAsia="Arial" w:hAnsi="Arial"/>
          <w:sz w:val="16"/>
          <w:szCs w:val="16"/>
          <w:color w:val="auto"/>
        </w:rPr>
      </w:pPr>
    </w:p>
    <w:p>
      <w:pPr>
        <w:ind w:left="954" w:hanging="306"/>
        <w:spacing w:after="0"/>
        <w:tabs>
          <w:tab w:leader="none" w:pos="954" w:val="left"/>
        </w:tabs>
        <w:numPr>
          <w:ilvl w:val="1"/>
          <w:numId w:val="53"/>
        </w:numPr>
        <w:rPr>
          <w:rFonts w:ascii="Arial" w:cs="Arial" w:eastAsia="Arial" w:hAnsi="Arial"/>
          <w:sz w:val="16"/>
          <w:szCs w:val="16"/>
          <w:color w:val="auto"/>
        </w:rPr>
      </w:pPr>
      <w:r>
        <w:rPr>
          <w:rFonts w:ascii="Calibri" w:cs="Calibri" w:eastAsia="Calibri" w:hAnsi="Calibri"/>
          <w:sz w:val="16"/>
          <w:szCs w:val="16"/>
          <w:color w:val="auto"/>
        </w:rPr>
        <w:t>Mergers, business acquisitons or dispositons, or the expansion or curtailment of operations,</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1"/>
          <w:numId w:val="53"/>
        </w:numPr>
        <w:rPr>
          <w:rFonts w:ascii="Arial" w:cs="Arial" w:eastAsia="Arial" w:hAnsi="Arial"/>
          <w:sz w:val="16"/>
          <w:szCs w:val="16"/>
          <w:color w:val="auto"/>
        </w:rPr>
      </w:pPr>
      <w:r>
        <w:rPr>
          <w:rFonts w:ascii="Calibri" w:cs="Calibri" w:eastAsia="Calibri" w:hAnsi="Calibri"/>
          <w:sz w:val="16"/>
          <w:szCs w:val="16"/>
          <w:color w:val="auto"/>
        </w:rPr>
        <w:t>Significant events aﬀectng the Company’s operatons, including any breach of informaton systems that compromises the functoning of the</w:t>
      </w:r>
    </w:p>
    <w:p>
      <w:pPr>
        <w:spacing w:after="0" w:line="7" w:lineRule="exact"/>
        <w:rPr>
          <w:sz w:val="20"/>
          <w:szCs w:val="20"/>
          <w:color w:val="auto"/>
        </w:rPr>
      </w:pPr>
    </w:p>
    <w:p>
      <w:pPr>
        <w:ind w:left="974"/>
        <w:spacing w:after="0"/>
        <w:rPr>
          <w:sz w:val="20"/>
          <w:szCs w:val="20"/>
          <w:color w:val="auto"/>
        </w:rPr>
      </w:pPr>
      <w:r>
        <w:rPr>
          <w:rFonts w:ascii="Calibri" w:cs="Calibri" w:eastAsia="Calibri" w:hAnsi="Calibri"/>
          <w:sz w:val="16"/>
          <w:szCs w:val="16"/>
          <w:color w:val="auto"/>
        </w:rPr>
        <w:t>Company’s informaton or other systems or results in the exposure or loss of customer informaton, in partcular personal informaton,</w:t>
      </w:r>
    </w:p>
    <w:p>
      <w:pPr>
        <w:spacing w:after="0" w:line="318" w:lineRule="exact"/>
        <w:rPr>
          <w:sz w:val="20"/>
          <w:szCs w:val="20"/>
          <w:color w:val="auto"/>
        </w:rPr>
      </w:pPr>
    </w:p>
    <w:p>
      <w:pPr>
        <w:ind w:left="954" w:hanging="306"/>
        <w:spacing w:after="0"/>
        <w:tabs>
          <w:tab w:leader="none" w:pos="954" w:val="left"/>
        </w:tabs>
        <w:numPr>
          <w:ilvl w:val="2"/>
          <w:numId w:val="54"/>
        </w:numPr>
        <w:rPr>
          <w:rFonts w:ascii="Arial" w:cs="Arial" w:eastAsia="Arial" w:hAnsi="Arial"/>
          <w:sz w:val="16"/>
          <w:szCs w:val="16"/>
          <w:color w:val="auto"/>
        </w:rPr>
      </w:pPr>
      <w:r>
        <w:rPr>
          <w:rFonts w:ascii="Calibri" w:cs="Calibri" w:eastAsia="Calibri" w:hAnsi="Calibri"/>
          <w:sz w:val="16"/>
          <w:szCs w:val="16"/>
          <w:color w:val="auto"/>
        </w:rPr>
        <w:t>New equity or debt oﬀerings or significant borrowing,</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2"/>
          <w:numId w:val="54"/>
        </w:numPr>
        <w:rPr>
          <w:rFonts w:ascii="Arial" w:cs="Arial" w:eastAsia="Arial" w:hAnsi="Arial"/>
          <w:sz w:val="16"/>
          <w:szCs w:val="16"/>
          <w:color w:val="auto"/>
        </w:rPr>
      </w:pPr>
      <w:r>
        <w:rPr>
          <w:rFonts w:ascii="Calibri" w:cs="Calibri" w:eastAsia="Calibri" w:hAnsi="Calibri"/>
          <w:sz w:val="16"/>
          <w:szCs w:val="16"/>
          <w:color w:val="auto"/>
        </w:rPr>
        <w:t>Changes in debt ratngs, or analyst upgrades or downgrades of the Company or its securities,</w:t>
      </w:r>
    </w:p>
    <w:p>
      <w:pPr>
        <w:spacing w:after="0" w:line="304" w:lineRule="exact"/>
        <w:rPr>
          <w:rFonts w:ascii="Arial" w:cs="Arial" w:eastAsia="Arial" w:hAnsi="Arial"/>
          <w:sz w:val="16"/>
          <w:szCs w:val="16"/>
          <w:color w:val="auto"/>
        </w:rPr>
      </w:pPr>
    </w:p>
    <w:p>
      <w:pPr>
        <w:ind w:left="954" w:hanging="306"/>
        <w:spacing w:after="0"/>
        <w:tabs>
          <w:tab w:leader="none" w:pos="954" w:val="left"/>
        </w:tabs>
        <w:numPr>
          <w:ilvl w:val="2"/>
          <w:numId w:val="54"/>
        </w:numPr>
        <w:rPr>
          <w:rFonts w:ascii="Arial" w:cs="Arial" w:eastAsia="Arial" w:hAnsi="Arial"/>
          <w:sz w:val="16"/>
          <w:szCs w:val="16"/>
          <w:color w:val="auto"/>
        </w:rPr>
      </w:pPr>
      <w:r>
        <w:rPr>
          <w:rFonts w:ascii="Calibri" w:cs="Calibri" w:eastAsia="Calibri" w:hAnsi="Calibri"/>
          <w:sz w:val="16"/>
          <w:szCs w:val="16"/>
          <w:color w:val="auto"/>
        </w:rPr>
        <w:t>Significant changes in accountng treatment, write-oﬀs or eﬀectve tax rate,</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2"/>
          <w:numId w:val="54"/>
        </w:numPr>
        <w:rPr>
          <w:rFonts w:ascii="Arial" w:cs="Arial" w:eastAsia="Arial" w:hAnsi="Arial"/>
          <w:sz w:val="16"/>
          <w:szCs w:val="16"/>
          <w:color w:val="auto"/>
        </w:rPr>
      </w:pPr>
      <w:r>
        <w:rPr>
          <w:rFonts w:ascii="Calibri" w:cs="Calibri" w:eastAsia="Calibri" w:hAnsi="Calibri"/>
          <w:sz w:val="16"/>
          <w:szCs w:val="16"/>
          <w:color w:val="auto"/>
        </w:rPr>
        <w:t>Significant litgaton or governmental investigation</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2"/>
          <w:numId w:val="54"/>
        </w:numPr>
        <w:rPr>
          <w:rFonts w:ascii="Arial" w:cs="Arial" w:eastAsia="Arial" w:hAnsi="Arial"/>
          <w:sz w:val="16"/>
          <w:szCs w:val="16"/>
          <w:color w:val="auto"/>
        </w:rPr>
      </w:pPr>
      <w:r>
        <w:rPr>
          <w:rFonts w:ascii="Calibri" w:cs="Calibri" w:eastAsia="Calibri" w:hAnsi="Calibri"/>
          <w:sz w:val="16"/>
          <w:szCs w:val="16"/>
          <w:color w:val="auto"/>
        </w:rPr>
        <w:t>Changes in top management or the board of directors, and</w:t>
      </w:r>
    </w:p>
    <w:p>
      <w:pPr>
        <w:spacing w:after="0" w:line="317" w:lineRule="exact"/>
        <w:rPr>
          <w:rFonts w:ascii="Arial" w:cs="Arial" w:eastAsia="Arial" w:hAnsi="Arial"/>
          <w:sz w:val="16"/>
          <w:szCs w:val="16"/>
          <w:color w:val="auto"/>
        </w:rPr>
      </w:pPr>
    </w:p>
    <w:p>
      <w:pPr>
        <w:ind w:left="954" w:hanging="306"/>
        <w:spacing w:after="0"/>
        <w:tabs>
          <w:tab w:leader="none" w:pos="954" w:val="left"/>
        </w:tabs>
        <w:numPr>
          <w:ilvl w:val="2"/>
          <w:numId w:val="54"/>
        </w:numPr>
        <w:rPr>
          <w:rFonts w:ascii="Arial" w:cs="Arial" w:eastAsia="Arial" w:hAnsi="Arial"/>
          <w:sz w:val="16"/>
          <w:szCs w:val="16"/>
          <w:color w:val="auto"/>
        </w:rPr>
      </w:pPr>
      <w:r>
        <w:rPr>
          <w:rFonts w:ascii="Calibri" w:cs="Calibri" w:eastAsia="Calibri" w:hAnsi="Calibri"/>
          <w:sz w:val="16"/>
          <w:szCs w:val="16"/>
          <w:color w:val="auto"/>
        </w:rPr>
        <w:t>Stock splits or other corporate actions.</w:t>
      </w:r>
    </w:p>
    <w:p>
      <w:pPr>
        <w:spacing w:after="0" w:line="319" w:lineRule="exact"/>
        <w:rPr>
          <w:rFonts w:ascii="Arial" w:cs="Arial" w:eastAsia="Arial" w:hAnsi="Arial"/>
          <w:sz w:val="16"/>
          <w:szCs w:val="16"/>
          <w:color w:val="auto"/>
        </w:rPr>
      </w:pPr>
    </w:p>
    <w:p>
      <w:pPr>
        <w:ind w:left="494" w:right="20" w:hanging="494"/>
        <w:spacing w:after="0" w:line="263" w:lineRule="auto"/>
        <w:tabs>
          <w:tab w:leader="none" w:pos="484" w:val="left"/>
        </w:tabs>
        <w:numPr>
          <w:ilvl w:val="0"/>
          <w:numId w:val="54"/>
        </w:numPr>
        <w:rPr>
          <w:rFonts w:ascii="Arial" w:cs="Arial" w:eastAsia="Arial" w:hAnsi="Arial"/>
          <w:sz w:val="16"/>
          <w:szCs w:val="16"/>
          <w:color w:val="auto"/>
        </w:rPr>
      </w:pPr>
      <w:r>
        <w:rPr>
          <w:rFonts w:ascii="Calibri" w:cs="Calibri" w:eastAsia="Calibri" w:hAnsi="Calibri"/>
          <w:sz w:val="16"/>
          <w:szCs w:val="16"/>
          <w:b w:val="1"/>
          <w:bCs w:val="1"/>
          <w:color w:val="auto"/>
        </w:rPr>
        <w:t>“Inside” Informaton</w:t>
      </w:r>
      <w:r>
        <w:rPr>
          <w:rFonts w:ascii="Calibri" w:cs="Calibri" w:eastAsia="Calibri" w:hAnsi="Calibri"/>
          <w:sz w:val="16"/>
          <w:szCs w:val="16"/>
          <w:color w:val="auto"/>
        </w:rPr>
        <w:t>: Inside informaton is informaton that has not been publicly disclosed in a manner that makes it available to investors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generally on a broad-based non-exclusionary basis, such as a filing made with the U.S. Securites and Exchange Commission (the “SEC”).</w:t>
      </w:r>
    </w:p>
    <w:p>
      <w:pPr>
        <w:spacing w:after="0" w:line="285" w:lineRule="exact"/>
        <w:rPr>
          <w:rFonts w:ascii="Arial" w:cs="Arial" w:eastAsia="Arial" w:hAnsi="Arial"/>
          <w:sz w:val="16"/>
          <w:szCs w:val="16"/>
          <w:color w:val="auto"/>
        </w:rPr>
      </w:pPr>
    </w:p>
    <w:p>
      <w:pPr>
        <w:ind w:left="954" w:hanging="387"/>
        <w:spacing w:after="0"/>
        <w:tabs>
          <w:tab w:leader="none" w:pos="954" w:val="left"/>
        </w:tabs>
        <w:numPr>
          <w:ilvl w:val="1"/>
          <w:numId w:val="54"/>
        </w:numPr>
        <w:rPr>
          <w:rFonts w:ascii="Arial" w:cs="Arial" w:eastAsia="Arial" w:hAnsi="Arial"/>
          <w:sz w:val="16"/>
          <w:szCs w:val="16"/>
          <w:b w:val="1"/>
          <w:bCs w:val="1"/>
          <w:i w:val="1"/>
          <w:iCs w:val="1"/>
          <w:color w:val="auto"/>
        </w:rPr>
      </w:pPr>
      <w:r>
        <w:rPr>
          <w:rFonts w:ascii="Calibri" w:cs="Calibri" w:eastAsia="Calibri" w:hAnsi="Calibri"/>
          <w:sz w:val="16"/>
          <w:szCs w:val="16"/>
          <w:b w:val="1"/>
          <w:bCs w:val="1"/>
          <w:i w:val="1"/>
          <w:iCs w:val="1"/>
          <w:color w:val="auto"/>
        </w:rPr>
        <w:t>If it is not clear whether material informaton has been suﬃciently publicized, it should be treated as if it were inside informaton.</w:t>
      </w:r>
    </w:p>
    <w:p>
      <w:pPr>
        <w:spacing w:after="0" w:line="277" w:lineRule="exact"/>
        <w:rPr>
          <w:rFonts w:ascii="Arial" w:cs="Arial" w:eastAsia="Arial" w:hAnsi="Arial"/>
          <w:sz w:val="16"/>
          <w:szCs w:val="16"/>
          <w:b w:val="1"/>
          <w:bCs w:val="1"/>
          <w:i w:val="1"/>
          <w:iCs w:val="1"/>
          <w:color w:val="auto"/>
        </w:rPr>
      </w:pPr>
    </w:p>
    <w:p>
      <w:pPr>
        <w:ind w:left="974" w:hanging="407"/>
        <w:spacing w:after="0"/>
        <w:tabs>
          <w:tab w:leader="none" w:pos="974" w:val="left"/>
        </w:tabs>
        <w:numPr>
          <w:ilvl w:val="1"/>
          <w:numId w:val="54"/>
        </w:numPr>
        <w:rPr>
          <w:rFonts w:ascii="Arial" w:cs="Arial" w:eastAsia="Arial" w:hAnsi="Arial"/>
          <w:sz w:val="16"/>
          <w:szCs w:val="16"/>
          <w:color w:val="auto"/>
        </w:rPr>
      </w:pPr>
      <w:r>
        <w:rPr>
          <w:rFonts w:ascii="Calibri" w:cs="Calibri" w:eastAsia="Calibri" w:hAnsi="Calibri"/>
          <w:sz w:val="16"/>
          <w:szCs w:val="16"/>
          <w:color w:val="auto"/>
        </w:rPr>
        <w:t>It is illegal for any director, oﬃcer, employee or other person subject to this Policy in possession of material inside informaton to provide</w:t>
      </w:r>
    </w:p>
    <w:p>
      <w:pPr>
        <w:spacing w:after="0" w:line="23" w:lineRule="exact"/>
        <w:rPr>
          <w:sz w:val="20"/>
          <w:szCs w:val="20"/>
          <w:color w:val="auto"/>
        </w:rPr>
      </w:pPr>
    </w:p>
    <w:p>
      <w:pPr>
        <w:ind w:left="974" w:right="20"/>
        <w:spacing w:after="0" w:line="246" w:lineRule="auto"/>
        <w:rPr>
          <w:sz w:val="20"/>
          <w:szCs w:val="20"/>
          <w:color w:val="auto"/>
        </w:rPr>
      </w:pPr>
      <w:r>
        <w:rPr>
          <w:rFonts w:ascii="Calibri" w:cs="Calibri" w:eastAsia="Calibri" w:hAnsi="Calibri"/>
          <w:sz w:val="16"/>
          <w:szCs w:val="16"/>
          <w:color w:val="auto"/>
        </w:rPr>
        <w:t>other people with such informaton or to recommend that they buy or sell the securites. This is called “tpping.” In that case, both the person who provides the “tp” and the person who receives it may both be held liable for insider trading.</w:t>
      </w:r>
    </w:p>
    <w:p>
      <w:pPr>
        <w:sectPr>
          <w:pgSz w:w="11900" w:h="16838" w:orient="portrait"/>
          <w:cols w:equalWidth="0" w:num="1">
            <w:col w:w="10394"/>
          </w:cols>
          <w:pgMar w:left="1066" w:top="1430" w:right="439" w:bottom="1440" w:gutter="0" w:footer="0" w:header="0"/>
        </w:sectPr>
      </w:pPr>
    </w:p>
    <w:bookmarkStart w:id="112" w:name="page113"/>
    <w:bookmarkEnd w:id="112"/>
    <w:p>
      <w:pPr>
        <w:spacing w:after="0" w:line="234" w:lineRule="exact"/>
        <w:rPr>
          <w:sz w:val="20"/>
          <w:szCs w:val="20"/>
          <w:color w:val="auto"/>
        </w:rPr>
      </w:pPr>
    </w:p>
    <w:p>
      <w:pPr>
        <w:ind w:left="1217" w:right="20" w:hanging="407"/>
        <w:spacing w:after="0" w:line="263" w:lineRule="auto"/>
        <w:tabs>
          <w:tab w:leader="none" w:pos="1207" w:val="left"/>
        </w:tabs>
        <w:numPr>
          <w:ilvl w:val="3"/>
          <w:numId w:val="55"/>
        </w:numPr>
        <w:rPr>
          <w:rFonts w:ascii="Arial" w:cs="Arial" w:eastAsia="Arial" w:hAnsi="Arial"/>
          <w:sz w:val="16"/>
          <w:szCs w:val="16"/>
          <w:color w:val="auto"/>
        </w:rPr>
      </w:pPr>
      <w:r>
        <w:rPr>
          <w:rFonts w:ascii="Calibri" w:cs="Calibri" w:eastAsia="Calibri" w:hAnsi="Calibri"/>
          <w:sz w:val="16"/>
          <w:szCs w:val="16"/>
          <w:color w:val="auto"/>
        </w:rPr>
        <w:t>Inside informaton is an asset of the Company. It does not belong to the individual directors, oﬃcers, or other employees who may handle it or otherwise become knowledgeable about it.</w:t>
      </w:r>
    </w:p>
    <w:p>
      <w:pPr>
        <w:spacing w:after="0" w:line="260" w:lineRule="exact"/>
        <w:rPr>
          <w:rFonts w:ascii="Arial" w:cs="Arial" w:eastAsia="Arial" w:hAnsi="Arial"/>
          <w:sz w:val="16"/>
          <w:szCs w:val="16"/>
          <w:color w:val="auto"/>
        </w:rPr>
      </w:pPr>
    </w:p>
    <w:p>
      <w:pPr>
        <w:ind w:left="1217" w:right="20" w:hanging="407"/>
        <w:spacing w:after="0" w:line="251" w:lineRule="auto"/>
        <w:tabs>
          <w:tab w:leader="none" w:pos="1234" w:val="left"/>
        </w:tabs>
        <w:numPr>
          <w:ilvl w:val="3"/>
          <w:numId w:val="55"/>
        </w:numPr>
        <w:rPr>
          <w:rFonts w:ascii="Arial" w:cs="Arial" w:eastAsia="Arial" w:hAnsi="Arial"/>
          <w:sz w:val="16"/>
          <w:szCs w:val="16"/>
          <w:color w:val="auto"/>
        </w:rPr>
      </w:pPr>
      <w:r>
        <w:rPr>
          <w:rFonts w:ascii="Calibri" w:cs="Calibri" w:eastAsia="Calibri" w:hAnsi="Calibri"/>
          <w:sz w:val="16"/>
          <w:szCs w:val="16"/>
          <w:color w:val="auto"/>
        </w:rPr>
        <w:t>For any person to use such informaton for personal benefit or to disclose it to others outside the Company violates the Company’s interests.</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1217" w:right="20" w:hanging="407"/>
        <w:spacing w:after="0" w:line="263" w:lineRule="auto"/>
        <w:tabs>
          <w:tab w:leader="none" w:pos="1207" w:val="left"/>
        </w:tabs>
        <w:numPr>
          <w:ilvl w:val="3"/>
          <w:numId w:val="55"/>
        </w:numPr>
        <w:rPr>
          <w:rFonts w:ascii="Arial" w:cs="Arial" w:eastAsia="Arial" w:hAnsi="Arial"/>
          <w:sz w:val="16"/>
          <w:szCs w:val="16"/>
          <w:color w:val="auto"/>
        </w:rPr>
      </w:pPr>
      <w:r>
        <w:rPr>
          <w:rFonts w:ascii="Calibri" w:cs="Calibri" w:eastAsia="Calibri" w:hAnsi="Calibri"/>
          <w:sz w:val="16"/>
          <w:szCs w:val="16"/>
          <w:color w:val="auto"/>
        </w:rPr>
        <w:t>More partcularly, in connecton with trading in the Company’s securites, it is a fraud against members of the investng public and against the Company.</w:t>
      </w:r>
    </w:p>
    <w:p>
      <w:pPr>
        <w:spacing w:after="0" w:line="287" w:lineRule="exact"/>
        <w:rPr>
          <w:rFonts w:ascii="Arial" w:cs="Arial" w:eastAsia="Arial" w:hAnsi="Arial"/>
          <w:sz w:val="16"/>
          <w:szCs w:val="16"/>
          <w:color w:val="auto"/>
        </w:rPr>
      </w:pPr>
    </w:p>
    <w:p>
      <w:pPr>
        <w:ind w:left="1217" w:hanging="407"/>
        <w:spacing w:after="0" w:line="263" w:lineRule="auto"/>
        <w:tabs>
          <w:tab w:leader="none" w:pos="1220" w:val="left"/>
        </w:tabs>
        <w:numPr>
          <w:ilvl w:val="3"/>
          <w:numId w:val="55"/>
        </w:numPr>
        <w:rPr>
          <w:rFonts w:ascii="Arial" w:cs="Arial" w:eastAsia="Arial" w:hAnsi="Arial"/>
          <w:sz w:val="16"/>
          <w:szCs w:val="16"/>
          <w:color w:val="auto"/>
        </w:rPr>
      </w:pPr>
      <w:r>
        <w:rPr>
          <w:rFonts w:ascii="Calibri" w:cs="Calibri" w:eastAsia="Calibri" w:hAnsi="Calibri"/>
          <w:sz w:val="16"/>
          <w:szCs w:val="16"/>
          <w:color w:val="auto"/>
        </w:rPr>
        <w:t>The mere percepton that a person subject to this Policy traded with the knowledge of material inside informaton could harm the reputaton of both the Company and that person who traded.</w:t>
      </w:r>
    </w:p>
    <w:p>
      <w:pPr>
        <w:spacing w:after="0" w:line="245" w:lineRule="exact"/>
        <w:rPr>
          <w:rFonts w:ascii="Arial" w:cs="Arial" w:eastAsia="Arial" w:hAnsi="Arial"/>
          <w:sz w:val="16"/>
          <w:szCs w:val="16"/>
          <w:color w:val="auto"/>
        </w:rPr>
      </w:pPr>
    </w:p>
    <w:p>
      <w:pPr>
        <w:ind w:left="237" w:hanging="237"/>
        <w:spacing w:after="0"/>
        <w:tabs>
          <w:tab w:leader="none" w:pos="237" w:val="left"/>
        </w:tabs>
        <w:numPr>
          <w:ilvl w:val="0"/>
          <w:numId w:val="55"/>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i w:val="1"/>
          <w:iCs w:val="1"/>
          <w:color w:val="auto"/>
        </w:rPr>
        <w:t>Who Does the Policy Apply To?</w:t>
      </w:r>
    </w:p>
    <w:p>
      <w:pPr>
        <w:spacing w:after="0" w:line="333" w:lineRule="exact"/>
        <w:rPr>
          <w:rFonts w:ascii="Calibri" w:cs="Calibri" w:eastAsia="Calibri" w:hAnsi="Calibri"/>
          <w:sz w:val="16"/>
          <w:szCs w:val="16"/>
          <w:b w:val="1"/>
          <w:bCs w:val="1"/>
          <w:i w:val="1"/>
          <w:iCs w:val="1"/>
          <w:color w:val="auto"/>
        </w:rPr>
      </w:pPr>
    </w:p>
    <w:p>
      <w:pPr>
        <w:ind w:left="557" w:right="20" w:hanging="314"/>
        <w:spacing w:after="0" w:line="263" w:lineRule="auto"/>
        <w:tabs>
          <w:tab w:leader="none" w:pos="547" w:val="left"/>
        </w:tabs>
        <w:numPr>
          <w:ilvl w:val="1"/>
          <w:numId w:val="55"/>
        </w:numPr>
        <w:rPr>
          <w:rFonts w:ascii="Arial" w:cs="Arial" w:eastAsia="Arial" w:hAnsi="Arial"/>
          <w:sz w:val="16"/>
          <w:szCs w:val="16"/>
          <w:color w:val="auto"/>
        </w:rPr>
      </w:pPr>
      <w:r>
        <w:rPr>
          <w:rFonts w:ascii="Calibri" w:cs="Calibri" w:eastAsia="Calibri" w:hAnsi="Calibri"/>
          <w:sz w:val="16"/>
          <w:szCs w:val="16"/>
          <w:color w:val="auto"/>
        </w:rPr>
        <w:t>The prohibiton against trading on inside informaton applies to directors, oﬃcers, employees (U.S. and internatonal) and agents (including consultants and independent contractors) of the Company, its subsidiaries and aﬃliates, and to other people who gain access to that information.</w:t>
      </w:r>
    </w:p>
    <w:p>
      <w:pPr>
        <w:spacing w:after="0" w:line="272" w:lineRule="exact"/>
        <w:rPr>
          <w:rFonts w:ascii="Arial" w:cs="Arial" w:eastAsia="Arial" w:hAnsi="Arial"/>
          <w:sz w:val="16"/>
          <w:szCs w:val="16"/>
          <w:color w:val="auto"/>
        </w:rPr>
      </w:pPr>
    </w:p>
    <w:p>
      <w:pPr>
        <w:ind w:left="797" w:hanging="230"/>
        <w:spacing w:after="0"/>
        <w:tabs>
          <w:tab w:leader="none" w:pos="797" w:val="left"/>
        </w:tabs>
        <w:numPr>
          <w:ilvl w:val="2"/>
          <w:numId w:val="55"/>
        </w:numPr>
        <w:rPr>
          <w:rFonts w:ascii="Arial" w:cs="Arial" w:eastAsia="Arial" w:hAnsi="Arial"/>
          <w:sz w:val="16"/>
          <w:szCs w:val="16"/>
          <w:color w:val="auto"/>
        </w:rPr>
      </w:pPr>
      <w:r>
        <w:rPr>
          <w:rFonts w:ascii="Calibri" w:cs="Calibri" w:eastAsia="Calibri" w:hAnsi="Calibri"/>
          <w:sz w:val="16"/>
          <w:szCs w:val="16"/>
          <w:color w:val="auto"/>
        </w:rPr>
        <w:t>The prohibiton also applies to:</w:t>
      </w:r>
    </w:p>
    <w:p>
      <w:pPr>
        <w:spacing w:after="0" w:line="305" w:lineRule="exact"/>
        <w:rPr>
          <w:rFonts w:ascii="Arial" w:cs="Arial" w:eastAsia="Arial" w:hAnsi="Arial"/>
          <w:sz w:val="16"/>
          <w:szCs w:val="16"/>
          <w:color w:val="auto"/>
        </w:rPr>
      </w:pPr>
    </w:p>
    <w:p>
      <w:pPr>
        <w:ind w:left="1057" w:right="20" w:hanging="243"/>
        <w:spacing w:after="0" w:line="263" w:lineRule="auto"/>
        <w:rPr>
          <w:rFonts w:ascii="Arial" w:cs="Arial" w:eastAsia="Arial" w:hAnsi="Arial"/>
          <w:sz w:val="16"/>
          <w:szCs w:val="16"/>
          <w:color w:val="auto"/>
        </w:rPr>
      </w:pPr>
      <w:r>
        <w:rPr>
          <w:rFonts w:ascii="Calibri" w:cs="Calibri" w:eastAsia="Calibri" w:hAnsi="Calibri"/>
          <w:sz w:val="16"/>
          <w:szCs w:val="16"/>
          <w:color w:val="auto"/>
        </w:rPr>
        <w:t>a) the spouses, domestc partners, children (even if financially independent), immediate families and members of households – whether or not related – of such directors, oﬃcers and employees, and</w:t>
      </w:r>
    </w:p>
    <w:p>
      <w:pPr>
        <w:spacing w:after="0" w:line="272"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Calibri" w:cs="Calibri" w:eastAsia="Calibri" w:hAnsi="Calibri"/>
          <w:sz w:val="16"/>
          <w:szCs w:val="16"/>
          <w:color w:val="auto"/>
        </w:rPr>
        <w:t>b)  anyone to whom such directors, oﬃcers or employees provide significant financial support.</w:t>
      </w:r>
    </w:p>
    <w:p>
      <w:pPr>
        <w:spacing w:after="0" w:line="304" w:lineRule="exact"/>
        <w:rPr>
          <w:rFonts w:ascii="Arial" w:cs="Arial" w:eastAsia="Arial" w:hAnsi="Arial"/>
          <w:sz w:val="16"/>
          <w:szCs w:val="16"/>
          <w:color w:val="auto"/>
        </w:rPr>
      </w:pPr>
    </w:p>
    <w:p>
      <w:pPr>
        <w:ind w:left="797" w:hanging="230"/>
        <w:spacing w:after="0"/>
        <w:tabs>
          <w:tab w:leader="none" w:pos="797" w:val="left"/>
        </w:tabs>
        <w:numPr>
          <w:ilvl w:val="2"/>
          <w:numId w:val="55"/>
        </w:numPr>
        <w:rPr>
          <w:rFonts w:ascii="Arial" w:cs="Arial" w:eastAsia="Arial" w:hAnsi="Arial"/>
          <w:sz w:val="16"/>
          <w:szCs w:val="16"/>
          <w:color w:val="auto"/>
        </w:rPr>
      </w:pPr>
      <w:r>
        <w:rPr>
          <w:rFonts w:ascii="Calibri" w:cs="Calibri" w:eastAsia="Calibri" w:hAnsi="Calibri"/>
          <w:sz w:val="16"/>
          <w:szCs w:val="16"/>
          <w:color w:val="auto"/>
        </w:rPr>
        <w:t>Further, the prohibiton applies to:</w:t>
      </w:r>
    </w:p>
    <w:p>
      <w:pPr>
        <w:spacing w:after="0" w:line="304" w:lineRule="exact"/>
        <w:rPr>
          <w:rFonts w:ascii="Arial" w:cs="Arial" w:eastAsia="Arial" w:hAnsi="Arial"/>
          <w:sz w:val="16"/>
          <w:szCs w:val="16"/>
          <w:color w:val="auto"/>
        </w:rPr>
      </w:pPr>
    </w:p>
    <w:p>
      <w:pPr>
        <w:ind w:left="1057" w:hanging="247"/>
        <w:spacing w:after="0"/>
        <w:tabs>
          <w:tab w:leader="none" w:pos="1057" w:val="left"/>
        </w:tabs>
        <w:numPr>
          <w:ilvl w:val="4"/>
          <w:numId w:val="55"/>
        </w:numPr>
        <w:rPr>
          <w:rFonts w:ascii="Calibri" w:cs="Calibri" w:eastAsia="Calibri" w:hAnsi="Calibri"/>
          <w:sz w:val="16"/>
          <w:szCs w:val="16"/>
          <w:color w:val="auto"/>
        </w:rPr>
      </w:pPr>
      <w:r>
        <w:rPr>
          <w:rFonts w:ascii="Calibri" w:cs="Calibri" w:eastAsia="Calibri" w:hAnsi="Calibri"/>
          <w:sz w:val="16"/>
          <w:szCs w:val="16"/>
          <w:color w:val="auto"/>
        </w:rPr>
        <w:t>any account over which directors, oﬃcers, employees and the persons listed in a) and</w:t>
      </w:r>
    </w:p>
    <w:p>
      <w:pPr>
        <w:spacing w:after="0" w:line="35" w:lineRule="exact"/>
        <w:rPr>
          <w:rFonts w:ascii="Calibri" w:cs="Calibri" w:eastAsia="Calibri" w:hAnsi="Calibri"/>
          <w:sz w:val="16"/>
          <w:szCs w:val="16"/>
          <w:color w:val="auto"/>
        </w:rPr>
      </w:pPr>
    </w:p>
    <w:p>
      <w:pPr>
        <w:ind w:left="1057" w:right="460" w:hanging="4"/>
        <w:spacing w:after="0" w:line="263" w:lineRule="auto"/>
        <w:tabs>
          <w:tab w:leader="none" w:pos="1256" w:val="left"/>
        </w:tabs>
        <w:numPr>
          <w:ilvl w:val="5"/>
          <w:numId w:val="55"/>
        </w:numPr>
        <w:rPr>
          <w:rFonts w:ascii="Calibri" w:cs="Calibri" w:eastAsia="Calibri" w:hAnsi="Calibri"/>
          <w:sz w:val="16"/>
          <w:szCs w:val="16"/>
          <w:color w:val="auto"/>
        </w:rPr>
      </w:pPr>
      <w:r>
        <w:rPr>
          <w:rFonts w:ascii="Calibri" w:cs="Calibri" w:eastAsia="Calibri" w:hAnsi="Calibri"/>
          <w:sz w:val="16"/>
          <w:szCs w:val="16"/>
          <w:color w:val="auto"/>
        </w:rPr>
        <w:t>above have or share the power, directly or indirectly, to make investment decisions (whether or not such persons have a financial interest in the account), and</w:t>
      </w:r>
    </w:p>
    <w:p>
      <w:pPr>
        <w:spacing w:after="0" w:line="273" w:lineRule="exact"/>
        <w:rPr>
          <w:rFonts w:ascii="Calibri" w:cs="Calibri" w:eastAsia="Calibri" w:hAnsi="Calibri"/>
          <w:sz w:val="16"/>
          <w:szCs w:val="16"/>
          <w:color w:val="auto"/>
        </w:rPr>
      </w:pPr>
    </w:p>
    <w:p>
      <w:pPr>
        <w:ind w:left="1057" w:hanging="247"/>
        <w:spacing w:after="0" w:line="263" w:lineRule="auto"/>
        <w:tabs>
          <w:tab w:leader="none" w:pos="1053" w:val="left"/>
        </w:tabs>
        <w:numPr>
          <w:ilvl w:val="4"/>
          <w:numId w:val="55"/>
        </w:numPr>
        <w:rPr>
          <w:rFonts w:ascii="Calibri" w:cs="Calibri" w:eastAsia="Calibri" w:hAnsi="Calibri"/>
          <w:sz w:val="16"/>
          <w:szCs w:val="16"/>
          <w:color w:val="auto"/>
        </w:rPr>
      </w:pPr>
      <w:r>
        <w:rPr>
          <w:rFonts w:ascii="Calibri" w:cs="Calibri" w:eastAsia="Calibri" w:hAnsi="Calibri"/>
          <w:sz w:val="16"/>
          <w:szCs w:val="16"/>
          <w:color w:val="auto"/>
        </w:rPr>
        <w:t>those accounts established or maintained by such persons with their consent or knowledge and in which such persons have a direct or indirect financial interest.</w:t>
      </w:r>
    </w:p>
    <w:p>
      <w:pPr>
        <w:spacing w:after="0" w:line="287" w:lineRule="exact"/>
        <w:rPr>
          <w:rFonts w:ascii="Calibri" w:cs="Calibri" w:eastAsia="Calibri" w:hAnsi="Calibri"/>
          <w:sz w:val="16"/>
          <w:szCs w:val="16"/>
          <w:color w:val="auto"/>
        </w:rPr>
      </w:pPr>
    </w:p>
    <w:p>
      <w:pPr>
        <w:ind w:left="817" w:right="3640" w:hanging="250"/>
        <w:spacing w:after="0" w:line="279" w:lineRule="auto"/>
        <w:tabs>
          <w:tab w:leader="none" w:pos="807" w:val="left"/>
        </w:tabs>
        <w:numPr>
          <w:ilvl w:val="2"/>
          <w:numId w:val="55"/>
        </w:numPr>
        <w:rPr>
          <w:rFonts w:ascii="Arial" w:cs="Arial" w:eastAsia="Arial" w:hAnsi="Arial"/>
          <w:sz w:val="16"/>
          <w:szCs w:val="16"/>
          <w:color w:val="auto"/>
        </w:rPr>
      </w:pPr>
      <w:r>
        <w:rPr>
          <w:rFonts w:ascii="Calibri" w:cs="Calibri" w:eastAsia="Calibri" w:hAnsi="Calibri"/>
          <w:sz w:val="16"/>
          <w:szCs w:val="16"/>
          <w:color w:val="auto"/>
        </w:rPr>
        <w:t xml:space="preserve">Additonal restrictons on trading for </w:t>
      </w:r>
      <w:r>
        <w:rPr>
          <w:rFonts w:ascii="Calibri" w:cs="Calibri" w:eastAsia="Calibri" w:hAnsi="Calibri"/>
          <w:sz w:val="16"/>
          <w:szCs w:val="16"/>
          <w:b w:val="1"/>
          <w:bCs w:val="1"/>
          <w:color w:val="auto"/>
        </w:rPr>
        <w:t>all persons</w:t>
      </w:r>
      <w:r>
        <w:rPr>
          <w:rFonts w:ascii="Calibri" w:cs="Calibri" w:eastAsia="Calibri" w:hAnsi="Calibri"/>
          <w:sz w:val="16"/>
          <w:szCs w:val="16"/>
          <w:color w:val="auto"/>
        </w:rPr>
        <w:t xml:space="preserve"> subject to this Policy are discussed in </w:t>
      </w:r>
      <w:r>
        <w:rPr>
          <w:rFonts w:ascii="Calibri" w:cs="Calibri" w:eastAsia="Calibri" w:hAnsi="Calibri"/>
          <w:sz w:val="16"/>
          <w:szCs w:val="16"/>
          <w:b w:val="1"/>
          <w:bCs w:val="1"/>
          <w:i w:val="1"/>
          <w:iCs w:val="1"/>
          <w:u w:val="single" w:color="auto"/>
          <w:color w:val="auto"/>
        </w:rPr>
        <w:t>Secton IV</w:t>
      </w:r>
      <w:r>
        <w:rPr>
          <w:rFonts w:ascii="Calibri" w:cs="Calibri" w:eastAsia="Calibri" w:hAnsi="Calibri"/>
          <w:sz w:val="16"/>
          <w:szCs w:val="16"/>
          <w:b w:val="1"/>
          <w:bCs w:val="1"/>
          <w:i w:val="1"/>
          <w:iCs w:val="1"/>
          <w:color w:val="auto"/>
        </w:rPr>
        <w:t xml:space="preserve"> </w:t>
      </w:r>
      <w:r>
        <w:rPr>
          <w:rFonts w:ascii="Calibri" w:cs="Calibri" w:eastAsia="Calibri" w:hAnsi="Calibri"/>
          <w:sz w:val="16"/>
          <w:szCs w:val="16"/>
          <w:color w:val="auto"/>
        </w:rPr>
        <w:t>below.</w:t>
      </w:r>
    </w:p>
    <w:p>
      <w:pPr>
        <w:spacing w:after="0" w:line="274" w:lineRule="exact"/>
        <w:rPr>
          <w:rFonts w:ascii="Arial" w:cs="Arial" w:eastAsia="Arial" w:hAnsi="Arial"/>
          <w:sz w:val="16"/>
          <w:szCs w:val="16"/>
          <w:color w:val="auto"/>
        </w:rPr>
      </w:pPr>
    </w:p>
    <w:p>
      <w:pPr>
        <w:ind w:left="817" w:right="20" w:hanging="250"/>
        <w:spacing w:after="0" w:line="263" w:lineRule="auto"/>
        <w:tabs>
          <w:tab w:leader="none" w:pos="820" w:val="left"/>
        </w:tabs>
        <w:numPr>
          <w:ilvl w:val="2"/>
          <w:numId w:val="55"/>
        </w:numPr>
        <w:rPr>
          <w:rFonts w:ascii="Arial" w:cs="Arial" w:eastAsia="Arial" w:hAnsi="Arial"/>
          <w:sz w:val="16"/>
          <w:szCs w:val="16"/>
          <w:color w:val="auto"/>
        </w:rPr>
      </w:pPr>
      <w:r>
        <w:rPr>
          <w:rFonts w:ascii="Calibri" w:cs="Calibri" w:eastAsia="Calibri" w:hAnsi="Calibri"/>
          <w:sz w:val="16"/>
          <w:szCs w:val="16"/>
          <w:color w:val="auto"/>
        </w:rPr>
        <w:t xml:space="preserve">Due to their access to confidental informaton on a regular basis, Company policy subjects some persons, including its directors, oﬃcers, certain employees and others are subject to </w:t>
      </w:r>
      <w:r>
        <w:rPr>
          <w:rFonts w:ascii="Calibri" w:cs="Calibri" w:eastAsia="Calibri" w:hAnsi="Calibri"/>
          <w:sz w:val="16"/>
          <w:szCs w:val="16"/>
          <w:b w:val="1"/>
          <w:bCs w:val="1"/>
          <w:color w:val="auto"/>
        </w:rPr>
        <w:t>even more restrictons</w:t>
      </w:r>
      <w:r>
        <w:rPr>
          <w:rFonts w:ascii="Calibri" w:cs="Calibri" w:eastAsia="Calibri" w:hAnsi="Calibri"/>
          <w:sz w:val="16"/>
          <w:szCs w:val="16"/>
          <w:color w:val="auto"/>
        </w:rPr>
        <w:t xml:space="preserve"> on trading in Company securites as discussed in </w:t>
      </w:r>
      <w:r>
        <w:rPr>
          <w:rFonts w:ascii="Calibri" w:cs="Calibri" w:eastAsia="Calibri" w:hAnsi="Calibri"/>
          <w:sz w:val="16"/>
          <w:szCs w:val="16"/>
          <w:b w:val="1"/>
          <w:bCs w:val="1"/>
          <w:i w:val="1"/>
          <w:iCs w:val="1"/>
          <w:u w:val="single" w:color="auto"/>
          <w:color w:val="auto"/>
        </w:rPr>
        <w:t>Secton IV</w:t>
      </w:r>
      <w:r>
        <w:rPr>
          <w:rFonts w:ascii="Calibri" w:cs="Calibri" w:eastAsia="Calibri" w:hAnsi="Calibri"/>
          <w:sz w:val="16"/>
          <w:szCs w:val="16"/>
          <w:color w:val="auto"/>
        </w:rPr>
        <w:t xml:space="preserve"> below.</w:t>
      </w:r>
    </w:p>
    <w:p>
      <w:pPr>
        <w:sectPr>
          <w:pgSz w:w="11900" w:h="16838" w:orient="portrait"/>
          <w:cols w:equalWidth="0" w:num="1">
            <w:col w:w="10637"/>
          </w:cols>
          <w:pgMar w:left="823" w:top="1440" w:right="439" w:bottom="1440" w:gutter="0" w:footer="0" w:header="0"/>
        </w:sectPr>
      </w:pPr>
    </w:p>
    <w:bookmarkStart w:id="113" w:name="page114"/>
    <w:bookmarkEnd w:id="113"/>
    <w:p>
      <w:pPr>
        <w:spacing w:after="0" w:line="219" w:lineRule="exact"/>
        <w:rPr>
          <w:sz w:val="20"/>
          <w:szCs w:val="20"/>
          <w:color w:val="auto"/>
        </w:rPr>
      </w:pPr>
    </w:p>
    <w:p>
      <w:pPr>
        <w:ind w:left="622" w:hanging="622"/>
        <w:spacing w:after="0"/>
        <w:tabs>
          <w:tab w:leader="none" w:pos="622" w:val="left"/>
        </w:tabs>
        <w:numPr>
          <w:ilvl w:val="0"/>
          <w:numId w:val="56"/>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i w:val="1"/>
          <w:iCs w:val="1"/>
          <w:color w:val="auto"/>
        </w:rPr>
        <w:t>PROHIBITED TRANSACTIONS</w:t>
      </w:r>
    </w:p>
    <w:p>
      <w:pPr>
        <w:spacing w:after="0" w:line="304" w:lineRule="exact"/>
        <w:rPr>
          <w:sz w:val="20"/>
          <w:szCs w:val="20"/>
          <w:color w:val="auto"/>
        </w:rPr>
      </w:pPr>
    </w:p>
    <w:p>
      <w:pPr>
        <w:ind w:left="1282" w:hanging="634"/>
        <w:spacing w:after="0"/>
        <w:tabs>
          <w:tab w:leader="none" w:pos="1282" w:val="left"/>
        </w:tabs>
        <w:numPr>
          <w:ilvl w:val="0"/>
          <w:numId w:val="57"/>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i w:val="1"/>
          <w:iCs w:val="1"/>
          <w:color w:val="auto"/>
        </w:rPr>
        <w:t>Other Companies’ Stock.</w:t>
      </w:r>
    </w:p>
    <w:p>
      <w:pPr>
        <w:spacing w:after="0" w:line="306" w:lineRule="exact"/>
        <w:rPr>
          <w:sz w:val="20"/>
          <w:szCs w:val="20"/>
          <w:color w:val="auto"/>
        </w:rPr>
      </w:pPr>
    </w:p>
    <w:p>
      <w:pPr>
        <w:jc w:val="both"/>
        <w:ind w:left="642" w:right="20"/>
        <w:spacing w:after="0" w:line="259" w:lineRule="auto"/>
        <w:rPr>
          <w:sz w:val="20"/>
          <w:szCs w:val="20"/>
          <w:color w:val="auto"/>
        </w:rPr>
      </w:pPr>
      <w:r>
        <w:rPr>
          <w:rFonts w:ascii="Calibri" w:cs="Calibri" w:eastAsia="Calibri" w:hAnsi="Calibri"/>
          <w:sz w:val="16"/>
          <w:szCs w:val="16"/>
          <w:color w:val="auto"/>
        </w:rPr>
        <w:t>Directors, oﬃcers, employees and other persons subject to this Policy who – through their work at the Company – learn material informaton about another publicly traded company, including, suppliers, customers, partners, collaborators or compettors of the Company, through their work at the Company, should keep it confidental and not buy or sell stock or other securites in such companies untl the informaton becomes public. Directors, oﬃcers, employees and other persons subject to this Policy should not give tps about such stock.</w:t>
      </w:r>
    </w:p>
    <w:p>
      <w:pPr>
        <w:spacing w:after="0" w:line="289" w:lineRule="exact"/>
        <w:rPr>
          <w:sz w:val="20"/>
          <w:szCs w:val="20"/>
          <w:color w:val="auto"/>
        </w:rPr>
      </w:pPr>
    </w:p>
    <w:p>
      <w:pPr>
        <w:ind w:left="1302" w:hanging="654"/>
        <w:spacing w:after="0"/>
        <w:tabs>
          <w:tab w:leader="none" w:pos="1302" w:val="left"/>
        </w:tabs>
        <w:numPr>
          <w:ilvl w:val="1"/>
          <w:numId w:val="58"/>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i w:val="1"/>
          <w:iCs w:val="1"/>
          <w:color w:val="auto"/>
        </w:rPr>
        <w:t>Short Selling, Hedging and Derivatives.</w:t>
      </w:r>
    </w:p>
    <w:p>
      <w:pPr>
        <w:spacing w:after="0" w:line="319" w:lineRule="exact"/>
        <w:rPr>
          <w:rFonts w:ascii="Calibri" w:cs="Calibri" w:eastAsia="Calibri" w:hAnsi="Calibri"/>
          <w:sz w:val="16"/>
          <w:szCs w:val="16"/>
          <w:b w:val="1"/>
          <w:bCs w:val="1"/>
          <w:i w:val="1"/>
          <w:iCs w:val="1"/>
          <w:color w:val="auto"/>
        </w:rPr>
      </w:pPr>
    </w:p>
    <w:p>
      <w:pPr>
        <w:jc w:val="both"/>
        <w:ind w:left="962" w:right="20" w:hanging="314"/>
        <w:spacing w:after="0" w:line="234" w:lineRule="auto"/>
        <w:tabs>
          <w:tab w:leader="none" w:pos="952" w:val="left"/>
        </w:tabs>
        <w:numPr>
          <w:ilvl w:val="0"/>
          <w:numId w:val="58"/>
        </w:numPr>
        <w:rPr>
          <w:rFonts w:ascii="Arial" w:cs="Arial" w:eastAsia="Arial" w:hAnsi="Arial"/>
          <w:sz w:val="16"/>
          <w:szCs w:val="16"/>
          <w:color w:val="auto"/>
        </w:rPr>
      </w:pPr>
      <w:r>
        <w:rPr>
          <w:rFonts w:ascii="Calibri" w:cs="Calibri" w:eastAsia="Calibri" w:hAnsi="Calibri"/>
          <w:sz w:val="16"/>
          <w:szCs w:val="16"/>
          <w:color w:val="auto"/>
        </w:rPr>
        <w:t>Directors, oﬃcers, employees and other persons subject to this Policy are prohibited from engaging in any derivatve transactons (including transactons involving optons, puts, calls, prepaid variable forward contracts, equity swaps, collars and exchange funds or other derivatves) that are designed to hedge or speculate on any change in the market value of the Company’s securites.</w:t>
      </w:r>
    </w:p>
    <w:p>
      <w:pPr>
        <w:spacing w:after="0" w:line="292" w:lineRule="exact"/>
        <w:rPr>
          <w:rFonts w:ascii="Arial" w:cs="Arial" w:eastAsia="Arial" w:hAnsi="Arial"/>
          <w:sz w:val="16"/>
          <w:szCs w:val="16"/>
          <w:color w:val="auto"/>
        </w:rPr>
      </w:pPr>
    </w:p>
    <w:p>
      <w:pPr>
        <w:jc w:val="both"/>
        <w:ind w:left="962" w:hanging="314"/>
        <w:spacing w:after="0" w:line="236" w:lineRule="auto"/>
        <w:tabs>
          <w:tab w:leader="none" w:pos="952" w:val="left"/>
        </w:tabs>
        <w:numPr>
          <w:ilvl w:val="0"/>
          <w:numId w:val="58"/>
        </w:numPr>
        <w:rPr>
          <w:rFonts w:ascii="Arial" w:cs="Arial" w:eastAsia="Arial" w:hAnsi="Arial"/>
          <w:sz w:val="16"/>
          <w:szCs w:val="16"/>
          <w:color w:val="auto"/>
        </w:rPr>
      </w:pPr>
      <w:r>
        <w:rPr>
          <w:rFonts w:ascii="Calibri" w:cs="Calibri" w:eastAsia="Calibri" w:hAnsi="Calibri"/>
          <w:sz w:val="16"/>
          <w:szCs w:val="16"/>
          <w:color w:val="auto"/>
        </w:rPr>
        <w:t>Directors, oﬃcers, employees and other persons subject to this Policy are also prohibited from short selling or “shortng” the Company’s stock. A short seller seeks to profit when a company’s share price declines. “Shortng” involves borrowing shares from a broker, selling them in the market, buying them back at a lower price and returning the borrowed shares to the lender. The short seller profits on the diﬀerence between the price when they sold the shares and the lower price when they buy them back. Short selling is contrary to the Company’s interests and is so troubling that it is illegal for directors and executve oﬃcers of</w:t>
      </w:r>
    </w:p>
    <w:p>
      <w:pPr>
        <w:spacing w:after="0" w:line="9" w:lineRule="exact"/>
        <w:rPr>
          <w:rFonts w:ascii="Arial" w:cs="Arial" w:eastAsia="Arial" w:hAnsi="Arial"/>
          <w:sz w:val="16"/>
          <w:szCs w:val="16"/>
          <w:color w:val="auto"/>
        </w:rPr>
      </w:pPr>
    </w:p>
    <w:p>
      <w:pPr>
        <w:ind w:left="962"/>
        <w:spacing w:after="0"/>
        <w:rPr>
          <w:rFonts w:ascii="Arial" w:cs="Arial" w:eastAsia="Arial" w:hAnsi="Arial"/>
          <w:sz w:val="16"/>
          <w:szCs w:val="16"/>
          <w:color w:val="auto"/>
        </w:rPr>
      </w:pPr>
      <w:r>
        <w:rPr>
          <w:rFonts w:ascii="Calibri" w:cs="Calibri" w:eastAsia="Calibri" w:hAnsi="Calibri"/>
          <w:sz w:val="16"/>
          <w:szCs w:val="16"/>
          <w:color w:val="auto"/>
        </w:rPr>
        <w:t>U.S. companies to short their own company’s stock.</w:t>
      </w:r>
    </w:p>
    <w:p>
      <w:pPr>
        <w:spacing w:after="0" w:line="290" w:lineRule="exact"/>
        <w:rPr>
          <w:rFonts w:ascii="Arial" w:cs="Arial" w:eastAsia="Arial" w:hAnsi="Arial"/>
          <w:sz w:val="16"/>
          <w:szCs w:val="16"/>
          <w:color w:val="auto"/>
        </w:rPr>
      </w:pPr>
    </w:p>
    <w:p>
      <w:pPr>
        <w:ind w:left="962" w:hanging="314"/>
        <w:spacing w:after="0"/>
        <w:tabs>
          <w:tab w:leader="none" w:pos="962" w:val="left"/>
        </w:tabs>
        <w:numPr>
          <w:ilvl w:val="0"/>
          <w:numId w:val="58"/>
        </w:numPr>
        <w:rPr>
          <w:rFonts w:ascii="Arial" w:cs="Arial" w:eastAsia="Arial" w:hAnsi="Arial"/>
          <w:sz w:val="16"/>
          <w:szCs w:val="16"/>
          <w:color w:val="auto"/>
        </w:rPr>
      </w:pPr>
      <w:r>
        <w:rPr>
          <w:rFonts w:ascii="Calibri" w:cs="Calibri" w:eastAsia="Calibri" w:hAnsi="Calibri"/>
          <w:sz w:val="16"/>
          <w:szCs w:val="16"/>
          <w:color w:val="auto"/>
        </w:rPr>
        <w:t>Derivatves are complicated and deserve special explanation.</w:t>
      </w:r>
    </w:p>
    <w:p>
      <w:pPr>
        <w:spacing w:after="0" w:line="305" w:lineRule="exact"/>
        <w:rPr>
          <w:rFonts w:ascii="Arial" w:cs="Arial" w:eastAsia="Arial" w:hAnsi="Arial"/>
          <w:sz w:val="16"/>
          <w:szCs w:val="16"/>
          <w:color w:val="auto"/>
        </w:rPr>
      </w:pPr>
    </w:p>
    <w:p>
      <w:pPr>
        <w:jc w:val="both"/>
        <w:ind w:left="962" w:right="20" w:hanging="314"/>
        <w:spacing w:after="0" w:line="236" w:lineRule="auto"/>
        <w:tabs>
          <w:tab w:leader="none" w:pos="952" w:val="left"/>
        </w:tabs>
        <w:numPr>
          <w:ilvl w:val="0"/>
          <w:numId w:val="58"/>
        </w:numPr>
        <w:rPr>
          <w:rFonts w:ascii="Arial" w:cs="Arial" w:eastAsia="Arial" w:hAnsi="Arial"/>
          <w:sz w:val="16"/>
          <w:szCs w:val="16"/>
          <w:color w:val="auto"/>
        </w:rPr>
      </w:pPr>
      <w:r>
        <w:rPr>
          <w:rFonts w:ascii="Calibri" w:cs="Calibri" w:eastAsia="Calibri" w:hAnsi="Calibri"/>
          <w:sz w:val="16"/>
          <w:szCs w:val="16"/>
          <w:color w:val="auto"/>
        </w:rPr>
        <w:t>Trading in optons or other derivatves is generally highly speculatve and very risky. People who buy optons are betng that the stock price will move rapidly. For that reason, when a person trades in optons of their employer’s stock, it can arouse suspicion in the eyes of the securites regulators, including the SEC, that the person was trading on the basis of inside informaton, partcularly where the trading occurs before an important company announcement or major event. It is diﬃcult for a director, oﬃcer, employee and other person subject to this Policy to prove that they did not know about the announcement or event.</w:t>
      </w:r>
    </w:p>
    <w:p>
      <w:pPr>
        <w:spacing w:after="0" w:line="295" w:lineRule="exact"/>
        <w:rPr>
          <w:rFonts w:ascii="Arial" w:cs="Arial" w:eastAsia="Arial" w:hAnsi="Arial"/>
          <w:sz w:val="16"/>
          <w:szCs w:val="16"/>
          <w:color w:val="auto"/>
        </w:rPr>
      </w:pPr>
    </w:p>
    <w:p>
      <w:pPr>
        <w:ind w:left="962" w:right="20" w:hanging="314"/>
        <w:spacing w:after="0" w:line="235" w:lineRule="auto"/>
        <w:tabs>
          <w:tab w:leader="none" w:pos="952" w:val="left"/>
        </w:tabs>
        <w:numPr>
          <w:ilvl w:val="0"/>
          <w:numId w:val="58"/>
        </w:numPr>
        <w:rPr>
          <w:rFonts w:ascii="Arial" w:cs="Arial" w:eastAsia="Arial" w:hAnsi="Arial"/>
          <w:sz w:val="16"/>
          <w:szCs w:val="16"/>
          <w:b w:val="1"/>
          <w:bCs w:val="1"/>
          <w:i w:val="1"/>
          <w:iCs w:val="1"/>
          <w:color w:val="auto"/>
        </w:rPr>
      </w:pPr>
      <w:r>
        <w:rPr>
          <w:rFonts w:ascii="Calibri" w:cs="Calibri" w:eastAsia="Calibri" w:hAnsi="Calibri"/>
          <w:sz w:val="16"/>
          <w:szCs w:val="16"/>
          <w:b w:val="1"/>
          <w:bCs w:val="1"/>
          <w:i w:val="1"/>
          <w:iCs w:val="1"/>
          <w:color w:val="auto"/>
        </w:rPr>
        <w:t xml:space="preserve">If the SEC, the stock exchange or other securites regulators were to notce actve optons trading by one or more directors, oﬃcers, employees </w:t>
      </w:r>
      <w:r>
        <w:rPr>
          <w:rFonts w:ascii="Calibri" w:cs="Calibri" w:eastAsia="Calibri" w:hAnsi="Calibri"/>
          <w:sz w:val="16"/>
          <w:szCs w:val="16"/>
          <w:b w:val="1"/>
          <w:bCs w:val="1"/>
          <w:color w:val="auto"/>
        </w:rPr>
        <w:t>and</w:t>
      </w:r>
      <w:r>
        <w:rPr>
          <w:rFonts w:ascii="Calibri" w:cs="Calibri" w:eastAsia="Calibri" w:hAnsi="Calibri"/>
          <w:sz w:val="16"/>
          <w:szCs w:val="16"/>
          <w:b w:val="1"/>
          <w:bCs w:val="1"/>
          <w:i w:val="1"/>
          <w:iCs w:val="1"/>
          <w:color w:val="auto"/>
        </w:rPr>
        <w:t xml:space="preserve"> </w:t>
      </w:r>
      <w:r>
        <w:rPr>
          <w:rFonts w:ascii="Calibri" w:cs="Calibri" w:eastAsia="Calibri" w:hAnsi="Calibri"/>
          <w:sz w:val="16"/>
          <w:szCs w:val="16"/>
          <w:b w:val="1"/>
          <w:bCs w:val="1"/>
          <w:color w:val="auto"/>
        </w:rPr>
        <w:t xml:space="preserve">other persons subject to this Policy </w:t>
      </w:r>
      <w:r>
        <w:rPr>
          <w:rFonts w:ascii="Calibri" w:cs="Calibri" w:eastAsia="Calibri" w:hAnsi="Calibri"/>
          <w:sz w:val="16"/>
          <w:szCs w:val="16"/>
          <w:b w:val="1"/>
          <w:bCs w:val="1"/>
          <w:i w:val="1"/>
          <w:iCs w:val="1"/>
          <w:color w:val="auto"/>
        </w:rPr>
        <w:t>of the Company prior to an announcement, they would investgate</w:t>
      </w:r>
      <w:r>
        <w:rPr>
          <w:rFonts w:ascii="Calibri" w:cs="Calibri" w:eastAsia="Calibri" w:hAnsi="Calibri"/>
          <w:sz w:val="16"/>
          <w:szCs w:val="16"/>
          <w:color w:val="auto"/>
        </w:rPr>
        <w:t>.</w:t>
      </w:r>
    </w:p>
    <w:p>
      <w:pPr>
        <w:spacing w:after="0" w:line="292" w:lineRule="exact"/>
        <w:rPr>
          <w:rFonts w:ascii="Arial" w:cs="Arial" w:eastAsia="Arial" w:hAnsi="Arial"/>
          <w:sz w:val="16"/>
          <w:szCs w:val="16"/>
          <w:b w:val="1"/>
          <w:bCs w:val="1"/>
          <w:i w:val="1"/>
          <w:iCs w:val="1"/>
          <w:color w:val="auto"/>
        </w:rPr>
      </w:pPr>
    </w:p>
    <w:p>
      <w:pPr>
        <w:ind w:left="962" w:right="20" w:hanging="314"/>
        <w:spacing w:after="0" w:line="246" w:lineRule="auto"/>
        <w:tabs>
          <w:tab w:leader="none" w:pos="952" w:val="left"/>
        </w:tabs>
        <w:numPr>
          <w:ilvl w:val="0"/>
          <w:numId w:val="58"/>
        </w:numPr>
        <w:rPr>
          <w:rFonts w:ascii="Arial" w:cs="Arial" w:eastAsia="Arial" w:hAnsi="Arial"/>
          <w:sz w:val="16"/>
          <w:szCs w:val="16"/>
          <w:color w:val="auto"/>
        </w:rPr>
      </w:pPr>
      <w:r>
        <w:rPr>
          <w:rFonts w:ascii="Calibri" w:cs="Calibri" w:eastAsia="Calibri" w:hAnsi="Calibri"/>
          <w:sz w:val="16"/>
          <w:szCs w:val="16"/>
          <w:color w:val="auto"/>
        </w:rPr>
        <w:t>Such an investgaton could be embarrassing to the Company (as well as expensive), and could result in severe penaltes and expense for the persons involved.</w:t>
      </w:r>
    </w:p>
    <w:p>
      <w:pPr>
        <w:spacing w:after="0" w:line="288" w:lineRule="exact"/>
        <w:rPr>
          <w:rFonts w:ascii="Arial" w:cs="Arial" w:eastAsia="Arial" w:hAnsi="Arial"/>
          <w:sz w:val="16"/>
          <w:szCs w:val="16"/>
          <w:color w:val="auto"/>
        </w:rPr>
      </w:pPr>
    </w:p>
    <w:p>
      <w:pPr>
        <w:ind w:left="962" w:right="20" w:hanging="314"/>
        <w:spacing w:after="0" w:line="235" w:lineRule="auto"/>
        <w:tabs>
          <w:tab w:leader="none" w:pos="952" w:val="left"/>
        </w:tabs>
        <w:numPr>
          <w:ilvl w:val="0"/>
          <w:numId w:val="58"/>
        </w:numPr>
        <w:rPr>
          <w:rFonts w:ascii="Arial" w:cs="Arial" w:eastAsia="Arial" w:hAnsi="Arial"/>
          <w:sz w:val="16"/>
          <w:szCs w:val="16"/>
          <w:color w:val="auto"/>
        </w:rPr>
      </w:pPr>
      <w:r>
        <w:rPr>
          <w:rFonts w:ascii="Calibri" w:cs="Calibri" w:eastAsia="Calibri" w:hAnsi="Calibri"/>
          <w:sz w:val="16"/>
          <w:szCs w:val="16"/>
          <w:b w:val="1"/>
          <w:bCs w:val="1"/>
          <w:color w:val="auto"/>
        </w:rPr>
        <w:t xml:space="preserve">For all of these reasons, </w:t>
      </w:r>
      <w:r>
        <w:rPr>
          <w:rFonts w:ascii="Calibri" w:cs="Calibri" w:eastAsia="Calibri" w:hAnsi="Calibri"/>
          <w:sz w:val="16"/>
          <w:szCs w:val="16"/>
          <w:b w:val="1"/>
          <w:bCs w:val="1"/>
          <w:i w:val="1"/>
          <w:iCs w:val="1"/>
          <w:color w:val="auto"/>
        </w:rPr>
        <w:t>the Company prohibits its directors, oﬃcers, employees</w:t>
      </w:r>
      <w:r>
        <w:rPr>
          <w:rFonts w:ascii="Calibri" w:cs="Calibri" w:eastAsia="Calibri" w:hAnsi="Calibri"/>
          <w:sz w:val="16"/>
          <w:szCs w:val="16"/>
          <w:b w:val="1"/>
          <w:bCs w:val="1"/>
          <w:color w:val="auto"/>
        </w:rPr>
        <w:t xml:space="preserve"> and other persons subject to this Policy </w:t>
      </w:r>
      <w:r>
        <w:rPr>
          <w:rFonts w:ascii="Calibri" w:cs="Calibri" w:eastAsia="Calibri" w:hAnsi="Calibri"/>
          <w:sz w:val="16"/>
          <w:szCs w:val="16"/>
          <w:b w:val="1"/>
          <w:bCs w:val="1"/>
          <w:i w:val="1"/>
          <w:iCs w:val="1"/>
          <w:color w:val="auto"/>
        </w:rPr>
        <w:t>from trading in optons or</w:t>
      </w:r>
      <w:r>
        <w:rPr>
          <w:rFonts w:ascii="Calibri" w:cs="Calibri" w:eastAsia="Calibri" w:hAnsi="Calibri"/>
          <w:sz w:val="16"/>
          <w:szCs w:val="16"/>
          <w:b w:val="1"/>
          <w:bCs w:val="1"/>
          <w:color w:val="auto"/>
        </w:rPr>
        <w:t xml:space="preserve"> </w:t>
      </w:r>
      <w:r>
        <w:rPr>
          <w:rFonts w:ascii="Calibri" w:cs="Calibri" w:eastAsia="Calibri" w:hAnsi="Calibri"/>
          <w:sz w:val="16"/>
          <w:szCs w:val="16"/>
          <w:b w:val="1"/>
          <w:bCs w:val="1"/>
          <w:i w:val="1"/>
          <w:iCs w:val="1"/>
          <w:color w:val="auto"/>
        </w:rPr>
        <w:t>other derivatve securites involving the Company’s securites.</w:t>
      </w:r>
    </w:p>
    <w:p>
      <w:pPr>
        <w:spacing w:after="0" w:line="290" w:lineRule="exact"/>
        <w:rPr>
          <w:rFonts w:ascii="Arial" w:cs="Arial" w:eastAsia="Arial" w:hAnsi="Arial"/>
          <w:sz w:val="16"/>
          <w:szCs w:val="16"/>
          <w:color w:val="auto"/>
        </w:rPr>
      </w:pPr>
    </w:p>
    <w:p>
      <w:pPr>
        <w:ind w:left="982" w:hanging="334"/>
        <w:spacing w:after="0"/>
        <w:tabs>
          <w:tab w:leader="none" w:pos="982" w:val="left"/>
        </w:tabs>
        <w:numPr>
          <w:ilvl w:val="0"/>
          <w:numId w:val="58"/>
        </w:numPr>
        <w:rPr>
          <w:rFonts w:ascii="Arial" w:cs="Arial" w:eastAsia="Arial" w:hAnsi="Arial"/>
          <w:sz w:val="16"/>
          <w:szCs w:val="16"/>
          <w:color w:val="auto"/>
        </w:rPr>
      </w:pPr>
      <w:r>
        <w:rPr>
          <w:rFonts w:ascii="Calibri" w:cs="Calibri" w:eastAsia="Calibri" w:hAnsi="Calibri"/>
          <w:sz w:val="16"/>
          <w:szCs w:val="16"/>
          <w:color w:val="auto"/>
        </w:rPr>
        <w:t xml:space="preserve">This Policy does not pertain to employee stock optons granted by the Company. Because </w:t>
      </w:r>
      <w:r>
        <w:rPr>
          <w:rFonts w:ascii="Calibri" w:cs="Calibri" w:eastAsia="Calibri" w:hAnsi="Calibri"/>
          <w:sz w:val="16"/>
          <w:szCs w:val="16"/>
          <w:b w:val="1"/>
          <w:bCs w:val="1"/>
          <w:i w:val="1"/>
          <w:iCs w:val="1"/>
          <w:color w:val="auto"/>
        </w:rPr>
        <w:t>employee stock optons cannot be traded  and the</w:t>
      </w:r>
    </w:p>
    <w:p>
      <w:pPr>
        <w:spacing w:after="0" w:line="12" w:lineRule="exact"/>
        <w:rPr>
          <w:rFonts w:ascii="Arial" w:cs="Arial" w:eastAsia="Arial" w:hAnsi="Arial"/>
          <w:sz w:val="16"/>
          <w:szCs w:val="16"/>
          <w:color w:val="auto"/>
        </w:rPr>
      </w:pPr>
    </w:p>
    <w:p>
      <w:pPr>
        <w:ind w:left="962"/>
        <w:spacing w:after="0" w:line="217" w:lineRule="auto"/>
        <w:rPr>
          <w:rFonts w:ascii="Arial" w:cs="Arial" w:eastAsia="Arial" w:hAnsi="Arial"/>
          <w:sz w:val="16"/>
          <w:szCs w:val="16"/>
          <w:color w:val="auto"/>
        </w:rPr>
      </w:pPr>
      <w:r>
        <w:rPr>
          <w:rFonts w:ascii="Calibri" w:cs="Calibri" w:eastAsia="Calibri" w:hAnsi="Calibri"/>
          <w:sz w:val="16"/>
          <w:szCs w:val="16"/>
          <w:b w:val="1"/>
          <w:bCs w:val="1"/>
          <w:i w:val="1"/>
          <w:iCs w:val="1"/>
          <w:color w:val="auto"/>
        </w:rPr>
        <w:t>Company is the only other party involved.</w:t>
      </w:r>
    </w:p>
    <w:p>
      <w:pPr>
        <w:sectPr>
          <w:pgSz w:w="11900" w:h="16838" w:orient="portrait"/>
          <w:cols w:equalWidth="0" w:num="1">
            <w:col w:w="11042"/>
          </w:cols>
          <w:pgMar w:left="418" w:top="1440" w:right="439" w:bottom="1440" w:gutter="0" w:footer="0" w:header="0"/>
        </w:sectPr>
      </w:pPr>
    </w:p>
    <w:bookmarkStart w:id="114" w:name="page115"/>
    <w:bookmarkEnd w:id="114"/>
    <w:p>
      <w:pPr>
        <w:spacing w:after="0" w:line="219" w:lineRule="exact"/>
        <w:rPr>
          <w:sz w:val="20"/>
          <w:szCs w:val="20"/>
          <w:color w:val="auto"/>
        </w:rPr>
      </w:pPr>
    </w:p>
    <w:p>
      <w:pPr>
        <w:ind w:left="1280" w:hanging="634"/>
        <w:spacing w:after="0"/>
        <w:tabs>
          <w:tab w:leader="none" w:pos="1280" w:val="left"/>
        </w:tabs>
        <w:numPr>
          <w:ilvl w:val="1"/>
          <w:numId w:val="59"/>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i w:val="1"/>
          <w:iCs w:val="1"/>
          <w:color w:val="auto"/>
        </w:rPr>
        <w:t>Pledging of Securites, Margin Accounts.</w:t>
      </w:r>
    </w:p>
    <w:p>
      <w:pPr>
        <w:spacing w:after="0" w:line="319" w:lineRule="exact"/>
        <w:rPr>
          <w:rFonts w:ascii="Calibri" w:cs="Calibri" w:eastAsia="Calibri" w:hAnsi="Calibri"/>
          <w:sz w:val="16"/>
          <w:szCs w:val="16"/>
          <w:b w:val="1"/>
          <w:bCs w:val="1"/>
          <w:i w:val="1"/>
          <w:iCs w:val="1"/>
          <w:color w:val="auto"/>
        </w:rPr>
      </w:pPr>
    </w:p>
    <w:p>
      <w:pPr>
        <w:ind w:left="960" w:right="20" w:hanging="314"/>
        <w:spacing w:after="0" w:line="263" w:lineRule="auto"/>
        <w:tabs>
          <w:tab w:leader="none" w:pos="977" w:val="left"/>
        </w:tabs>
        <w:numPr>
          <w:ilvl w:val="0"/>
          <w:numId w:val="59"/>
        </w:numPr>
        <w:rPr>
          <w:rFonts w:ascii="Arial" w:cs="Arial" w:eastAsia="Arial" w:hAnsi="Arial"/>
          <w:sz w:val="16"/>
          <w:szCs w:val="16"/>
          <w:color w:val="auto"/>
        </w:rPr>
      </w:pPr>
      <w:r>
        <w:rPr>
          <w:rFonts w:ascii="Calibri" w:cs="Calibri" w:eastAsia="Calibri" w:hAnsi="Calibri"/>
          <w:sz w:val="16"/>
          <w:szCs w:val="16"/>
          <w:color w:val="auto"/>
        </w:rPr>
        <w:t>The Policy prohibits directors, oﬃcers, employees and other persons subject to this Policy from pledging Company securites in any circumstance, including by purchasing Company securites on margin or holding Company securites in a margin account.</w:t>
      </w:r>
    </w:p>
    <w:p>
      <w:pPr>
        <w:spacing w:after="0" w:line="287" w:lineRule="exact"/>
        <w:rPr>
          <w:rFonts w:ascii="Arial" w:cs="Arial" w:eastAsia="Arial" w:hAnsi="Arial"/>
          <w:sz w:val="16"/>
          <w:szCs w:val="16"/>
          <w:color w:val="auto"/>
        </w:rPr>
      </w:pPr>
    </w:p>
    <w:p>
      <w:pPr>
        <w:jc w:val="both"/>
        <w:ind w:left="960" w:right="20" w:hanging="314"/>
        <w:spacing w:after="0" w:line="264" w:lineRule="auto"/>
        <w:tabs>
          <w:tab w:leader="none" w:pos="950" w:val="left"/>
        </w:tabs>
        <w:numPr>
          <w:ilvl w:val="0"/>
          <w:numId w:val="59"/>
        </w:numPr>
        <w:rPr>
          <w:rFonts w:ascii="Arial" w:cs="Arial" w:eastAsia="Arial" w:hAnsi="Arial"/>
          <w:sz w:val="16"/>
          <w:szCs w:val="16"/>
          <w:color w:val="auto"/>
        </w:rPr>
      </w:pPr>
      <w:r>
        <w:rPr>
          <w:rFonts w:ascii="Calibri" w:cs="Calibri" w:eastAsia="Calibri" w:hAnsi="Calibri"/>
          <w:sz w:val="16"/>
          <w:szCs w:val="16"/>
          <w:color w:val="auto"/>
        </w:rPr>
        <w:t>This is because pledged securites may be sold by the pledgee without the pledgor’s consent under certain conditons, such a sale may occur at a tme when a director, oﬃcer, employee and other person subject to this Policy has material inside informaton or is otherwise not permited to trade in Company securites.</w:t>
      </w:r>
    </w:p>
    <w:p>
      <w:pPr>
        <w:spacing w:after="0" w:line="285" w:lineRule="exact"/>
        <w:rPr>
          <w:rFonts w:ascii="Arial" w:cs="Arial" w:eastAsia="Arial" w:hAnsi="Arial"/>
          <w:sz w:val="16"/>
          <w:szCs w:val="16"/>
          <w:color w:val="auto"/>
        </w:rPr>
      </w:pPr>
    </w:p>
    <w:p>
      <w:pPr>
        <w:ind w:left="960" w:hanging="314"/>
        <w:spacing w:after="0"/>
        <w:tabs>
          <w:tab w:leader="none" w:pos="960" w:val="left"/>
        </w:tabs>
        <w:numPr>
          <w:ilvl w:val="0"/>
          <w:numId w:val="59"/>
        </w:numPr>
        <w:rPr>
          <w:rFonts w:ascii="Arial" w:cs="Arial" w:eastAsia="Arial" w:hAnsi="Arial"/>
          <w:sz w:val="16"/>
          <w:szCs w:val="16"/>
          <w:color w:val="auto"/>
        </w:rPr>
      </w:pPr>
      <w:r>
        <w:rPr>
          <w:rFonts w:ascii="Calibri" w:cs="Calibri" w:eastAsia="Calibri" w:hAnsi="Calibri"/>
          <w:sz w:val="16"/>
          <w:szCs w:val="16"/>
          <w:color w:val="auto"/>
        </w:rPr>
        <w:t>For example, securites held in a margin account may be sold by a broker without the customer’s consent if the customer fails to meet a margin call.</w:t>
      </w:r>
    </w:p>
    <w:p>
      <w:pPr>
        <w:spacing w:after="0" w:line="290" w:lineRule="exact"/>
        <w:rPr>
          <w:rFonts w:ascii="Arial" w:cs="Arial" w:eastAsia="Arial" w:hAnsi="Arial"/>
          <w:sz w:val="16"/>
          <w:szCs w:val="16"/>
          <w:color w:val="auto"/>
        </w:rPr>
      </w:pPr>
    </w:p>
    <w:p>
      <w:pPr>
        <w:ind w:left="1280" w:hanging="634"/>
        <w:spacing w:after="0"/>
        <w:tabs>
          <w:tab w:leader="none" w:pos="1280" w:val="left"/>
        </w:tabs>
        <w:numPr>
          <w:ilvl w:val="1"/>
          <w:numId w:val="60"/>
        </w:numPr>
        <w:rPr>
          <w:rFonts w:ascii="Calibri" w:cs="Calibri" w:eastAsia="Calibri" w:hAnsi="Calibri"/>
          <w:sz w:val="16"/>
          <w:szCs w:val="16"/>
          <w:b w:val="1"/>
          <w:bCs w:val="1"/>
          <w:i w:val="1"/>
          <w:iCs w:val="1"/>
          <w:color w:val="auto"/>
        </w:rPr>
      </w:pPr>
      <w:r>
        <w:rPr>
          <w:rFonts w:ascii="Calibri" w:cs="Calibri" w:eastAsia="Calibri" w:hAnsi="Calibri"/>
          <w:sz w:val="16"/>
          <w:szCs w:val="16"/>
          <w:b w:val="1"/>
          <w:bCs w:val="1"/>
          <w:i w:val="1"/>
          <w:iCs w:val="1"/>
          <w:color w:val="auto"/>
        </w:rPr>
        <w:t>Open Orders.</w:t>
      </w:r>
    </w:p>
    <w:p>
      <w:pPr>
        <w:spacing w:after="0" w:line="306" w:lineRule="exact"/>
        <w:rPr>
          <w:rFonts w:ascii="Calibri" w:cs="Calibri" w:eastAsia="Calibri" w:hAnsi="Calibri"/>
          <w:sz w:val="16"/>
          <w:szCs w:val="16"/>
          <w:b w:val="1"/>
          <w:bCs w:val="1"/>
          <w:i w:val="1"/>
          <w:iCs w:val="1"/>
          <w:color w:val="auto"/>
        </w:rPr>
      </w:pPr>
    </w:p>
    <w:p>
      <w:pPr>
        <w:jc w:val="both"/>
        <w:ind w:left="960" w:hanging="314"/>
        <w:spacing w:after="0" w:line="263" w:lineRule="auto"/>
        <w:tabs>
          <w:tab w:leader="none" w:pos="950" w:val="left"/>
        </w:tabs>
        <w:numPr>
          <w:ilvl w:val="0"/>
          <w:numId w:val="60"/>
        </w:numPr>
        <w:rPr>
          <w:rFonts w:ascii="Arial" w:cs="Arial" w:eastAsia="Arial" w:hAnsi="Arial"/>
          <w:sz w:val="16"/>
          <w:szCs w:val="16"/>
          <w:color w:val="auto"/>
        </w:rPr>
      </w:pPr>
      <w:r>
        <w:rPr>
          <w:rFonts w:ascii="Calibri" w:cs="Calibri" w:eastAsia="Calibri" w:hAnsi="Calibri"/>
          <w:sz w:val="16"/>
          <w:szCs w:val="16"/>
          <w:color w:val="auto"/>
        </w:rPr>
        <w:t>This Policy prohibits trading in Company securites during specified blackout periods as described below. As a result, placing open orders with brokers, such as limit orders or stop orders, should be avoided or strictly limited so they expire before the open trading window period expires and the blackout</w:t>
      </w:r>
    </w:p>
    <w:p>
      <w:pPr>
        <w:spacing w:after="0" w:line="3" w:lineRule="exact"/>
        <w:rPr>
          <w:rFonts w:ascii="Arial" w:cs="Arial" w:eastAsia="Arial" w:hAnsi="Arial"/>
          <w:sz w:val="16"/>
          <w:szCs w:val="16"/>
          <w:color w:val="auto"/>
        </w:rPr>
      </w:pPr>
    </w:p>
    <w:p>
      <w:pPr>
        <w:ind w:left="960"/>
        <w:spacing w:after="0" w:line="246" w:lineRule="auto"/>
        <w:rPr>
          <w:rFonts w:ascii="Arial" w:cs="Arial" w:eastAsia="Arial" w:hAnsi="Arial"/>
          <w:sz w:val="16"/>
          <w:szCs w:val="16"/>
          <w:color w:val="auto"/>
        </w:rPr>
      </w:pPr>
      <w:r>
        <w:rPr>
          <w:rFonts w:ascii="Calibri" w:cs="Calibri" w:eastAsia="Calibri" w:hAnsi="Calibri"/>
          <w:sz w:val="16"/>
          <w:szCs w:val="16"/>
          <w:color w:val="auto"/>
        </w:rPr>
        <w:t>period begins. Open orders extending beyond an open trading window are prohibited because they can result in the executon of a trade during a blackout period, which would violate this Policy, and may result in unlawful insider trading.</w:t>
      </w:r>
    </w:p>
    <w:p>
      <w:pPr>
        <w:spacing w:after="0" w:line="286" w:lineRule="exact"/>
        <w:rPr>
          <w:rFonts w:ascii="Arial" w:cs="Arial" w:eastAsia="Arial" w:hAnsi="Arial"/>
          <w:sz w:val="16"/>
          <w:szCs w:val="16"/>
          <w:color w:val="auto"/>
        </w:rPr>
      </w:pPr>
    </w:p>
    <w:p>
      <w:pPr>
        <w:ind w:left="1280" w:hanging="634"/>
        <w:spacing w:after="0"/>
        <w:tabs>
          <w:tab w:leader="none" w:pos="1280" w:val="left"/>
        </w:tabs>
        <w:numPr>
          <w:ilvl w:val="1"/>
          <w:numId w:val="61"/>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Gifs and Charitable Donations</w:t>
      </w:r>
    </w:p>
    <w:p>
      <w:pPr>
        <w:spacing w:after="0" w:line="306" w:lineRule="exact"/>
        <w:rPr>
          <w:rFonts w:ascii="Calibri" w:cs="Calibri" w:eastAsia="Calibri" w:hAnsi="Calibri"/>
          <w:sz w:val="16"/>
          <w:szCs w:val="16"/>
          <w:b w:val="1"/>
          <w:bCs w:val="1"/>
          <w:color w:val="auto"/>
        </w:rPr>
      </w:pPr>
    </w:p>
    <w:p>
      <w:pPr>
        <w:ind w:left="960" w:right="20" w:hanging="314"/>
        <w:spacing w:after="0" w:line="263" w:lineRule="auto"/>
        <w:tabs>
          <w:tab w:leader="none" w:pos="963" w:val="left"/>
        </w:tabs>
        <w:numPr>
          <w:ilvl w:val="0"/>
          <w:numId w:val="61"/>
        </w:numPr>
        <w:rPr>
          <w:rFonts w:ascii="Arial" w:cs="Arial" w:eastAsia="Arial" w:hAnsi="Arial"/>
          <w:sz w:val="16"/>
          <w:szCs w:val="16"/>
          <w:color w:val="auto"/>
        </w:rPr>
      </w:pPr>
      <w:r>
        <w:rPr>
          <w:rFonts w:ascii="Calibri" w:cs="Calibri" w:eastAsia="Calibri" w:hAnsi="Calibri"/>
          <w:sz w:val="16"/>
          <w:szCs w:val="16"/>
          <w:color w:val="auto"/>
        </w:rPr>
        <w:t>This Policy prohibits gifs and charitable donatons of Company securites during specified blackout periods (as described below) or when the person making the gif or donaton is in possession of material nonpublic informaton.</w:t>
      </w:r>
    </w:p>
    <w:p>
      <w:pPr>
        <w:spacing w:after="0" w:line="287" w:lineRule="exact"/>
        <w:rPr>
          <w:rFonts w:ascii="Arial" w:cs="Arial" w:eastAsia="Arial" w:hAnsi="Arial"/>
          <w:sz w:val="16"/>
          <w:szCs w:val="16"/>
          <w:color w:val="auto"/>
        </w:rPr>
      </w:pPr>
    </w:p>
    <w:p>
      <w:pPr>
        <w:ind w:left="960" w:right="20" w:hanging="314"/>
        <w:spacing w:after="0" w:line="246" w:lineRule="auto"/>
        <w:tabs>
          <w:tab w:leader="none" w:pos="950" w:val="left"/>
        </w:tabs>
        <w:numPr>
          <w:ilvl w:val="0"/>
          <w:numId w:val="61"/>
        </w:numPr>
        <w:rPr>
          <w:rFonts w:ascii="Arial" w:cs="Arial" w:eastAsia="Arial" w:hAnsi="Arial"/>
          <w:sz w:val="16"/>
          <w:szCs w:val="16"/>
          <w:color w:val="auto"/>
        </w:rPr>
      </w:pPr>
      <w:r>
        <w:rPr>
          <w:rFonts w:ascii="Calibri" w:cs="Calibri" w:eastAsia="Calibri" w:hAnsi="Calibri"/>
          <w:sz w:val="16"/>
          <w:szCs w:val="16"/>
          <w:color w:val="auto"/>
        </w:rPr>
        <w:t>For the avoidance of doubt, all gifs and charitable donatons by directors and certain oﬃcers, like other transactons in Company securites, are subject to pre-clearance as set forth in Secton IV.</w:t>
      </w:r>
    </w:p>
    <w:p>
      <w:pPr>
        <w:spacing w:after="0" w:line="286"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6"/>
          <w:szCs w:val="16"/>
          <w:b w:val="1"/>
          <w:bCs w:val="1"/>
          <w:i w:val="1"/>
          <w:iCs w:val="1"/>
          <w:color w:val="auto"/>
        </w:rPr>
        <w:t>IV.</w:t>
      </w:r>
      <w:r>
        <w:rPr>
          <w:sz w:val="20"/>
          <w:szCs w:val="20"/>
          <w:color w:val="auto"/>
        </w:rPr>
        <w:tab/>
      </w:r>
      <w:r>
        <w:rPr>
          <w:rFonts w:ascii="Calibri" w:cs="Calibri" w:eastAsia="Calibri" w:hAnsi="Calibri"/>
          <w:sz w:val="16"/>
          <w:szCs w:val="16"/>
          <w:b w:val="1"/>
          <w:bCs w:val="1"/>
          <w:i w:val="1"/>
          <w:iCs w:val="1"/>
          <w:color w:val="auto"/>
        </w:rPr>
        <w:t>GENERAL POLICY GUIDELINES</w:t>
      </w:r>
    </w:p>
    <w:p>
      <w:pPr>
        <w:spacing w:after="0" w:line="304" w:lineRule="exact"/>
        <w:rPr>
          <w:sz w:val="20"/>
          <w:szCs w:val="20"/>
          <w:color w:val="auto"/>
        </w:rPr>
      </w:pPr>
    </w:p>
    <w:p>
      <w:pPr>
        <w:spacing w:after="0"/>
        <w:rPr>
          <w:sz w:val="20"/>
          <w:szCs w:val="20"/>
          <w:color w:val="auto"/>
        </w:rPr>
      </w:pPr>
      <w:r>
        <w:rPr>
          <w:rFonts w:ascii="Calibri" w:cs="Calibri" w:eastAsia="Calibri" w:hAnsi="Calibri"/>
          <w:sz w:val="16"/>
          <w:szCs w:val="16"/>
          <w:color w:val="auto"/>
        </w:rPr>
        <w:t>The following guidelines should be followed in order to ensure compliance with applicable ant fraud laws and with the Policy:</w:t>
      </w:r>
    </w:p>
    <w:p>
      <w:pPr>
        <w:spacing w:after="0" w:line="306" w:lineRule="exact"/>
        <w:rPr>
          <w:sz w:val="20"/>
          <w:szCs w:val="20"/>
          <w:color w:val="auto"/>
        </w:rPr>
      </w:pPr>
    </w:p>
    <w:p>
      <w:pPr>
        <w:jc w:val="both"/>
        <w:ind w:left="1300" w:right="20" w:firstLine="399"/>
        <w:spacing w:after="0" w:line="256" w:lineRule="auto"/>
        <w:tabs>
          <w:tab w:leader="none" w:pos="1855" w:val="left"/>
        </w:tabs>
        <w:numPr>
          <w:ilvl w:val="0"/>
          <w:numId w:val="62"/>
        </w:numPr>
        <w:rPr>
          <w:rFonts w:ascii="Calibri" w:cs="Calibri" w:eastAsia="Calibri" w:hAnsi="Calibri"/>
          <w:sz w:val="16"/>
          <w:szCs w:val="16"/>
          <w:color w:val="auto"/>
        </w:rPr>
      </w:pPr>
      <w:r>
        <w:rPr>
          <w:rFonts w:ascii="Calibri" w:cs="Calibri" w:eastAsia="Calibri" w:hAnsi="Calibri"/>
          <w:sz w:val="16"/>
          <w:szCs w:val="16"/>
          <w:u w:val="single" w:color="auto"/>
          <w:color w:val="auto"/>
        </w:rPr>
        <w:t>Nondisclosure</w:t>
      </w:r>
      <w:r>
        <w:rPr>
          <w:rFonts w:ascii="Calibri" w:cs="Calibri" w:eastAsia="Calibri" w:hAnsi="Calibri"/>
          <w:sz w:val="16"/>
          <w:szCs w:val="16"/>
          <w:color w:val="auto"/>
        </w:rPr>
        <w:t>. Material inside informaton must not be disclosed to anyone, except to persons within the Company whose positons require them to know it. No director, oﬃcer, employee and other persons subject to this Policy should discuss material inside informaton in public places or in common areas on Company property.</w:t>
      </w:r>
    </w:p>
    <w:p>
      <w:pPr>
        <w:spacing w:after="0" w:line="279" w:lineRule="exact"/>
        <w:rPr>
          <w:rFonts w:ascii="Calibri" w:cs="Calibri" w:eastAsia="Calibri" w:hAnsi="Calibri"/>
          <w:sz w:val="16"/>
          <w:szCs w:val="16"/>
          <w:color w:val="auto"/>
        </w:rPr>
      </w:pPr>
    </w:p>
    <w:p>
      <w:pPr>
        <w:jc w:val="both"/>
        <w:ind w:left="1300" w:firstLine="399"/>
        <w:spacing w:after="0" w:line="266" w:lineRule="auto"/>
        <w:tabs>
          <w:tab w:leader="none" w:pos="1855" w:val="left"/>
        </w:tabs>
        <w:numPr>
          <w:ilvl w:val="0"/>
          <w:numId w:val="62"/>
        </w:numPr>
        <w:rPr>
          <w:rFonts w:ascii="Calibri" w:cs="Calibri" w:eastAsia="Calibri" w:hAnsi="Calibri"/>
          <w:sz w:val="16"/>
          <w:szCs w:val="16"/>
          <w:color w:val="auto"/>
        </w:rPr>
      </w:pPr>
      <w:r>
        <w:rPr>
          <w:rFonts w:ascii="Calibri" w:cs="Calibri" w:eastAsia="Calibri" w:hAnsi="Calibri"/>
          <w:sz w:val="16"/>
          <w:szCs w:val="16"/>
          <w:u w:val="single" w:color="auto"/>
          <w:color w:val="auto"/>
        </w:rPr>
        <w:t>Trading in Company Securites</w:t>
      </w:r>
      <w:r>
        <w:rPr>
          <w:rFonts w:ascii="Calibri" w:cs="Calibri" w:eastAsia="Calibri" w:hAnsi="Calibri"/>
          <w:sz w:val="16"/>
          <w:szCs w:val="16"/>
          <w:color w:val="auto"/>
        </w:rPr>
        <w:t>. No director, oﬃcer, employee and other persons subject to this Policy may place a purchase or sale order or recommend that another person place a purchase or sale order in the Company’s securites when he or she has knowledge of material informaton concerning the Company that has not been disclosed to the public. This includes orders for purchases and sales of stock, convertble securites and other securites (e.g., bonds) and includes increasing or decreasing investment in Company securites through a retrement account.</w:t>
      </w:r>
    </w:p>
    <w:p>
      <w:pPr>
        <w:sectPr>
          <w:pgSz w:w="11900" w:h="16838" w:orient="portrait"/>
          <w:cols w:equalWidth="0" w:num="1">
            <w:col w:w="11040"/>
          </w:cols>
          <w:pgMar w:left="420" w:top="1440" w:right="439" w:bottom="1440" w:gutter="0" w:footer="0" w:header="0"/>
        </w:sectPr>
      </w:pPr>
    </w:p>
    <w:bookmarkStart w:id="115" w:name="page116"/>
    <w:bookmarkEnd w:id="115"/>
    <w:p>
      <w:pPr>
        <w:spacing w:after="0" w:line="220" w:lineRule="exact"/>
        <w:rPr>
          <w:sz w:val="20"/>
          <w:szCs w:val="20"/>
          <w:color w:val="auto"/>
        </w:rPr>
      </w:pPr>
    </w:p>
    <w:p>
      <w:pPr>
        <w:jc w:val="both"/>
        <w:ind w:left="1560" w:right="20" w:hanging="314"/>
        <w:spacing w:after="0" w:line="256" w:lineRule="auto"/>
        <w:tabs>
          <w:tab w:leader="none" w:pos="1550" w:val="left"/>
        </w:tabs>
        <w:numPr>
          <w:ilvl w:val="0"/>
          <w:numId w:val="63"/>
        </w:numPr>
        <w:rPr>
          <w:rFonts w:ascii="Arial" w:cs="Arial" w:eastAsia="Arial" w:hAnsi="Arial"/>
          <w:sz w:val="16"/>
          <w:szCs w:val="16"/>
          <w:color w:val="auto"/>
        </w:rPr>
      </w:pPr>
      <w:r>
        <w:rPr>
          <w:rFonts w:ascii="Calibri" w:cs="Calibri" w:eastAsia="Calibri" w:hAnsi="Calibri"/>
          <w:sz w:val="16"/>
          <w:szCs w:val="16"/>
          <w:color w:val="auto"/>
        </w:rPr>
        <w:t>The exercise of employee stock optons is not subject to this Policy. However, Company stock that was acquired upon exercise of a stock opton can only be sold when allowed by this Policy, including the prohibiton on sales when in possession of material inside informaton.</w:t>
      </w:r>
    </w:p>
    <w:p>
      <w:pPr>
        <w:spacing w:after="0" w:line="292" w:lineRule="exact"/>
        <w:rPr>
          <w:rFonts w:ascii="Arial" w:cs="Arial" w:eastAsia="Arial" w:hAnsi="Arial"/>
          <w:sz w:val="16"/>
          <w:szCs w:val="16"/>
          <w:color w:val="auto"/>
        </w:rPr>
      </w:pPr>
    </w:p>
    <w:p>
      <w:pPr>
        <w:jc w:val="both"/>
        <w:ind w:left="1560" w:right="20" w:hanging="314"/>
        <w:spacing w:after="0" w:line="263" w:lineRule="auto"/>
        <w:tabs>
          <w:tab w:leader="none" w:pos="1563" w:val="left"/>
        </w:tabs>
        <w:numPr>
          <w:ilvl w:val="0"/>
          <w:numId w:val="63"/>
        </w:numPr>
        <w:rPr>
          <w:rFonts w:ascii="Arial" w:cs="Arial" w:eastAsia="Arial" w:hAnsi="Arial"/>
          <w:sz w:val="16"/>
          <w:szCs w:val="16"/>
          <w:color w:val="auto"/>
        </w:rPr>
      </w:pPr>
      <w:r>
        <w:rPr>
          <w:rFonts w:ascii="Calibri" w:cs="Calibri" w:eastAsia="Calibri" w:hAnsi="Calibri"/>
          <w:sz w:val="16"/>
          <w:szCs w:val="16"/>
          <w:color w:val="auto"/>
        </w:rPr>
        <w:t xml:space="preserve">Any director, oﬃcer, employee and other persons subject to this Policy who possesses material inside informaton must wait untl the start of the </w:t>
      </w:r>
      <w:r>
        <w:rPr>
          <w:rFonts w:ascii="Calibri" w:cs="Calibri" w:eastAsia="Calibri" w:hAnsi="Calibri"/>
          <w:sz w:val="16"/>
          <w:szCs w:val="16"/>
          <w:b w:val="1"/>
          <w:bCs w:val="1"/>
          <w:i w:val="1"/>
          <w:iCs w:val="1"/>
          <w:color w:val="auto"/>
        </w:rPr>
        <w:t>second</w:t>
      </w:r>
      <w:r>
        <w:rPr>
          <w:rFonts w:ascii="Calibri" w:cs="Calibri" w:eastAsia="Calibri" w:hAnsi="Calibri"/>
          <w:sz w:val="16"/>
          <w:szCs w:val="16"/>
          <w:color w:val="auto"/>
        </w:rPr>
        <w:t xml:space="preserve"> business day afer the informaton has been broadly publicly disseminated before trading. There is</w:t>
      </w:r>
    </w:p>
    <w:p>
      <w:pPr>
        <w:spacing w:after="0" w:line="3" w:lineRule="exact"/>
        <w:rPr>
          <w:rFonts w:ascii="Arial" w:cs="Arial" w:eastAsia="Arial" w:hAnsi="Arial"/>
          <w:sz w:val="16"/>
          <w:szCs w:val="16"/>
          <w:color w:val="auto"/>
        </w:rPr>
      </w:pPr>
    </w:p>
    <w:p>
      <w:pPr>
        <w:ind w:left="1560" w:right="20"/>
        <w:spacing w:after="0" w:line="246" w:lineRule="auto"/>
        <w:rPr>
          <w:rFonts w:ascii="Arial" w:cs="Arial" w:eastAsia="Arial" w:hAnsi="Arial"/>
          <w:sz w:val="16"/>
          <w:szCs w:val="16"/>
          <w:color w:val="auto"/>
        </w:rPr>
      </w:pPr>
      <w:r>
        <w:rPr>
          <w:rFonts w:ascii="Calibri" w:cs="Calibri" w:eastAsia="Calibri" w:hAnsi="Calibri"/>
          <w:sz w:val="16"/>
          <w:szCs w:val="16"/>
          <w:color w:val="auto"/>
        </w:rPr>
        <w:t>no excepton to this Policy, even for hardship or based on the use of proceeds (such as making a mortgage payment or for an emergency expenditure).</w:t>
      </w:r>
    </w:p>
    <w:p>
      <w:pPr>
        <w:spacing w:after="0" w:line="259" w:lineRule="exact"/>
        <w:rPr>
          <w:sz w:val="20"/>
          <w:szCs w:val="20"/>
          <w:color w:val="auto"/>
        </w:rPr>
      </w:pPr>
    </w:p>
    <w:p>
      <w:pPr>
        <w:ind w:left="680"/>
        <w:spacing w:after="0"/>
        <w:rPr>
          <w:sz w:val="20"/>
          <w:szCs w:val="20"/>
          <w:color w:val="auto"/>
        </w:rPr>
      </w:pPr>
      <w:r>
        <w:rPr>
          <w:rFonts w:ascii="Calibri" w:cs="Calibri" w:eastAsia="Calibri" w:hAnsi="Calibri"/>
          <w:sz w:val="16"/>
          <w:szCs w:val="16"/>
          <w:color w:val="auto"/>
        </w:rPr>
        <w:t xml:space="preserve">3. </w:t>
      </w:r>
      <w:r>
        <w:rPr>
          <w:rFonts w:ascii="Calibri" w:cs="Calibri" w:eastAsia="Calibri" w:hAnsi="Calibri"/>
          <w:sz w:val="16"/>
          <w:szCs w:val="16"/>
          <w:u w:val="single" w:color="auto"/>
          <w:color w:val="auto"/>
        </w:rPr>
        <w:t>Avoid  Speculaton</w:t>
      </w:r>
      <w:r>
        <w:rPr>
          <w:rFonts w:ascii="Calibri" w:cs="Calibri" w:eastAsia="Calibri" w:hAnsi="Calibri"/>
          <w:sz w:val="16"/>
          <w:szCs w:val="16"/>
          <w:color w:val="auto"/>
        </w:rPr>
        <w:t xml:space="preserve">.  </w:t>
      </w:r>
      <w:r>
        <w:rPr>
          <w:rFonts w:ascii="Calibri" w:cs="Calibri" w:eastAsia="Calibri" w:hAnsi="Calibri"/>
          <w:sz w:val="16"/>
          <w:szCs w:val="16"/>
          <w:b w:val="1"/>
          <w:bCs w:val="1"/>
          <w:i w:val="1"/>
          <w:iCs w:val="1"/>
          <w:color w:val="auto"/>
        </w:rPr>
        <w:t>Speculatng  in  Company  stock  is  not  part  of  the Company culture</w:t>
      </w:r>
      <w:r>
        <w:rPr>
          <w:rFonts w:ascii="Calibri" w:cs="Calibri" w:eastAsia="Calibri" w:hAnsi="Calibri"/>
          <w:sz w:val="16"/>
          <w:szCs w:val="16"/>
          <w:color w:val="auto"/>
        </w:rPr>
        <w:t>.</w:t>
      </w:r>
    </w:p>
    <w:p>
      <w:pPr>
        <w:spacing w:after="0" w:line="320" w:lineRule="exact"/>
        <w:rPr>
          <w:sz w:val="20"/>
          <w:szCs w:val="20"/>
          <w:color w:val="auto"/>
        </w:rPr>
      </w:pPr>
    </w:p>
    <w:p>
      <w:pPr>
        <w:jc w:val="both"/>
        <w:ind w:left="1560" w:hanging="314"/>
        <w:spacing w:after="0" w:line="256" w:lineRule="auto"/>
        <w:tabs>
          <w:tab w:leader="none" w:pos="1550" w:val="left"/>
        </w:tabs>
        <w:numPr>
          <w:ilvl w:val="1"/>
          <w:numId w:val="64"/>
        </w:numPr>
        <w:rPr>
          <w:rFonts w:ascii="Arial" w:cs="Arial" w:eastAsia="Arial" w:hAnsi="Arial"/>
          <w:sz w:val="16"/>
          <w:szCs w:val="16"/>
          <w:color w:val="auto"/>
        </w:rPr>
      </w:pPr>
      <w:r>
        <w:rPr>
          <w:rFonts w:ascii="Calibri" w:cs="Calibri" w:eastAsia="Calibri" w:hAnsi="Calibri"/>
          <w:sz w:val="16"/>
          <w:szCs w:val="16"/>
          <w:color w:val="auto"/>
        </w:rPr>
        <w:t>Investng in the Company’s common stock or other securites provides an opportunity to share in the future growth of the Company. But investment in the Company and sharing in the growth of the Company does not mean short range speculaton based on fluctuatons in the market.</w:t>
      </w:r>
    </w:p>
    <w:p>
      <w:pPr>
        <w:spacing w:after="0" w:line="22" w:lineRule="exact"/>
        <w:rPr>
          <w:rFonts w:ascii="Arial" w:cs="Arial" w:eastAsia="Arial" w:hAnsi="Arial"/>
          <w:sz w:val="16"/>
          <w:szCs w:val="16"/>
          <w:color w:val="auto"/>
        </w:rPr>
      </w:pPr>
    </w:p>
    <w:p>
      <w:pPr>
        <w:jc w:val="both"/>
        <w:ind w:left="1560" w:right="20" w:hanging="314"/>
        <w:spacing w:after="0" w:line="264" w:lineRule="auto"/>
        <w:tabs>
          <w:tab w:leader="none" w:pos="1550" w:val="left"/>
        </w:tabs>
        <w:numPr>
          <w:ilvl w:val="1"/>
          <w:numId w:val="64"/>
        </w:numPr>
        <w:rPr>
          <w:rFonts w:ascii="Arial" w:cs="Arial" w:eastAsia="Arial" w:hAnsi="Arial"/>
          <w:sz w:val="16"/>
          <w:szCs w:val="16"/>
          <w:color w:val="auto"/>
        </w:rPr>
      </w:pPr>
      <w:r>
        <w:rPr>
          <w:rFonts w:ascii="Calibri" w:cs="Calibri" w:eastAsia="Calibri" w:hAnsi="Calibri"/>
          <w:sz w:val="16"/>
          <w:szCs w:val="16"/>
          <w:color w:val="auto"/>
        </w:rPr>
        <w:t>Such actvites put the personal gain of the director, oﬃcer, employee or in conflict with the best interests of the Company and its stockholders. Although this Policy does not mean that directors, oﬃcers, employees may never sell shares, the Company encourages directors, oﬃcers, or employees to avoid frequent trading in Company stock.</w:t>
      </w:r>
    </w:p>
    <w:p>
      <w:pPr>
        <w:spacing w:after="0" w:line="271" w:lineRule="exact"/>
        <w:rPr>
          <w:rFonts w:ascii="Arial" w:cs="Arial" w:eastAsia="Arial" w:hAnsi="Arial"/>
          <w:sz w:val="16"/>
          <w:szCs w:val="16"/>
          <w:color w:val="auto"/>
        </w:rPr>
      </w:pPr>
    </w:p>
    <w:p>
      <w:pPr>
        <w:ind w:left="920" w:hanging="322"/>
        <w:spacing w:after="0"/>
        <w:tabs>
          <w:tab w:leader="none" w:pos="920" w:val="left"/>
        </w:tabs>
        <w:numPr>
          <w:ilvl w:val="0"/>
          <w:numId w:val="64"/>
        </w:numPr>
        <w:rPr>
          <w:rFonts w:ascii="Calibri" w:cs="Calibri" w:eastAsia="Calibri" w:hAnsi="Calibri"/>
          <w:sz w:val="16"/>
          <w:szCs w:val="16"/>
          <w:color w:val="auto"/>
        </w:rPr>
      </w:pPr>
      <w:r>
        <w:rPr>
          <w:rFonts w:ascii="Calibri" w:cs="Calibri" w:eastAsia="Calibri" w:hAnsi="Calibri"/>
          <w:sz w:val="16"/>
          <w:szCs w:val="16"/>
          <w:u w:val="single" w:color="auto"/>
          <w:color w:val="auto"/>
        </w:rPr>
        <w:t>Restrictons on Trading</w:t>
      </w:r>
      <w:r>
        <w:rPr>
          <w:rFonts w:ascii="Calibri" w:cs="Calibri" w:eastAsia="Calibri" w:hAnsi="Calibri"/>
          <w:sz w:val="16"/>
          <w:szCs w:val="16"/>
          <w:color w:val="auto"/>
        </w:rPr>
        <w:t>.</w:t>
      </w:r>
    </w:p>
    <w:p>
      <w:pPr>
        <w:spacing w:after="0" w:line="306" w:lineRule="exact"/>
        <w:rPr>
          <w:sz w:val="20"/>
          <w:szCs w:val="20"/>
          <w:color w:val="auto"/>
        </w:rPr>
      </w:pPr>
    </w:p>
    <w:p>
      <w:pPr>
        <w:ind w:left="1000" w:right="20" w:hanging="323"/>
        <w:spacing w:after="0" w:line="263" w:lineRule="auto"/>
        <w:tabs>
          <w:tab w:leader="none" w:pos="980" w:val="left"/>
        </w:tabs>
        <w:rPr>
          <w:sz w:val="20"/>
          <w:szCs w:val="20"/>
          <w:color w:val="auto"/>
        </w:rPr>
      </w:pPr>
      <w:r>
        <w:rPr>
          <w:rFonts w:ascii="Calibri" w:cs="Calibri" w:eastAsia="Calibri" w:hAnsi="Calibri"/>
          <w:sz w:val="16"/>
          <w:szCs w:val="16"/>
          <w:b w:val="1"/>
          <w:bCs w:val="1"/>
          <w:color w:val="auto"/>
        </w:rPr>
        <w:t>A.</w:t>
        <w:tab/>
        <w:t>The Trading Window</w:t>
      </w:r>
      <w:r>
        <w:rPr>
          <w:rFonts w:ascii="Calibri" w:cs="Calibri" w:eastAsia="Calibri" w:hAnsi="Calibri"/>
          <w:sz w:val="16"/>
          <w:szCs w:val="16"/>
          <w:color w:val="auto"/>
        </w:rPr>
        <w:t>. All directors, oﬃcers, employees, and other persons subject to this Policy are subject to the following restrictons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on trading in Company securites in additon to those set forth above.</w:t>
      </w:r>
    </w:p>
    <w:p>
      <w:pPr>
        <w:spacing w:after="0" w:line="286" w:lineRule="exact"/>
        <w:rPr>
          <w:sz w:val="20"/>
          <w:szCs w:val="20"/>
          <w:color w:val="auto"/>
        </w:rPr>
      </w:pPr>
    </w:p>
    <w:p>
      <w:pPr>
        <w:ind w:left="1560" w:hanging="314"/>
        <w:spacing w:after="0"/>
        <w:tabs>
          <w:tab w:leader="none" w:pos="1560" w:val="left"/>
        </w:tabs>
        <w:numPr>
          <w:ilvl w:val="0"/>
          <w:numId w:val="65"/>
        </w:numPr>
        <w:rPr>
          <w:rFonts w:ascii="Arial" w:cs="Arial" w:eastAsia="Arial" w:hAnsi="Arial"/>
          <w:sz w:val="16"/>
          <w:szCs w:val="16"/>
          <w:color w:val="auto"/>
        </w:rPr>
      </w:pPr>
      <w:r>
        <w:rPr>
          <w:rFonts w:ascii="Calibri" w:cs="Calibri" w:eastAsia="Calibri" w:hAnsi="Calibri"/>
          <w:sz w:val="16"/>
          <w:szCs w:val="16"/>
          <w:color w:val="auto"/>
        </w:rPr>
        <w:t>Trading is permited during the following periods (each a “Window”):</w:t>
      </w:r>
    </w:p>
    <w:p>
      <w:pPr>
        <w:spacing w:after="0" w:line="292" w:lineRule="exact"/>
        <w:rPr>
          <w:rFonts w:ascii="Arial" w:cs="Arial" w:eastAsia="Arial" w:hAnsi="Arial"/>
          <w:sz w:val="16"/>
          <w:szCs w:val="16"/>
          <w:color w:val="auto"/>
        </w:rPr>
      </w:pPr>
    </w:p>
    <w:p>
      <w:pPr>
        <w:ind w:left="1900" w:right="20" w:hanging="330"/>
        <w:spacing w:after="0" w:line="263" w:lineRule="auto"/>
        <w:tabs>
          <w:tab w:leader="none" w:pos="1890" w:val="left"/>
        </w:tabs>
        <w:numPr>
          <w:ilvl w:val="1"/>
          <w:numId w:val="65"/>
        </w:numPr>
        <w:rPr>
          <w:rFonts w:ascii="Arial" w:cs="Arial" w:eastAsia="Arial" w:hAnsi="Arial"/>
          <w:sz w:val="16"/>
          <w:szCs w:val="16"/>
          <w:color w:val="auto"/>
        </w:rPr>
      </w:pPr>
      <w:r>
        <w:rPr>
          <w:rFonts w:ascii="Calibri" w:cs="Calibri" w:eastAsia="Calibri" w:hAnsi="Calibri"/>
          <w:sz w:val="16"/>
          <w:szCs w:val="16"/>
          <w:color w:val="auto"/>
        </w:rPr>
        <w:t xml:space="preserve">in all quarters other than first quarter (which currently ends March 31), from the start of the </w:t>
      </w:r>
      <w:r>
        <w:rPr>
          <w:rFonts w:ascii="Calibri" w:cs="Calibri" w:eastAsia="Calibri" w:hAnsi="Calibri"/>
          <w:sz w:val="16"/>
          <w:szCs w:val="16"/>
          <w:b w:val="1"/>
          <w:bCs w:val="1"/>
          <w:color w:val="auto"/>
        </w:rPr>
        <w:t>second</w:t>
      </w:r>
      <w:r>
        <w:rPr>
          <w:rFonts w:ascii="Calibri" w:cs="Calibri" w:eastAsia="Calibri" w:hAnsi="Calibri"/>
          <w:sz w:val="16"/>
          <w:szCs w:val="16"/>
          <w:color w:val="auto"/>
        </w:rPr>
        <w:t xml:space="preserve"> full trading day following an</w:t>
      </w:r>
    </w:p>
    <w:p>
      <w:pPr>
        <w:spacing w:after="0" w:line="30" w:lineRule="exact"/>
        <w:rPr>
          <w:rFonts w:ascii="Arial" w:cs="Arial" w:eastAsia="Arial" w:hAnsi="Arial"/>
          <w:sz w:val="16"/>
          <w:szCs w:val="16"/>
          <w:color w:val="auto"/>
        </w:rPr>
      </w:pPr>
    </w:p>
    <w:p>
      <w:pPr>
        <w:ind w:left="1900" w:right="20"/>
        <w:spacing w:after="0" w:line="263" w:lineRule="auto"/>
        <w:rPr>
          <w:rFonts w:ascii="Arial" w:cs="Arial" w:eastAsia="Arial" w:hAnsi="Arial"/>
          <w:sz w:val="16"/>
          <w:szCs w:val="16"/>
          <w:color w:val="auto"/>
        </w:rPr>
      </w:pPr>
      <w:r>
        <w:rPr>
          <w:rFonts w:ascii="Calibri" w:cs="Calibri" w:eastAsia="Calibri" w:hAnsi="Calibri"/>
          <w:sz w:val="16"/>
          <w:szCs w:val="16"/>
          <w:color w:val="auto"/>
        </w:rPr>
        <w:t xml:space="preserve">earnings release with respect to the preceding fiscal period untl the start of the </w:t>
      </w:r>
      <w:r>
        <w:rPr>
          <w:rFonts w:ascii="Calibri" w:cs="Calibri" w:eastAsia="Calibri" w:hAnsi="Calibri"/>
          <w:sz w:val="16"/>
          <w:szCs w:val="16"/>
          <w:b w:val="1"/>
          <w:bCs w:val="1"/>
          <w:color w:val="auto"/>
        </w:rPr>
        <w:t>first calendar day of the last month</w:t>
      </w:r>
      <w:r>
        <w:rPr>
          <w:rFonts w:ascii="Calibri" w:cs="Calibri" w:eastAsia="Calibri" w:hAnsi="Calibri"/>
          <w:sz w:val="16"/>
          <w:szCs w:val="16"/>
          <w:color w:val="auto"/>
        </w:rPr>
        <w:t xml:space="preserve"> of the then current quarter, and</w:t>
      </w:r>
    </w:p>
    <w:p>
      <w:pPr>
        <w:spacing w:after="0" w:line="300" w:lineRule="exact"/>
        <w:rPr>
          <w:rFonts w:ascii="Arial" w:cs="Arial" w:eastAsia="Arial" w:hAnsi="Arial"/>
          <w:sz w:val="16"/>
          <w:szCs w:val="16"/>
          <w:color w:val="auto"/>
        </w:rPr>
      </w:pPr>
    </w:p>
    <w:p>
      <w:pPr>
        <w:jc w:val="both"/>
        <w:ind w:left="1900" w:right="20" w:hanging="330"/>
        <w:spacing w:after="0" w:line="248" w:lineRule="auto"/>
        <w:tabs>
          <w:tab w:leader="none" w:pos="1890" w:val="left"/>
        </w:tabs>
        <w:numPr>
          <w:ilvl w:val="1"/>
          <w:numId w:val="65"/>
        </w:numPr>
        <w:rPr>
          <w:rFonts w:ascii="Arial" w:cs="Arial" w:eastAsia="Arial" w:hAnsi="Arial"/>
          <w:sz w:val="16"/>
          <w:szCs w:val="16"/>
          <w:color w:val="auto"/>
        </w:rPr>
      </w:pPr>
      <w:r>
        <w:rPr>
          <w:rFonts w:ascii="Calibri" w:cs="Calibri" w:eastAsia="Calibri" w:hAnsi="Calibri"/>
          <w:sz w:val="16"/>
          <w:szCs w:val="16"/>
          <w:color w:val="auto"/>
        </w:rPr>
        <w:t xml:space="preserve">only during the first quarter from the start of the </w:t>
      </w:r>
      <w:r>
        <w:rPr>
          <w:rFonts w:ascii="Calibri" w:cs="Calibri" w:eastAsia="Calibri" w:hAnsi="Calibri"/>
          <w:sz w:val="16"/>
          <w:szCs w:val="16"/>
          <w:b w:val="1"/>
          <w:bCs w:val="1"/>
          <w:color w:val="auto"/>
        </w:rPr>
        <w:t>second</w:t>
      </w:r>
      <w:r>
        <w:rPr>
          <w:rFonts w:ascii="Calibri" w:cs="Calibri" w:eastAsia="Calibri" w:hAnsi="Calibri"/>
          <w:sz w:val="16"/>
          <w:szCs w:val="16"/>
          <w:color w:val="auto"/>
        </w:rPr>
        <w:t xml:space="preserve"> full trading day following the earnings release with respect to the preceding fiscal period untl the later of (i) the start of the </w:t>
      </w:r>
      <w:r>
        <w:rPr>
          <w:rFonts w:ascii="Calibri" w:cs="Calibri" w:eastAsia="Calibri" w:hAnsi="Calibri"/>
          <w:sz w:val="16"/>
          <w:szCs w:val="16"/>
          <w:b w:val="1"/>
          <w:bCs w:val="1"/>
          <w:color w:val="auto"/>
        </w:rPr>
        <w:t>first calendar day of the last month</w:t>
      </w:r>
      <w:r>
        <w:rPr>
          <w:rFonts w:ascii="Calibri" w:cs="Calibri" w:eastAsia="Calibri" w:hAnsi="Calibri"/>
          <w:sz w:val="16"/>
          <w:szCs w:val="16"/>
          <w:color w:val="auto"/>
        </w:rPr>
        <w:t xml:space="preserve"> of the then current quarter or (ii) the start of the twenty-first (21</w:t>
      </w:r>
      <w:r>
        <w:rPr>
          <w:rFonts w:ascii="Calibri" w:cs="Calibri" w:eastAsia="Calibri" w:hAnsi="Calibri"/>
          <w:sz w:val="21"/>
          <w:szCs w:val="21"/>
          <w:color w:val="auto"/>
          <w:vertAlign w:val="superscript"/>
        </w:rPr>
        <w:t>st</w:t>
      </w:r>
      <w:r>
        <w:rPr>
          <w:rFonts w:ascii="Calibri" w:cs="Calibri" w:eastAsia="Calibri" w:hAnsi="Calibri"/>
          <w:sz w:val="16"/>
          <w:szCs w:val="16"/>
          <w:color w:val="auto"/>
        </w:rPr>
        <w:t>) day from the second full trading day, and</w:t>
      </w:r>
    </w:p>
    <w:p>
      <w:pPr>
        <w:spacing w:after="0" w:line="262" w:lineRule="exact"/>
        <w:rPr>
          <w:rFonts w:ascii="Arial" w:cs="Arial" w:eastAsia="Arial" w:hAnsi="Arial"/>
          <w:sz w:val="16"/>
          <w:szCs w:val="16"/>
          <w:color w:val="auto"/>
        </w:rPr>
      </w:pPr>
    </w:p>
    <w:p>
      <w:pPr>
        <w:ind w:left="1900" w:right="20" w:hanging="330"/>
        <w:spacing w:after="0" w:line="246" w:lineRule="auto"/>
        <w:tabs>
          <w:tab w:leader="none" w:pos="1890" w:val="left"/>
        </w:tabs>
        <w:numPr>
          <w:ilvl w:val="1"/>
          <w:numId w:val="65"/>
        </w:numPr>
        <w:rPr>
          <w:rFonts w:ascii="Arial" w:cs="Arial" w:eastAsia="Arial" w:hAnsi="Arial"/>
          <w:sz w:val="16"/>
          <w:szCs w:val="16"/>
          <w:color w:val="auto"/>
        </w:rPr>
      </w:pPr>
      <w:r>
        <w:rPr>
          <w:rFonts w:ascii="Calibri" w:cs="Calibri" w:eastAsia="Calibri" w:hAnsi="Calibri"/>
          <w:sz w:val="16"/>
          <w:szCs w:val="16"/>
          <w:color w:val="auto"/>
        </w:rPr>
        <w:t>no trading is permited outside the Window; U.S. insider trading law does not provide a hardship exempton and you should assume that you are prohibited from trading outside Window</w:t>
      </w:r>
    </w:p>
    <w:p>
      <w:pPr>
        <w:sectPr>
          <w:pgSz w:w="11900" w:h="16838" w:orient="portrait"/>
          <w:cols w:equalWidth="0" w:num="1">
            <w:col w:w="10020"/>
          </w:cols>
          <w:pgMar w:left="1440" w:top="1440" w:right="439" w:bottom="1440" w:gutter="0" w:footer="0" w:header="0"/>
        </w:sectPr>
      </w:pPr>
    </w:p>
    <w:bookmarkStart w:id="116" w:name="page117"/>
    <w:bookmarkEnd w:id="116"/>
    <w:p>
      <w:pPr>
        <w:ind w:left="1900"/>
        <w:spacing w:after="0"/>
        <w:rPr>
          <w:sz w:val="20"/>
          <w:szCs w:val="20"/>
          <w:color w:val="auto"/>
        </w:rPr>
      </w:pPr>
      <w:r>
        <w:rPr>
          <w:rFonts w:ascii="Calibri" w:cs="Calibri" w:eastAsia="Calibri" w:hAnsi="Calibri"/>
          <w:sz w:val="16"/>
          <w:szCs w:val="16"/>
          <w:color w:val="auto"/>
        </w:rPr>
        <w:t>periods even if you are facing financial, family or other personal hardships, and</w:t>
      </w:r>
    </w:p>
    <w:p>
      <w:pPr>
        <w:spacing w:after="0" w:line="306" w:lineRule="exact"/>
        <w:rPr>
          <w:sz w:val="20"/>
          <w:szCs w:val="20"/>
          <w:color w:val="auto"/>
        </w:rPr>
      </w:pPr>
    </w:p>
    <w:p>
      <w:pPr>
        <w:ind w:left="1900" w:right="20" w:hanging="330"/>
        <w:spacing w:after="0" w:line="263" w:lineRule="auto"/>
        <w:tabs>
          <w:tab w:leader="none" w:pos="1930" w:val="left"/>
        </w:tabs>
        <w:numPr>
          <w:ilvl w:val="2"/>
          <w:numId w:val="66"/>
        </w:numPr>
        <w:rPr>
          <w:rFonts w:ascii="Arial" w:cs="Arial" w:eastAsia="Arial" w:hAnsi="Arial"/>
          <w:sz w:val="16"/>
          <w:szCs w:val="16"/>
          <w:color w:val="auto"/>
        </w:rPr>
      </w:pPr>
      <w:r>
        <w:rPr>
          <w:rFonts w:ascii="Calibri" w:cs="Calibri" w:eastAsia="Calibri" w:hAnsi="Calibri"/>
          <w:sz w:val="16"/>
          <w:szCs w:val="16"/>
          <w:color w:val="auto"/>
        </w:rPr>
        <w:t>the Trade Clearance Commitee (as defined below) will provide advance email notce to all directors, oﬃcers and employees of the date and tme of the opening and closing of each quarterly Window.</w:t>
      </w:r>
    </w:p>
    <w:p>
      <w:pPr>
        <w:spacing w:after="0" w:line="273" w:lineRule="exact"/>
        <w:rPr>
          <w:rFonts w:ascii="Arial" w:cs="Arial" w:eastAsia="Arial" w:hAnsi="Arial"/>
          <w:sz w:val="16"/>
          <w:szCs w:val="16"/>
          <w:color w:val="auto"/>
        </w:rPr>
      </w:pPr>
    </w:p>
    <w:p>
      <w:pPr>
        <w:jc w:val="both"/>
        <w:ind w:left="1000" w:right="20" w:hanging="321"/>
        <w:spacing w:after="0" w:line="264" w:lineRule="auto"/>
        <w:tabs>
          <w:tab w:leader="none" w:pos="1227" w:val="left"/>
        </w:tabs>
        <w:numPr>
          <w:ilvl w:val="0"/>
          <w:numId w:val="66"/>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Restrictons on the Preclearance Group</w:t>
      </w:r>
      <w:r>
        <w:rPr>
          <w:rFonts w:ascii="Calibri" w:cs="Calibri" w:eastAsia="Calibri" w:hAnsi="Calibri"/>
          <w:sz w:val="16"/>
          <w:szCs w:val="16"/>
          <w:color w:val="auto"/>
        </w:rPr>
        <w:t>. The Trade Clearance Commitee designates and authorizes a list of persons who require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preclearance to trade (the “preclearance group”) during each quarterly Window. In addition, the Trade Clearance Commitee is authorized to designate the individuals that comprise the preclearance group and may make any necessary changes to such preclearance group from tme to tme.</w:t>
      </w:r>
    </w:p>
    <w:p>
      <w:pPr>
        <w:spacing w:after="0" w:line="288" w:lineRule="exact"/>
        <w:rPr>
          <w:rFonts w:ascii="Calibri" w:cs="Calibri" w:eastAsia="Calibri" w:hAnsi="Calibri"/>
          <w:sz w:val="16"/>
          <w:szCs w:val="16"/>
          <w:b w:val="1"/>
          <w:bCs w:val="1"/>
          <w:color w:val="auto"/>
        </w:rPr>
      </w:pPr>
    </w:p>
    <w:p>
      <w:pPr>
        <w:jc w:val="both"/>
        <w:ind w:left="1560" w:hanging="314"/>
        <w:spacing w:after="0" w:line="264" w:lineRule="auto"/>
        <w:tabs>
          <w:tab w:leader="none" w:pos="1577" w:val="left"/>
        </w:tabs>
        <w:numPr>
          <w:ilvl w:val="1"/>
          <w:numId w:val="66"/>
        </w:numPr>
        <w:rPr>
          <w:rFonts w:ascii="Arial" w:cs="Arial" w:eastAsia="Arial" w:hAnsi="Arial"/>
          <w:sz w:val="16"/>
          <w:szCs w:val="16"/>
          <w:color w:val="auto"/>
        </w:rPr>
      </w:pPr>
      <w:r>
        <w:rPr>
          <w:rFonts w:ascii="Calibri" w:cs="Calibri" w:eastAsia="Calibri" w:hAnsi="Calibri"/>
          <w:sz w:val="16"/>
          <w:szCs w:val="16"/>
          <w:color w:val="auto"/>
        </w:rPr>
        <w:t xml:space="preserve">persons in the preclearance group will be advised by the persons identfied on </w:t>
      </w:r>
      <w:r>
        <w:rPr>
          <w:rFonts w:ascii="Calibri" w:cs="Calibri" w:eastAsia="Calibri" w:hAnsi="Calibri"/>
          <w:sz w:val="16"/>
          <w:szCs w:val="16"/>
          <w:u w:val="single" w:color="auto"/>
          <w:color w:val="auto"/>
        </w:rPr>
        <w:t>Schedule I</w:t>
      </w:r>
      <w:r>
        <w:rPr>
          <w:rFonts w:ascii="Calibri" w:cs="Calibri" w:eastAsia="Calibri" w:hAnsi="Calibri"/>
          <w:sz w:val="16"/>
          <w:szCs w:val="16"/>
          <w:color w:val="auto"/>
        </w:rPr>
        <w:t xml:space="preserve"> to this Policy (the “Trade Clearance Commitee”) 24 to 48 hours prior to the opening of each Window (i) that they are part of the preclearance group and (ii) whether they are cleared to trade;</w:t>
      </w:r>
    </w:p>
    <w:p>
      <w:pPr>
        <w:spacing w:after="0" w:line="286" w:lineRule="exact"/>
        <w:rPr>
          <w:rFonts w:ascii="Arial" w:cs="Arial" w:eastAsia="Arial" w:hAnsi="Arial"/>
          <w:sz w:val="16"/>
          <w:szCs w:val="16"/>
          <w:color w:val="auto"/>
        </w:rPr>
      </w:pPr>
    </w:p>
    <w:p>
      <w:pPr>
        <w:ind w:left="1560" w:right="20" w:hanging="314"/>
        <w:spacing w:after="0" w:line="263" w:lineRule="auto"/>
        <w:tabs>
          <w:tab w:leader="none" w:pos="1550" w:val="left"/>
        </w:tabs>
        <w:numPr>
          <w:ilvl w:val="1"/>
          <w:numId w:val="66"/>
        </w:numPr>
        <w:rPr>
          <w:rFonts w:ascii="Arial" w:cs="Arial" w:eastAsia="Arial" w:hAnsi="Arial"/>
          <w:sz w:val="16"/>
          <w:szCs w:val="16"/>
          <w:color w:val="auto"/>
        </w:rPr>
      </w:pPr>
      <w:r>
        <w:rPr>
          <w:rFonts w:ascii="Calibri" w:cs="Calibri" w:eastAsia="Calibri" w:hAnsi="Calibri"/>
          <w:sz w:val="16"/>
          <w:szCs w:val="16"/>
          <w:color w:val="auto"/>
        </w:rPr>
        <w:t>if a member of the Trade Clearance Commitee wishes to trade, their trade must be pre-approved by the General Counsel; if the General Counsel wishes to trade, his/her trade must be pre-approved by the CFO;</w:t>
      </w:r>
    </w:p>
    <w:p>
      <w:pPr>
        <w:spacing w:after="0" w:line="287" w:lineRule="exact"/>
        <w:rPr>
          <w:rFonts w:ascii="Arial" w:cs="Arial" w:eastAsia="Arial" w:hAnsi="Arial"/>
          <w:sz w:val="16"/>
          <w:szCs w:val="16"/>
          <w:color w:val="auto"/>
        </w:rPr>
      </w:pPr>
    </w:p>
    <w:p>
      <w:pPr>
        <w:jc w:val="both"/>
        <w:ind w:left="1560" w:hanging="314"/>
        <w:spacing w:after="0" w:line="259" w:lineRule="auto"/>
        <w:tabs>
          <w:tab w:leader="none" w:pos="1550" w:val="left"/>
        </w:tabs>
        <w:numPr>
          <w:ilvl w:val="1"/>
          <w:numId w:val="66"/>
        </w:numPr>
        <w:rPr>
          <w:rFonts w:ascii="Arial" w:cs="Arial" w:eastAsia="Arial" w:hAnsi="Arial"/>
          <w:sz w:val="16"/>
          <w:szCs w:val="16"/>
          <w:color w:val="auto"/>
        </w:rPr>
      </w:pPr>
      <w:r>
        <w:rPr>
          <w:rFonts w:ascii="Calibri" w:cs="Calibri" w:eastAsia="Calibri" w:hAnsi="Calibri"/>
          <w:sz w:val="16"/>
          <w:szCs w:val="16"/>
          <w:color w:val="auto"/>
        </w:rPr>
        <w:t xml:space="preserve">if Trade Clearance Commitee is unable obtain preclearance for any individual in the preclearance group prior to the opening of a Window, such individual may submit a </w:t>
      </w:r>
      <w:r>
        <w:rPr>
          <w:rFonts w:ascii="Calibri" w:cs="Calibri" w:eastAsia="Calibri" w:hAnsi="Calibri"/>
          <w:sz w:val="16"/>
          <w:szCs w:val="16"/>
          <w:b w:val="1"/>
          <w:bCs w:val="1"/>
          <w:color w:val="auto"/>
        </w:rPr>
        <w:t>request</w:t>
      </w:r>
      <w:r>
        <w:rPr>
          <w:rFonts w:ascii="Calibri" w:cs="Calibri" w:eastAsia="Calibri" w:hAnsi="Calibri"/>
          <w:sz w:val="16"/>
          <w:szCs w:val="16"/>
          <w:color w:val="auto"/>
        </w:rPr>
        <w:t xml:space="preserve"> for trade preclearance through the Company’s electronic platorm or other any other method the Trade Clearance Commitee may determine and designate for use in the future. The Trade Clearance Commitee may change or update the trade pre-clearance process from tme to tme. </w:t>
      </w:r>
      <w:r>
        <w:rPr>
          <w:rFonts w:ascii="Calibri" w:cs="Calibri" w:eastAsia="Calibri" w:hAnsi="Calibri"/>
          <w:sz w:val="16"/>
          <w:szCs w:val="16"/>
          <w:b w:val="1"/>
          <w:bCs w:val="1"/>
          <w:color w:val="auto"/>
        </w:rPr>
        <w:t>If you have been notfied by the Trade</w:t>
      </w:r>
    </w:p>
    <w:p>
      <w:pPr>
        <w:spacing w:after="0" w:line="7" w:lineRule="exact"/>
        <w:rPr>
          <w:rFonts w:ascii="Arial" w:cs="Arial" w:eastAsia="Arial" w:hAnsi="Arial"/>
          <w:sz w:val="16"/>
          <w:szCs w:val="16"/>
          <w:color w:val="auto"/>
        </w:rPr>
      </w:pPr>
    </w:p>
    <w:p>
      <w:pPr>
        <w:jc w:val="both"/>
        <w:ind w:left="1560" w:right="20"/>
        <w:spacing w:after="0" w:line="264" w:lineRule="auto"/>
        <w:rPr>
          <w:rFonts w:ascii="Arial" w:cs="Arial" w:eastAsia="Arial" w:hAnsi="Arial"/>
          <w:sz w:val="16"/>
          <w:szCs w:val="16"/>
          <w:color w:val="auto"/>
        </w:rPr>
      </w:pPr>
      <w:r>
        <w:rPr>
          <w:rFonts w:ascii="Calibri" w:cs="Calibri" w:eastAsia="Calibri" w:hAnsi="Calibri"/>
          <w:sz w:val="16"/>
          <w:szCs w:val="16"/>
          <w:b w:val="1"/>
          <w:bCs w:val="1"/>
          <w:color w:val="auto"/>
        </w:rPr>
        <w:t>Clearance Commitee that you are in the preclearance group, then you are not permited to trade unless and untl you have either received an email approval for your preclearance request by the Trade Clearance Commitee or you have received an electronic approval through the Company’s electronic platorm</w:t>
      </w:r>
      <w:r>
        <w:rPr>
          <w:rFonts w:ascii="Calibri" w:cs="Calibri" w:eastAsia="Calibri" w:hAnsi="Calibri"/>
          <w:sz w:val="16"/>
          <w:szCs w:val="16"/>
          <w:color w:val="auto"/>
        </w:rPr>
        <w:t>; and</w:t>
      </w:r>
    </w:p>
    <w:p>
      <w:pPr>
        <w:spacing w:after="0" w:line="271" w:lineRule="exact"/>
        <w:rPr>
          <w:rFonts w:ascii="Arial" w:cs="Arial" w:eastAsia="Arial" w:hAnsi="Arial"/>
          <w:sz w:val="16"/>
          <w:szCs w:val="16"/>
          <w:color w:val="auto"/>
        </w:rPr>
      </w:pPr>
    </w:p>
    <w:p>
      <w:pPr>
        <w:ind w:left="1560" w:hanging="314"/>
        <w:spacing w:after="0"/>
        <w:tabs>
          <w:tab w:leader="none" w:pos="1560" w:val="left"/>
        </w:tabs>
        <w:numPr>
          <w:ilvl w:val="1"/>
          <w:numId w:val="66"/>
        </w:numPr>
        <w:rPr>
          <w:rFonts w:ascii="Arial" w:cs="Arial" w:eastAsia="Arial" w:hAnsi="Arial"/>
          <w:sz w:val="16"/>
          <w:szCs w:val="16"/>
          <w:color w:val="auto"/>
        </w:rPr>
      </w:pPr>
      <w:r>
        <w:rPr>
          <w:rFonts w:ascii="Calibri" w:cs="Calibri" w:eastAsia="Calibri" w:hAnsi="Calibri"/>
          <w:sz w:val="16"/>
          <w:szCs w:val="16"/>
          <w:color w:val="auto"/>
        </w:rPr>
        <w:t>individuals in the preclearance group are also subject to the general restrictons on all employees.</w:t>
      </w:r>
    </w:p>
    <w:p>
      <w:pPr>
        <w:spacing w:after="0" w:line="304" w:lineRule="exact"/>
        <w:rPr>
          <w:sz w:val="20"/>
          <w:szCs w:val="20"/>
          <w:color w:val="auto"/>
        </w:rPr>
      </w:pPr>
    </w:p>
    <w:p>
      <w:pPr>
        <w:ind w:left="1100" w:hanging="421"/>
        <w:spacing w:after="0"/>
        <w:tabs>
          <w:tab w:leader="none" w:pos="1100" w:val="left"/>
        </w:tabs>
        <w:numPr>
          <w:ilvl w:val="0"/>
          <w:numId w:val="67"/>
        </w:numPr>
        <w:rPr>
          <w:rFonts w:ascii="Calibri" w:cs="Calibri" w:eastAsia="Calibri" w:hAnsi="Calibri"/>
          <w:sz w:val="16"/>
          <w:szCs w:val="16"/>
          <w:color w:val="auto"/>
        </w:rPr>
      </w:pPr>
      <w:r>
        <w:rPr>
          <w:rFonts w:ascii="Calibri" w:cs="Calibri" w:eastAsia="Calibri" w:hAnsi="Calibri"/>
          <w:sz w:val="16"/>
          <w:szCs w:val="16"/>
          <w:u w:val="single" w:color="auto"/>
          <w:color w:val="auto"/>
        </w:rPr>
        <w:t>Blackout Period</w:t>
      </w:r>
      <w:r>
        <w:rPr>
          <w:rFonts w:ascii="Calibri" w:cs="Calibri" w:eastAsia="Calibri" w:hAnsi="Calibri"/>
          <w:sz w:val="16"/>
          <w:szCs w:val="16"/>
          <w:color w:val="auto"/>
        </w:rPr>
        <w:t>. At any tme before or during what would otherwise be an open trading Window, the Trade Clearance Commitee</w:t>
      </w:r>
    </w:p>
    <w:p>
      <w:pPr>
        <w:spacing w:after="0" w:line="22" w:lineRule="exact"/>
        <w:rPr>
          <w:rFonts w:ascii="Calibri" w:cs="Calibri" w:eastAsia="Calibri" w:hAnsi="Calibri"/>
          <w:sz w:val="16"/>
          <w:szCs w:val="16"/>
          <w:color w:val="auto"/>
        </w:rPr>
      </w:pPr>
    </w:p>
    <w:p>
      <w:pPr>
        <w:jc w:val="both"/>
        <w:ind w:left="920"/>
        <w:spacing w:after="0" w:line="259" w:lineRule="auto"/>
        <w:rPr>
          <w:rFonts w:ascii="Calibri" w:cs="Calibri" w:eastAsia="Calibri" w:hAnsi="Calibri"/>
          <w:sz w:val="16"/>
          <w:szCs w:val="16"/>
          <w:color w:val="auto"/>
        </w:rPr>
      </w:pPr>
      <w:r>
        <w:rPr>
          <w:rFonts w:ascii="Calibri" w:cs="Calibri" w:eastAsia="Calibri" w:hAnsi="Calibri"/>
          <w:sz w:val="16"/>
          <w:szCs w:val="16"/>
          <w:color w:val="auto"/>
        </w:rPr>
        <w:t>may declare a special “Blackout Period” that applies to some or all employees and other persons subject to this Policy. Persons subject to a Blackout Period will be informed of the Blackout. If you are notfied of the Blackout, eﬀectvely immediately you may not trade even if the Window remains open for other persons or even if you have previously received a general preclearance or a specific trade clearance that has not yet been fully completed. No reasons are required to be provided for the</w:t>
      </w:r>
    </w:p>
    <w:p>
      <w:pPr>
        <w:sectPr>
          <w:pgSz w:w="11900" w:h="16838" w:orient="portrait"/>
          <w:cols w:equalWidth="0" w:num="1">
            <w:col w:w="10020"/>
          </w:cols>
          <w:pgMar w:left="1440" w:top="1415" w:right="439" w:bottom="1440" w:gutter="0" w:footer="0" w:header="0"/>
        </w:sectPr>
      </w:pPr>
    </w:p>
    <w:bookmarkStart w:id="117" w:name="page118"/>
    <w:bookmarkEnd w:id="117"/>
    <w:p>
      <w:pPr>
        <w:spacing w:after="0" w:line="220" w:lineRule="exact"/>
        <w:rPr>
          <w:sz w:val="20"/>
          <w:szCs w:val="20"/>
          <w:color w:val="auto"/>
        </w:rPr>
      </w:pPr>
    </w:p>
    <w:p>
      <w:pPr>
        <w:ind w:left="1942" w:right="20"/>
        <w:spacing w:after="0" w:line="263" w:lineRule="auto"/>
        <w:rPr>
          <w:sz w:val="20"/>
          <w:szCs w:val="20"/>
          <w:color w:val="auto"/>
        </w:rPr>
      </w:pPr>
      <w:r>
        <w:rPr>
          <w:rFonts w:ascii="Calibri" w:cs="Calibri" w:eastAsia="Calibri" w:hAnsi="Calibri"/>
          <w:sz w:val="16"/>
          <w:szCs w:val="16"/>
          <w:color w:val="auto"/>
        </w:rPr>
        <w:t>Blackout Period. The existence of a Blackout Period, and whether you are subject to it or not, is highly confidental. You are prohibited from communicatng about it inside or outside the Company.</w:t>
      </w:r>
    </w:p>
    <w:p>
      <w:pPr>
        <w:spacing w:after="0" w:line="274" w:lineRule="exact"/>
        <w:rPr>
          <w:sz w:val="20"/>
          <w:szCs w:val="20"/>
          <w:color w:val="auto"/>
        </w:rPr>
      </w:pPr>
    </w:p>
    <w:p>
      <w:pPr>
        <w:jc w:val="both"/>
        <w:ind w:left="1942" w:right="20" w:hanging="241"/>
        <w:spacing w:after="0" w:line="263" w:lineRule="auto"/>
        <w:tabs>
          <w:tab w:leader="none" w:pos="1930" w:val="left"/>
        </w:tabs>
        <w:numPr>
          <w:ilvl w:val="1"/>
          <w:numId w:val="68"/>
        </w:numPr>
        <w:rPr>
          <w:rFonts w:ascii="Calibri" w:cs="Calibri" w:eastAsia="Calibri" w:hAnsi="Calibri"/>
          <w:sz w:val="16"/>
          <w:szCs w:val="16"/>
          <w:color w:val="auto"/>
        </w:rPr>
      </w:pPr>
      <w:r>
        <w:rPr>
          <w:rFonts w:ascii="Calibri" w:cs="Calibri" w:eastAsia="Calibri" w:hAnsi="Calibri"/>
          <w:sz w:val="16"/>
          <w:szCs w:val="16"/>
          <w:u w:val="single" w:color="auto"/>
          <w:color w:val="auto"/>
        </w:rPr>
        <w:t>Additonal Restricton for Directors and Certain Oﬃcers</w:t>
      </w:r>
      <w:r>
        <w:rPr>
          <w:rFonts w:ascii="Calibri" w:cs="Calibri" w:eastAsia="Calibri" w:hAnsi="Calibri"/>
          <w:sz w:val="16"/>
          <w:szCs w:val="16"/>
          <w:color w:val="auto"/>
        </w:rPr>
        <w:t>. Directors and certain oﬃcers are subject to additonal restrictons under U.S. federal law in connecton with transactons in the Company securites. The directors and certain oﬃcers of the Company listed on</w:t>
      </w:r>
    </w:p>
    <w:p>
      <w:pPr>
        <w:spacing w:after="0" w:line="3" w:lineRule="exact"/>
        <w:rPr>
          <w:rFonts w:ascii="Calibri" w:cs="Calibri" w:eastAsia="Calibri" w:hAnsi="Calibri"/>
          <w:sz w:val="16"/>
          <w:szCs w:val="16"/>
          <w:color w:val="auto"/>
        </w:rPr>
      </w:pPr>
    </w:p>
    <w:p>
      <w:pPr>
        <w:ind w:left="1942" w:right="20"/>
        <w:spacing w:after="0" w:line="246" w:lineRule="auto"/>
        <w:rPr>
          <w:rFonts w:ascii="Calibri" w:cs="Calibri" w:eastAsia="Calibri" w:hAnsi="Calibri"/>
          <w:sz w:val="16"/>
          <w:szCs w:val="16"/>
          <w:color w:val="auto"/>
        </w:rPr>
      </w:pPr>
      <w:r>
        <w:rPr>
          <w:rFonts w:ascii="Calibri" w:cs="Calibri" w:eastAsia="Calibri" w:hAnsi="Calibri"/>
          <w:sz w:val="16"/>
          <w:szCs w:val="16"/>
          <w:u w:val="single" w:color="auto"/>
          <w:color w:val="auto"/>
        </w:rPr>
        <w:t>Schedule II</w:t>
      </w:r>
      <w:r>
        <w:rPr>
          <w:rFonts w:ascii="Calibri" w:cs="Calibri" w:eastAsia="Calibri" w:hAnsi="Calibri"/>
          <w:sz w:val="16"/>
          <w:szCs w:val="16"/>
          <w:color w:val="auto"/>
        </w:rPr>
        <w:t xml:space="preserve"> should contact the Trade Clearance Commitee at </w:t>
      </w:r>
      <w:r>
        <w:rPr>
          <w:rFonts w:ascii="Calibri" w:cs="Calibri" w:eastAsia="Calibri" w:hAnsi="Calibri"/>
          <w:sz w:val="16"/>
          <w:szCs w:val="16"/>
          <w:u w:val="single" w:color="auto"/>
          <w:color w:val="auto"/>
        </w:rPr>
        <w:t>trading@taboola.com</w:t>
      </w:r>
      <w:r>
        <w:rPr>
          <w:rFonts w:ascii="Calibri" w:cs="Calibri" w:eastAsia="Calibri" w:hAnsi="Calibri"/>
          <w:sz w:val="16"/>
          <w:szCs w:val="16"/>
          <w:color w:val="auto"/>
        </w:rPr>
        <w:t xml:space="preserve"> at least several days before any proposed transactons, including gifs and charitable donatons.</w:t>
      </w:r>
    </w:p>
    <w:p>
      <w:pPr>
        <w:spacing w:after="0" w:line="299" w:lineRule="exact"/>
        <w:rPr>
          <w:rFonts w:ascii="Calibri" w:cs="Calibri" w:eastAsia="Calibri" w:hAnsi="Calibri"/>
          <w:sz w:val="16"/>
          <w:szCs w:val="16"/>
          <w:color w:val="auto"/>
        </w:rPr>
      </w:pPr>
    </w:p>
    <w:p>
      <w:pPr>
        <w:ind w:left="382" w:hanging="382"/>
        <w:spacing w:after="0"/>
        <w:tabs>
          <w:tab w:leader="none" w:pos="382" w:val="left"/>
        </w:tabs>
        <w:numPr>
          <w:ilvl w:val="0"/>
          <w:numId w:val="69"/>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ADOPTION AND EFFECT OF 10B5-1 TRADING PLANS</w:t>
      </w:r>
    </w:p>
    <w:p>
      <w:pPr>
        <w:spacing w:after="0" w:line="306" w:lineRule="exact"/>
        <w:rPr>
          <w:sz w:val="20"/>
          <w:szCs w:val="20"/>
          <w:color w:val="auto"/>
        </w:rPr>
      </w:pPr>
    </w:p>
    <w:p>
      <w:pPr>
        <w:jc w:val="both"/>
        <w:ind w:left="2" w:right="20"/>
        <w:spacing w:after="0" w:line="260" w:lineRule="auto"/>
        <w:rPr>
          <w:sz w:val="20"/>
          <w:szCs w:val="20"/>
          <w:color w:val="auto"/>
        </w:rPr>
      </w:pPr>
      <w:r>
        <w:rPr>
          <w:rFonts w:ascii="Calibri" w:cs="Calibri" w:eastAsia="Calibri" w:hAnsi="Calibri"/>
          <w:sz w:val="16"/>
          <w:szCs w:val="16"/>
          <w:color w:val="auto"/>
        </w:rPr>
        <w:t>The limitatons in this Policy, including the trading restrictons do not apply to transactons pursuant to writen plans for trading securites that comply with Rule 10b5-1 (“10b5-1 Plans”) under the Securites Exchange Act of 1934 (the “Exchange Act”). However, anyone subject to this Policy may not enter into, amend or terminate a 10b5-1 Plan relatng to Company securites without the prior approval of the Company’s General Counsel, which will only be given during a Window period and only if such person does not have knowledge of material nonpublic informaton. If you would like to trade pursuant to a 10b5-1 Plan, please reach out to the Company’s General Counsel for more informaton on how to put such a plan into place.</w:t>
      </w:r>
    </w:p>
    <w:p>
      <w:pPr>
        <w:spacing w:after="0" w:line="277" w:lineRule="exact"/>
        <w:rPr>
          <w:sz w:val="20"/>
          <w:szCs w:val="20"/>
          <w:color w:val="auto"/>
        </w:rPr>
      </w:pPr>
    </w:p>
    <w:p>
      <w:pPr>
        <w:ind w:left="2"/>
        <w:spacing w:after="0"/>
        <w:tabs>
          <w:tab w:leader="none" w:pos="382" w:val="left"/>
        </w:tabs>
        <w:rPr>
          <w:sz w:val="20"/>
          <w:szCs w:val="20"/>
          <w:color w:val="auto"/>
        </w:rPr>
      </w:pPr>
      <w:r>
        <w:rPr>
          <w:rFonts w:ascii="Calibri" w:cs="Calibri" w:eastAsia="Calibri" w:hAnsi="Calibri"/>
          <w:sz w:val="16"/>
          <w:szCs w:val="16"/>
          <w:b w:val="1"/>
          <w:bCs w:val="1"/>
          <w:i w:val="1"/>
          <w:iCs w:val="1"/>
          <w:color w:val="auto"/>
        </w:rPr>
        <w:t>VI.</w:t>
        <w:tab/>
        <w:t>APPLICABILITY OF U.S. SECURITIES LAWS TO INTERNATIONAL TRANSACTIONS</w:t>
      </w:r>
    </w:p>
    <w:p>
      <w:pPr>
        <w:spacing w:after="0" w:line="319" w:lineRule="exact"/>
        <w:rPr>
          <w:sz w:val="20"/>
          <w:szCs w:val="20"/>
          <w:color w:val="auto"/>
        </w:rPr>
      </w:pPr>
    </w:p>
    <w:p>
      <w:pPr>
        <w:ind w:left="642" w:right="20" w:hanging="318"/>
        <w:spacing w:after="0" w:line="263" w:lineRule="auto"/>
        <w:tabs>
          <w:tab w:leader="none" w:pos="632" w:val="left"/>
        </w:tabs>
        <w:numPr>
          <w:ilvl w:val="0"/>
          <w:numId w:val="70"/>
        </w:numPr>
        <w:rPr>
          <w:rFonts w:ascii="Arial" w:cs="Arial" w:eastAsia="Arial" w:hAnsi="Arial"/>
          <w:sz w:val="16"/>
          <w:szCs w:val="16"/>
          <w:color w:val="auto"/>
        </w:rPr>
      </w:pPr>
      <w:r>
        <w:rPr>
          <w:rFonts w:ascii="Calibri" w:cs="Calibri" w:eastAsia="Calibri" w:hAnsi="Calibri"/>
          <w:sz w:val="16"/>
          <w:szCs w:val="16"/>
          <w:color w:val="auto"/>
        </w:rPr>
        <w:t>All employees of the Company, its subsidiaries and aﬃliates are subject to the restrictons on trading in Company securites and the securites of other companies.</w:t>
      </w:r>
    </w:p>
    <w:p>
      <w:pPr>
        <w:spacing w:after="0" w:line="273" w:lineRule="exact"/>
        <w:rPr>
          <w:rFonts w:ascii="Arial" w:cs="Arial" w:eastAsia="Arial" w:hAnsi="Arial"/>
          <w:sz w:val="16"/>
          <w:szCs w:val="16"/>
          <w:color w:val="auto"/>
        </w:rPr>
      </w:pPr>
    </w:p>
    <w:p>
      <w:pPr>
        <w:ind w:left="642" w:right="20" w:hanging="318"/>
        <w:spacing w:after="0" w:line="263" w:lineRule="auto"/>
        <w:tabs>
          <w:tab w:leader="none" w:pos="632" w:val="left"/>
        </w:tabs>
        <w:numPr>
          <w:ilvl w:val="0"/>
          <w:numId w:val="70"/>
        </w:numPr>
        <w:rPr>
          <w:rFonts w:ascii="Arial" w:cs="Arial" w:eastAsia="Arial" w:hAnsi="Arial"/>
          <w:sz w:val="16"/>
          <w:szCs w:val="16"/>
          <w:color w:val="auto"/>
        </w:rPr>
      </w:pPr>
      <w:r>
        <w:rPr>
          <w:rFonts w:ascii="Calibri" w:cs="Calibri" w:eastAsia="Calibri" w:hAnsi="Calibri"/>
          <w:sz w:val="16"/>
          <w:szCs w:val="16"/>
          <w:color w:val="auto"/>
        </w:rPr>
        <w:t>The U.S. securites laws may be applicable to securites trading regardless of whether a person is located in the U.S. or whether the order is placed through a broker or account outside the U.S.</w:t>
      </w:r>
    </w:p>
    <w:p>
      <w:pPr>
        <w:spacing w:after="0" w:line="260" w:lineRule="exact"/>
        <w:rPr>
          <w:rFonts w:ascii="Arial" w:cs="Arial" w:eastAsia="Arial" w:hAnsi="Arial"/>
          <w:sz w:val="16"/>
          <w:szCs w:val="16"/>
          <w:color w:val="auto"/>
        </w:rPr>
      </w:pPr>
    </w:p>
    <w:p>
      <w:pPr>
        <w:ind w:left="642" w:right="20" w:hanging="318"/>
        <w:spacing w:after="0" w:line="263" w:lineRule="auto"/>
        <w:tabs>
          <w:tab w:leader="none" w:pos="632" w:val="left"/>
        </w:tabs>
        <w:numPr>
          <w:ilvl w:val="0"/>
          <w:numId w:val="70"/>
        </w:numPr>
        <w:rPr>
          <w:rFonts w:ascii="Arial" w:cs="Arial" w:eastAsia="Arial" w:hAnsi="Arial"/>
          <w:sz w:val="16"/>
          <w:szCs w:val="16"/>
          <w:color w:val="auto"/>
        </w:rPr>
      </w:pPr>
      <w:r>
        <w:rPr>
          <w:rFonts w:ascii="Calibri" w:cs="Calibri" w:eastAsia="Calibri" w:hAnsi="Calibri"/>
          <w:sz w:val="16"/>
          <w:szCs w:val="16"/>
          <w:color w:val="auto"/>
        </w:rPr>
        <w:t>In the future, if applicable, proposed transactons involving securites of subsidiaries or aﬃliates should be carefully reviewed by counsel for compliance not only with local law but also for possible applicaton of U.S. securites laws.</w:t>
      </w:r>
    </w:p>
    <w:p>
      <w:pPr>
        <w:spacing w:after="0" w:line="245" w:lineRule="exact"/>
        <w:rPr>
          <w:sz w:val="20"/>
          <w:szCs w:val="20"/>
          <w:color w:val="auto"/>
        </w:rPr>
      </w:pPr>
    </w:p>
    <w:p>
      <w:pPr>
        <w:ind w:left="2"/>
        <w:spacing w:after="0"/>
        <w:tabs>
          <w:tab w:leader="none" w:pos="622" w:val="left"/>
        </w:tabs>
        <w:rPr>
          <w:sz w:val="20"/>
          <w:szCs w:val="20"/>
          <w:color w:val="auto"/>
        </w:rPr>
      </w:pPr>
      <w:r>
        <w:rPr>
          <w:rFonts w:ascii="Calibri" w:cs="Calibri" w:eastAsia="Calibri" w:hAnsi="Calibri"/>
          <w:sz w:val="16"/>
          <w:szCs w:val="16"/>
          <w:b w:val="1"/>
          <w:bCs w:val="1"/>
          <w:i w:val="1"/>
          <w:iCs w:val="1"/>
          <w:color w:val="auto"/>
        </w:rPr>
        <w:t>VII.</w:t>
      </w:r>
      <w:r>
        <w:rPr>
          <w:sz w:val="20"/>
          <w:szCs w:val="20"/>
          <w:color w:val="auto"/>
        </w:rPr>
        <w:tab/>
      </w:r>
      <w:r>
        <w:rPr>
          <w:rFonts w:ascii="Calibri" w:cs="Calibri" w:eastAsia="Calibri" w:hAnsi="Calibri"/>
          <w:sz w:val="16"/>
          <w:szCs w:val="16"/>
          <w:b w:val="1"/>
          <w:bCs w:val="1"/>
          <w:i w:val="1"/>
          <w:iCs w:val="1"/>
          <w:color w:val="auto"/>
        </w:rPr>
        <w:t>CONSEQUENCES FOR VIOLATION</w:t>
      </w:r>
    </w:p>
    <w:p>
      <w:pPr>
        <w:spacing w:after="0" w:line="319" w:lineRule="exact"/>
        <w:rPr>
          <w:sz w:val="20"/>
          <w:szCs w:val="20"/>
          <w:color w:val="auto"/>
        </w:rPr>
      </w:pPr>
    </w:p>
    <w:p>
      <w:pPr>
        <w:ind w:left="642" w:right="20" w:hanging="318"/>
        <w:spacing w:after="0" w:line="263" w:lineRule="auto"/>
        <w:tabs>
          <w:tab w:leader="none" w:pos="632" w:val="left"/>
        </w:tabs>
        <w:numPr>
          <w:ilvl w:val="0"/>
          <w:numId w:val="71"/>
        </w:numPr>
        <w:rPr>
          <w:rFonts w:ascii="Arial" w:cs="Arial" w:eastAsia="Arial" w:hAnsi="Arial"/>
          <w:sz w:val="16"/>
          <w:szCs w:val="16"/>
          <w:color w:val="auto"/>
        </w:rPr>
      </w:pPr>
      <w:r>
        <w:rPr>
          <w:rFonts w:ascii="Calibri" w:cs="Calibri" w:eastAsia="Calibri" w:hAnsi="Calibri"/>
          <w:sz w:val="16"/>
          <w:szCs w:val="16"/>
          <w:color w:val="auto"/>
        </w:rPr>
        <w:t>Employees who violate this Policy shall be subject to disciplinary acton by the Company, up to and including ineligibility for future partcipaton in the Company’s equity incentve plans and terminaton of employment.</w:t>
      </w:r>
    </w:p>
    <w:p>
      <w:pPr>
        <w:spacing w:after="0" w:line="287" w:lineRule="exact"/>
        <w:rPr>
          <w:rFonts w:ascii="Arial" w:cs="Arial" w:eastAsia="Arial" w:hAnsi="Arial"/>
          <w:sz w:val="16"/>
          <w:szCs w:val="16"/>
          <w:color w:val="auto"/>
        </w:rPr>
      </w:pPr>
    </w:p>
    <w:p>
      <w:pPr>
        <w:jc w:val="both"/>
        <w:ind w:left="642" w:hanging="318"/>
        <w:spacing w:after="0" w:line="263" w:lineRule="auto"/>
        <w:tabs>
          <w:tab w:leader="none" w:pos="632" w:val="left"/>
        </w:tabs>
        <w:numPr>
          <w:ilvl w:val="0"/>
          <w:numId w:val="71"/>
        </w:numPr>
        <w:rPr>
          <w:rFonts w:ascii="Arial" w:cs="Arial" w:eastAsia="Arial" w:hAnsi="Arial"/>
          <w:sz w:val="16"/>
          <w:szCs w:val="16"/>
          <w:color w:val="auto"/>
        </w:rPr>
      </w:pPr>
      <w:r>
        <w:rPr>
          <w:rFonts w:ascii="Calibri" w:cs="Calibri" w:eastAsia="Calibri" w:hAnsi="Calibri"/>
          <w:sz w:val="16"/>
          <w:szCs w:val="16"/>
          <w:color w:val="auto"/>
        </w:rPr>
        <w:t>The SEC, prosecutors, the stock exchanges and plaintﬀs’ lawyers focus on uncovering insider trading. A breach of the insider trading laws could expose the insider or anyone who trades on informaton provided by an insider (commonly referred to as a “tppee”) or to whom they have made recommendatons or</w:t>
      </w:r>
    </w:p>
    <w:p>
      <w:pPr>
        <w:spacing w:after="0" w:line="3" w:lineRule="exact"/>
        <w:rPr>
          <w:rFonts w:ascii="Arial" w:cs="Arial" w:eastAsia="Arial" w:hAnsi="Arial"/>
          <w:sz w:val="16"/>
          <w:szCs w:val="16"/>
          <w:color w:val="auto"/>
        </w:rPr>
      </w:pPr>
    </w:p>
    <w:p>
      <w:pPr>
        <w:ind w:left="642" w:right="20"/>
        <w:spacing w:after="0" w:line="246" w:lineRule="auto"/>
        <w:rPr>
          <w:rFonts w:ascii="Arial" w:cs="Arial" w:eastAsia="Arial" w:hAnsi="Arial"/>
          <w:sz w:val="16"/>
          <w:szCs w:val="16"/>
          <w:color w:val="auto"/>
        </w:rPr>
      </w:pPr>
      <w:r>
        <w:rPr>
          <w:rFonts w:ascii="Calibri" w:cs="Calibri" w:eastAsia="Calibri" w:hAnsi="Calibri"/>
          <w:sz w:val="16"/>
          <w:szCs w:val="16"/>
          <w:color w:val="auto"/>
        </w:rPr>
        <w:t xml:space="preserve">expressed opinions on the basis of such material nonpublic informaton to </w:t>
      </w:r>
      <w:r>
        <w:rPr>
          <w:rFonts w:ascii="Calibri" w:cs="Calibri" w:eastAsia="Calibri" w:hAnsi="Calibri"/>
          <w:sz w:val="16"/>
          <w:szCs w:val="16"/>
          <w:b w:val="1"/>
          <w:bCs w:val="1"/>
          <w:i w:val="1"/>
          <w:iCs w:val="1"/>
          <w:color w:val="auto"/>
        </w:rPr>
        <w:t>criminal fines up to three tmes the profits earned</w:t>
      </w:r>
      <w:r>
        <w:rPr>
          <w:rFonts w:ascii="Calibri" w:cs="Calibri" w:eastAsia="Calibri" w:hAnsi="Calibri"/>
          <w:sz w:val="16"/>
          <w:szCs w:val="16"/>
          <w:color w:val="auto"/>
        </w:rPr>
        <w:t xml:space="preserve"> and </w:t>
      </w:r>
      <w:r>
        <w:rPr>
          <w:rFonts w:ascii="Calibri" w:cs="Calibri" w:eastAsia="Calibri" w:hAnsi="Calibri"/>
          <w:sz w:val="16"/>
          <w:szCs w:val="16"/>
          <w:b w:val="1"/>
          <w:bCs w:val="1"/>
          <w:i w:val="1"/>
          <w:iCs w:val="1"/>
          <w:color w:val="auto"/>
        </w:rPr>
        <w:t>imprisonment up to</w:t>
      </w:r>
      <w:r>
        <w:rPr>
          <w:rFonts w:ascii="Calibri" w:cs="Calibri" w:eastAsia="Calibri" w:hAnsi="Calibri"/>
          <w:sz w:val="16"/>
          <w:szCs w:val="16"/>
          <w:color w:val="auto"/>
        </w:rPr>
        <w:t xml:space="preserve"> </w:t>
      </w:r>
      <w:r>
        <w:rPr>
          <w:rFonts w:ascii="Calibri" w:cs="Calibri" w:eastAsia="Calibri" w:hAnsi="Calibri"/>
          <w:sz w:val="16"/>
          <w:szCs w:val="16"/>
          <w:b w:val="1"/>
          <w:bCs w:val="1"/>
          <w:i w:val="1"/>
          <w:iCs w:val="1"/>
          <w:color w:val="auto"/>
        </w:rPr>
        <w:t>twenty years</w:t>
      </w:r>
      <w:r>
        <w:rPr>
          <w:rFonts w:ascii="Calibri" w:cs="Calibri" w:eastAsia="Calibri" w:hAnsi="Calibri"/>
          <w:sz w:val="16"/>
          <w:szCs w:val="16"/>
          <w:color w:val="auto"/>
        </w:rPr>
        <w:t>, in additon to</w:t>
      </w:r>
      <w:r>
        <w:rPr>
          <w:rFonts w:ascii="Calibri" w:cs="Calibri" w:eastAsia="Calibri" w:hAnsi="Calibri"/>
          <w:sz w:val="16"/>
          <w:szCs w:val="16"/>
          <w:b w:val="1"/>
          <w:bCs w:val="1"/>
          <w:i w:val="1"/>
          <w:iCs w:val="1"/>
          <w:color w:val="auto"/>
        </w:rPr>
        <w:t xml:space="preserve"> civil penaltes up to three tmes of the profits earned) and injunctve actons</w:t>
      </w:r>
      <w:r>
        <w:rPr>
          <w:rFonts w:ascii="Calibri" w:cs="Calibri" w:eastAsia="Calibri" w:hAnsi="Calibri"/>
          <w:sz w:val="16"/>
          <w:szCs w:val="16"/>
          <w:color w:val="auto"/>
        </w:rPr>
        <w:t>.</w:t>
      </w:r>
    </w:p>
    <w:p>
      <w:pPr>
        <w:spacing w:after="0" w:line="200" w:lineRule="exact"/>
        <w:rPr>
          <w:sz w:val="20"/>
          <w:szCs w:val="20"/>
          <w:color w:val="auto"/>
        </w:rPr>
      </w:pPr>
    </w:p>
    <w:p>
      <w:pPr>
        <w:spacing w:after="0" w:line="316" w:lineRule="exact"/>
        <w:rPr>
          <w:sz w:val="20"/>
          <w:szCs w:val="20"/>
          <w:color w:val="auto"/>
        </w:rPr>
      </w:pPr>
    </w:p>
    <w:p>
      <w:pPr>
        <w:ind w:left="2"/>
        <w:spacing w:after="0"/>
        <w:tabs>
          <w:tab w:leader="none" w:pos="622" w:val="left"/>
        </w:tabs>
        <w:rPr>
          <w:sz w:val="20"/>
          <w:szCs w:val="20"/>
          <w:color w:val="auto"/>
        </w:rPr>
      </w:pPr>
      <w:r>
        <w:rPr>
          <w:rFonts w:ascii="Calibri" w:cs="Calibri" w:eastAsia="Calibri" w:hAnsi="Calibri"/>
          <w:sz w:val="16"/>
          <w:szCs w:val="16"/>
          <w:b w:val="1"/>
          <w:bCs w:val="1"/>
          <w:color w:val="auto"/>
        </w:rPr>
        <w:t>VIII.</w:t>
      </w:r>
      <w:r>
        <w:rPr>
          <w:sz w:val="20"/>
          <w:szCs w:val="20"/>
          <w:color w:val="auto"/>
        </w:rPr>
        <w:tab/>
      </w:r>
      <w:r>
        <w:rPr>
          <w:rFonts w:ascii="Calibri" w:cs="Calibri" w:eastAsia="Calibri" w:hAnsi="Calibri"/>
          <w:sz w:val="16"/>
          <w:szCs w:val="16"/>
          <w:b w:val="1"/>
          <w:bCs w:val="1"/>
          <w:color w:val="auto"/>
        </w:rPr>
        <w:t>ACKNOWLEDGEMENT AND CERTIFICATION OF COMPLIANCE</w:t>
      </w:r>
    </w:p>
    <w:p>
      <w:pPr>
        <w:spacing w:after="0" w:line="304" w:lineRule="exact"/>
        <w:rPr>
          <w:sz w:val="20"/>
          <w:szCs w:val="20"/>
          <w:color w:val="auto"/>
        </w:rPr>
      </w:pPr>
    </w:p>
    <w:p>
      <w:pPr>
        <w:ind w:left="2"/>
        <w:spacing w:after="0"/>
        <w:rPr>
          <w:sz w:val="20"/>
          <w:szCs w:val="20"/>
          <w:color w:val="auto"/>
        </w:rPr>
      </w:pPr>
      <w:r>
        <w:rPr>
          <w:rFonts w:ascii="Calibri" w:cs="Calibri" w:eastAsia="Calibri" w:hAnsi="Calibri"/>
          <w:sz w:val="16"/>
          <w:szCs w:val="16"/>
          <w:color w:val="auto"/>
        </w:rPr>
        <w:t>Afer reading this Policy and on an annual basis, all directors, oﬃcers and employees should execute and</w:t>
      </w:r>
    </w:p>
    <w:p>
      <w:pPr>
        <w:sectPr>
          <w:pgSz w:w="11900" w:h="16838" w:orient="portrait"/>
          <w:cols w:equalWidth="0" w:num="1">
            <w:col w:w="11042"/>
          </w:cols>
          <w:pgMar w:left="418" w:top="1440" w:right="439" w:bottom="1440" w:gutter="0" w:footer="0" w:header="0"/>
        </w:sectPr>
      </w:pPr>
    </w:p>
    <w:bookmarkStart w:id="118" w:name="page119"/>
    <w:bookmarkEnd w:id="118"/>
    <w:p>
      <w:pPr>
        <w:spacing w:after="0" w:line="219" w:lineRule="exact"/>
        <w:rPr>
          <w:sz w:val="20"/>
          <w:szCs w:val="20"/>
          <w:color w:val="auto"/>
        </w:rPr>
      </w:pPr>
    </w:p>
    <w:p>
      <w:pPr>
        <w:spacing w:after="0"/>
        <w:rPr>
          <w:sz w:val="20"/>
          <w:szCs w:val="20"/>
          <w:color w:val="auto"/>
        </w:rPr>
      </w:pPr>
      <w:r>
        <w:rPr>
          <w:rFonts w:ascii="Calibri" w:cs="Calibri" w:eastAsia="Calibri" w:hAnsi="Calibri"/>
          <w:sz w:val="16"/>
          <w:szCs w:val="16"/>
          <w:color w:val="auto"/>
        </w:rPr>
        <w:t xml:space="preserve">return to the Company’s General Counsel at </w:t>
      </w:r>
      <w:r>
        <w:rPr>
          <w:rFonts w:ascii="Calibri" w:cs="Calibri" w:eastAsia="Calibri" w:hAnsi="Calibri"/>
          <w:sz w:val="16"/>
          <w:szCs w:val="16"/>
          <w:u w:val="single" w:color="auto"/>
          <w:color w:val="auto"/>
        </w:rPr>
        <w:t>trading@taboola.com</w:t>
      </w:r>
      <w:r>
        <w:rPr>
          <w:rFonts w:ascii="Calibri" w:cs="Calibri" w:eastAsia="Calibri" w:hAnsi="Calibri"/>
          <w:sz w:val="16"/>
          <w:szCs w:val="16"/>
          <w:color w:val="auto"/>
        </w:rPr>
        <w:t xml:space="preserve"> the Acknowledgement and Certficaton of Compliance atached hereto as </w:t>
      </w:r>
      <w:r>
        <w:rPr>
          <w:rFonts w:ascii="Calibri" w:cs="Calibri" w:eastAsia="Calibri" w:hAnsi="Calibri"/>
          <w:sz w:val="16"/>
          <w:szCs w:val="16"/>
          <w:u w:val="single" w:color="auto"/>
          <w:color w:val="auto"/>
        </w:rPr>
        <w:t>Schedule III</w:t>
      </w:r>
      <w:r>
        <w:rPr>
          <w:rFonts w:ascii="Calibri" w:cs="Calibri" w:eastAsia="Calibri" w:hAnsi="Calibri"/>
          <w:sz w:val="16"/>
          <w:szCs w:val="16"/>
          <w:color w:val="auto"/>
        </w:rPr>
        <w:t>.</w:t>
      </w:r>
    </w:p>
    <w:p>
      <w:pPr>
        <w:spacing w:after="0" w:line="358"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16"/>
          <w:szCs w:val="16"/>
          <w:b w:val="1"/>
          <w:bCs w:val="1"/>
          <w:color w:val="auto"/>
        </w:rPr>
        <w:t>IX.</w:t>
      </w:r>
      <w:r>
        <w:rPr>
          <w:sz w:val="20"/>
          <w:szCs w:val="20"/>
          <w:color w:val="auto"/>
        </w:rPr>
        <w:tab/>
      </w:r>
      <w:r>
        <w:rPr>
          <w:rFonts w:ascii="Calibri" w:cs="Calibri" w:eastAsia="Calibri" w:hAnsi="Calibri"/>
          <w:sz w:val="16"/>
          <w:szCs w:val="16"/>
          <w:b w:val="1"/>
          <w:bCs w:val="1"/>
          <w:color w:val="auto"/>
        </w:rPr>
        <w:t>ADMINISTRATION AND INTERPRETATION</w:t>
      </w:r>
    </w:p>
    <w:p>
      <w:pPr>
        <w:spacing w:after="0" w:line="279" w:lineRule="exact"/>
        <w:rPr>
          <w:sz w:val="20"/>
          <w:szCs w:val="20"/>
          <w:color w:val="auto"/>
        </w:rPr>
      </w:pPr>
    </w:p>
    <w:p>
      <w:pPr>
        <w:jc w:val="both"/>
        <w:spacing w:after="0" w:line="239" w:lineRule="auto"/>
        <w:rPr>
          <w:sz w:val="20"/>
          <w:szCs w:val="20"/>
          <w:color w:val="auto"/>
        </w:rPr>
      </w:pPr>
      <w:r>
        <w:rPr>
          <w:rFonts w:ascii="Calibri" w:cs="Calibri" w:eastAsia="Calibri" w:hAnsi="Calibri"/>
          <w:sz w:val="16"/>
          <w:szCs w:val="16"/>
          <w:color w:val="auto"/>
        </w:rPr>
        <w:t>This Policy shall be administered and interpreted by the Trade Clearance Commitee. It shall review this Policy periodically for purposes of assuring contnuing compliance with applicable law, including court decisions, regulatons of the Securites Exchange Commission, and any other regulatory or self-regulatory bodies. This Policy may be amended by the Trade Clearance Commitee from tme to tme and approved by the Company’s Board of Directors.</w:t>
      </w:r>
    </w:p>
    <w:p>
      <w:pPr>
        <w:sectPr>
          <w:pgSz w:w="11900" w:h="16838" w:orient="portrait"/>
          <w:cols w:equalWidth="0" w:num="1">
            <w:col w:w="11020"/>
          </w:cols>
          <w:pgMar w:left="420" w:top="1440" w:right="459" w:bottom="1440" w:gutter="0" w:footer="0" w:header="0"/>
        </w:sectPr>
      </w:pPr>
    </w:p>
    <w:bookmarkStart w:id="119" w:name="page120"/>
    <w:bookmarkEnd w:id="119"/>
    <w:p>
      <w:pPr>
        <w:jc w:val="both"/>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rFonts w:ascii="Calibri" w:cs="Calibri" w:eastAsia="Calibri" w:hAnsi="Calibri"/>
          <w:sz w:val="16"/>
          <w:szCs w:val="16"/>
          <w:b w:val="1"/>
          <w:bCs w:val="1"/>
          <w:color w:val="auto"/>
        </w:rPr>
        <w:t>SCHEDULE I</w:t>
      </w:r>
    </w:p>
    <w:p>
      <w:pPr>
        <w:spacing w:after="0" w:line="156"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TABOOLA.COM</w:t>
      </w:r>
    </w:p>
    <w:p>
      <w:pPr>
        <w:spacing w:after="0" w:line="48"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TRADE CLEARANCE COMMITTEE*</w:t>
      </w: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w:t>
      </w:r>
    </w:p>
    <w:p>
      <w:pPr>
        <w:sectPr>
          <w:pgSz w:w="11900" w:h="16838" w:orient="portrait"/>
          <w:cols w:equalWidth="0" w:num="1">
            <w:col w:w="9019"/>
          </w:cols>
          <w:pgMar w:left="1440" w:top="1415" w:right="1440" w:bottom="1440" w:gutter="0" w:footer="0" w:header="0"/>
        </w:sectPr>
      </w:pPr>
    </w:p>
    <w:bookmarkStart w:id="121" w:name="page122"/>
    <w:bookmarkEnd w:id="121"/>
    <w:p>
      <w:pPr>
        <w:spacing w:after="0" w:line="286"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SCHEDULE II</w:t>
      </w:r>
    </w:p>
    <w:p>
      <w:pPr>
        <w:sectPr>
          <w:pgSz w:w="11900" w:h="16838" w:orient="portrait"/>
          <w:cols w:equalWidth="0" w:num="1">
            <w:col w:w="9019"/>
          </w:cols>
          <w:pgMar w:left="1440" w:top="1440"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SCHEDULE III</w:t>
      </w:r>
    </w:p>
    <w:p>
      <w:pPr>
        <w:sectPr>
          <w:pgSz w:w="11900" w:h="16838" w:orient="portrait"/>
          <w:cols w:equalWidth="0" w:num="1">
            <w:col w:w="9019"/>
          </w:cols>
          <w:pgMar w:left="1440" w:top="1440" w:right="1440"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123" w:name="page124"/>
    <w:bookmarkEnd w:id="123"/>
    <w:p>
      <w:pPr>
        <w:spacing w:after="0" w:line="11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Significant Subsidiaries of Taboola.com Ltd.</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shd w:val="clear" w:color="auto" w:fill="D9D9D9"/>
          </w:tcPr>
          <w:p>
            <w:pPr>
              <w:ind w:left="780"/>
              <w:spacing w:after="0"/>
              <w:rPr>
                <w:sz w:val="20"/>
                <w:szCs w:val="20"/>
                <w:color w:val="auto"/>
              </w:rPr>
            </w:pPr>
            <w:r>
              <w:rPr>
                <w:rFonts w:ascii="Times New Roman" w:cs="Times New Roman" w:eastAsia="Times New Roman" w:hAnsi="Times New Roman"/>
                <w:sz w:val="20"/>
                <w:szCs w:val="20"/>
                <w:b w:val="1"/>
                <w:bCs w:val="1"/>
                <w:color w:val="auto"/>
              </w:rPr>
              <w:t>Legal Name of Subsidiary</w:t>
            </w:r>
          </w:p>
        </w:tc>
        <w:tc>
          <w:tcPr>
            <w:tcW w:w="3740" w:type="dxa"/>
            <w:vAlign w:val="bottom"/>
            <w:tcBorders>
              <w:top w:val="single" w:sz="8" w:color="auto"/>
              <w:right w:val="single" w:sz="8" w:color="auto"/>
            </w:tcBorders>
            <w:shd w:val="clear" w:color="auto" w:fill="D9D9D9"/>
          </w:tcPr>
          <w:p>
            <w:pPr>
              <w:ind w:left="840"/>
              <w:spacing w:after="0"/>
              <w:rPr>
                <w:sz w:val="20"/>
                <w:szCs w:val="20"/>
                <w:color w:val="auto"/>
              </w:rPr>
            </w:pPr>
            <w:r>
              <w:rPr>
                <w:rFonts w:ascii="Times New Roman" w:cs="Times New Roman" w:eastAsia="Times New Roman" w:hAnsi="Times New Roman"/>
                <w:sz w:val="20"/>
                <w:szCs w:val="20"/>
                <w:b w:val="1"/>
                <w:bCs w:val="1"/>
                <w:color w:val="auto"/>
              </w:rPr>
              <w:t>Direct Parent Company</w:t>
            </w:r>
          </w:p>
        </w:tc>
        <w:tc>
          <w:tcPr>
            <w:tcW w:w="3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Jurisdiction of</w:t>
            </w:r>
          </w:p>
        </w:tc>
      </w:tr>
      <w:tr>
        <w:trPr>
          <w:trHeight w:val="262"/>
        </w:trPr>
        <w:tc>
          <w:tcPr>
            <w:tcW w:w="3760" w:type="dxa"/>
            <w:vAlign w:val="bottom"/>
            <w:tcBorders>
              <w:left w:val="single" w:sz="8" w:color="auto"/>
              <w:right w:val="single" w:sz="8" w:color="auto"/>
            </w:tcBorders>
            <w:shd w:val="clear" w:color="auto" w:fill="D9D9D9"/>
          </w:tcPr>
          <w:p>
            <w:pPr>
              <w:spacing w:after="0"/>
              <w:rPr>
                <w:sz w:val="22"/>
                <w:szCs w:val="22"/>
                <w:color w:val="auto"/>
              </w:rPr>
            </w:pPr>
          </w:p>
        </w:tc>
        <w:tc>
          <w:tcPr>
            <w:tcW w:w="3740" w:type="dxa"/>
            <w:vAlign w:val="bottom"/>
            <w:tcBorders>
              <w:right w:val="single" w:sz="8" w:color="auto"/>
            </w:tcBorders>
            <w:shd w:val="clear" w:color="auto" w:fill="D9D9D9"/>
          </w:tcPr>
          <w:p>
            <w:pPr>
              <w:spacing w:after="0"/>
              <w:rPr>
                <w:sz w:val="22"/>
                <w:szCs w:val="22"/>
                <w:color w:val="auto"/>
              </w:rPr>
            </w:pPr>
          </w:p>
        </w:tc>
        <w:tc>
          <w:tcPr>
            <w:tcW w:w="3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Organization</w:t>
            </w:r>
          </w:p>
        </w:tc>
      </w:tr>
      <w:tr>
        <w:trPr>
          <w:trHeight w:val="338"/>
        </w:trPr>
        <w:tc>
          <w:tcPr>
            <w:tcW w:w="376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3740" w:type="dxa"/>
            <w:vAlign w:val="bottom"/>
            <w:tcBorders>
              <w:bottom w:val="single" w:sz="8" w:color="auto"/>
              <w:right w:val="single" w:sz="8" w:color="auto"/>
            </w:tcBorders>
            <w:shd w:val="clear" w:color="auto" w:fill="D9D9D9"/>
          </w:tcPr>
          <w:p>
            <w:pPr>
              <w:spacing w:after="0"/>
              <w:rPr>
                <w:sz w:val="24"/>
                <w:szCs w:val="24"/>
                <w:color w:val="auto"/>
              </w:rPr>
            </w:pPr>
          </w:p>
        </w:tc>
        <w:tc>
          <w:tcPr>
            <w:tcW w:w="37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76"/>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Taboola, Inc.</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Taboola.com Ltd.</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 USA</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76"/>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Taboola Europe Limited</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Taboola.com Ltd.</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76"/>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Connexity, Inc.</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Taboola, Inc.</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 USA</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24" w:name="page125"/>
    <w:bookmarkEnd w:id="124"/>
    <w:p>
      <w:pPr>
        <w:spacing w:after="0" w:line="12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Post-effective Amendment No. 3 to Registration Statement (Form F-1 on Form S-3. No. 333-257879) of Taboola.com Ltd.,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333-277433, 333-270495, 333-263827 and 333-257478) pertaining to the 2021 Share Incentive Plan, Employee Stock Purchase Plan, 2020 Share Incentive Plan, 2016 Share Incentive Plan, and 2007 Share Option Plan of Taboola.com Ltd.;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26, 2025, with respect to the consolidated financial statements of Taboola.com Ltd. and the effectiveness of internal control over financial reporting of Taboola.com Ltd. included in this Annual Report (Form 10-K) of Taboola.com Ltd. for the year ended December 31, 2024.</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Tel-Aviv, Israel</w:t>
      </w:r>
    </w:p>
    <w:p>
      <w:pPr>
        <w:sectPr>
          <w:pgSz w:w="11900" w:h="16838" w:orient="portrait"/>
          <w:cols w:equalWidth="0" w:num="1">
            <w:col w:w="11240"/>
          </w:cols>
          <w:pgMar w:left="320" w:top="1440" w:right="339" w:bottom="1440" w:gutter="0" w:footer="0" w:header="0"/>
        </w:sectPr>
      </w:pPr>
    </w:p>
    <w:bookmarkStart w:id="125" w:name="page126"/>
    <w:bookmarkEnd w:id="125"/>
    <w:p>
      <w:pPr>
        <w:ind w:left="2083"/>
        <w:spacing w:after="0"/>
        <w:rPr>
          <w:sz w:val="20"/>
          <w:szCs w:val="20"/>
          <w:color w:val="auto"/>
        </w:rPr>
      </w:pPr>
      <w:r>
        <w:rPr>
          <w:rFonts w:ascii="Times New Roman" w:cs="Times New Roman" w:eastAsia="Times New Roman" w:hAnsi="Times New Roman"/>
          <w:sz w:val="20"/>
          <w:szCs w:val="20"/>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 Adam Singolda, certify that:</w:t>
      </w:r>
    </w:p>
    <w:p>
      <w:pPr>
        <w:spacing w:after="0" w:line="252" w:lineRule="exact"/>
        <w:rPr>
          <w:sz w:val="20"/>
          <w:szCs w:val="20"/>
          <w:color w:val="auto"/>
        </w:rPr>
      </w:pPr>
    </w:p>
    <w:p>
      <w:pPr>
        <w:ind w:left="183" w:hanging="183"/>
        <w:spacing w:after="0"/>
        <w:tabs>
          <w:tab w:leader="none" w:pos="18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Taboola.com Ltd.;</w:t>
      </w:r>
    </w:p>
    <w:p>
      <w:pPr>
        <w:spacing w:after="0" w:line="265" w:lineRule="exact"/>
        <w:rPr>
          <w:rFonts w:ascii="Times New Roman" w:cs="Times New Roman" w:eastAsia="Times New Roman" w:hAnsi="Times New Roman"/>
          <w:sz w:val="18"/>
          <w:szCs w:val="18"/>
          <w:color w:val="auto"/>
        </w:rPr>
      </w:pPr>
    </w:p>
    <w:p>
      <w:pPr>
        <w:jc w:val="both"/>
        <w:ind w:left="3" w:hanging="2"/>
        <w:spacing w:after="0" w:line="282" w:lineRule="auto"/>
        <w:tabs>
          <w:tab w:leader="none" w:pos="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 w:hanging="2"/>
        <w:spacing w:after="0" w:line="282" w:lineRule="auto"/>
        <w:tabs>
          <w:tab w:leader="none" w:pos="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 w:right="20" w:hanging="2"/>
        <w:spacing w:after="0" w:line="266" w:lineRule="auto"/>
        <w:tabs>
          <w:tab w:leader="none" w:pos="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Times New Roman" w:cs="Times New Roman" w:eastAsia="Times New Roman" w:hAnsi="Times New Roman"/>
          <w:sz w:val="18"/>
          <w:szCs w:val="18"/>
          <w:color w:val="auto"/>
        </w:rPr>
      </w:pPr>
    </w:p>
    <w:p>
      <w:pPr>
        <w:jc w:val="both"/>
        <w:ind w:left="643" w:hanging="5"/>
        <w:spacing w:after="0" w:line="266" w:lineRule="auto"/>
        <w:tabs>
          <w:tab w:leader="none" w:pos="12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43" w:hanging="5"/>
        <w:spacing w:after="0" w:line="266" w:lineRule="auto"/>
        <w:tabs>
          <w:tab w:leader="none" w:pos="12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43" w:hanging="5"/>
        <w:spacing w:after="0" w:line="282" w:lineRule="auto"/>
        <w:tabs>
          <w:tab w:leader="none" w:pos="12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43" w:hanging="5"/>
        <w:spacing w:after="0" w:line="266" w:lineRule="auto"/>
        <w:tabs>
          <w:tab w:leader="none" w:pos="12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left="3" w:right="20" w:hanging="2"/>
        <w:spacing w:after="0" w:line="282" w:lineRule="auto"/>
        <w:tabs>
          <w:tab w:leader="none" w:pos="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43" w:hanging="5"/>
        <w:spacing w:after="0" w:line="282" w:lineRule="auto"/>
        <w:tabs>
          <w:tab w:leader="none" w:pos="12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43" w:right="20" w:hanging="5"/>
        <w:spacing w:after="0" w:line="282" w:lineRule="auto"/>
        <w:tabs>
          <w:tab w:leader="none" w:pos="120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043"/>
          </w:cols>
          <w:pgMar w:left="417" w:top="118"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19"/>
          <w:szCs w:val="19"/>
          <w:color w:val="auto"/>
        </w:rPr>
        <w:t>Date: February 26,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Adam Singolda</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Adam Singolda</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(Principal Executive Officer)</w:t>
      </w:r>
    </w:p>
    <w:p>
      <w:pPr>
        <w:sectPr>
          <w:pgSz w:w="11900" w:h="16838" w:orient="portrait"/>
          <w:cols w:equalWidth="0" w:num="2">
            <w:col w:w="6543" w:space="720"/>
            <w:col w:w="3780"/>
          </w:cols>
          <w:pgMar w:left="417" w:top="118" w:right="439" w:bottom="1440" w:gutter="0" w:footer="0" w:header="0"/>
          <w:type w:val="continuous"/>
        </w:sectPr>
      </w:pPr>
    </w:p>
    <w:bookmarkStart w:id="126" w:name="page127"/>
    <w:bookmarkEnd w:id="126"/>
    <w:p>
      <w:pPr>
        <w:ind w:left="380"/>
        <w:spacing w:after="0"/>
        <w:rPr>
          <w:sz w:val="20"/>
          <w:szCs w:val="20"/>
          <w:color w:val="auto"/>
        </w:rPr>
      </w:pPr>
      <w:r>
        <w:rPr>
          <w:rFonts w:ascii="Times New Roman" w:cs="Times New Roman" w:eastAsia="Times New Roman" w:hAnsi="Times New Roman"/>
          <w:sz w:val="20"/>
          <w:szCs w:val="20"/>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Stephen Walker, certify that:</w:t>
      </w:r>
    </w:p>
    <w:p>
      <w:pPr>
        <w:spacing w:after="0" w:line="252" w:lineRule="exact"/>
        <w:rPr>
          <w:sz w:val="20"/>
          <w:szCs w:val="20"/>
          <w:color w:val="auto"/>
        </w:rPr>
      </w:pPr>
    </w:p>
    <w:p>
      <w:pPr>
        <w:ind w:left="260" w:hanging="183"/>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Taboola.com Ltd.;</w:t>
      </w:r>
    </w:p>
    <w:p>
      <w:pPr>
        <w:spacing w:after="0" w:line="265" w:lineRule="exact"/>
        <w:rPr>
          <w:rFonts w:ascii="Times New Roman" w:cs="Times New Roman" w:eastAsia="Times New Roman" w:hAnsi="Times New Roman"/>
          <w:sz w:val="18"/>
          <w:szCs w:val="18"/>
          <w:color w:val="auto"/>
        </w:rPr>
      </w:pPr>
    </w:p>
    <w:p>
      <w:pPr>
        <w:jc w:val="both"/>
        <w:ind w:left="80" w:hanging="2"/>
        <w:spacing w:after="0" w:line="282"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80" w:hanging="2"/>
        <w:spacing w:after="0" w:line="282"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80" w:right="20" w:hanging="2"/>
        <w:spacing w:after="0" w:line="266"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Times New Roman" w:cs="Times New Roman" w:eastAsia="Times New Roman" w:hAnsi="Times New Roman"/>
          <w:sz w:val="18"/>
          <w:szCs w:val="18"/>
          <w:color w:val="auto"/>
        </w:rPr>
      </w:pPr>
    </w:p>
    <w:p>
      <w:pPr>
        <w:jc w:val="both"/>
        <w:ind w:left="720" w:hanging="5"/>
        <w:spacing w:after="0" w:line="266" w:lineRule="auto"/>
        <w:tabs>
          <w:tab w:leader="none" w:pos="12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720" w:hanging="5"/>
        <w:spacing w:after="0" w:line="266" w:lineRule="auto"/>
        <w:tabs>
          <w:tab w:leader="none" w:pos="12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720" w:hanging="5"/>
        <w:spacing w:after="0" w:line="266" w:lineRule="auto"/>
        <w:tabs>
          <w:tab w:leader="none" w:pos="12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720" w:hanging="5"/>
        <w:spacing w:after="0" w:line="266" w:lineRule="auto"/>
        <w:tabs>
          <w:tab w:leader="none" w:pos="12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0" w:right="20" w:hanging="2"/>
        <w:spacing w:after="0" w:line="282" w:lineRule="auto"/>
        <w:tabs>
          <w:tab w:leader="none" w:pos="6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720" w:hanging="5"/>
        <w:spacing w:after="0" w:line="266" w:lineRule="auto"/>
        <w:tabs>
          <w:tab w:leader="none" w:pos="12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left="720" w:right="20" w:hanging="5"/>
        <w:spacing w:after="0" w:line="282" w:lineRule="auto"/>
        <w:tabs>
          <w:tab w:leader="none" w:pos="12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spacing w:after="0"/>
        <w:tabs>
          <w:tab w:leader="none" w:pos="7200" w:val="left"/>
          <w:tab w:leader="none" w:pos="7780" w:val="left"/>
        </w:tabs>
        <w:rPr>
          <w:sz w:val="20"/>
          <w:szCs w:val="20"/>
          <w:color w:val="auto"/>
        </w:rPr>
      </w:pPr>
      <w:r>
        <w:rPr>
          <w:rFonts w:ascii="Times New Roman" w:cs="Times New Roman" w:eastAsia="Times New Roman" w:hAnsi="Times New Roman"/>
          <w:sz w:val="20"/>
          <w:szCs w:val="20"/>
          <w:color w:val="auto"/>
        </w:rPr>
        <w:t>Date: February 26,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7"/>
          <w:szCs w:val="17"/>
          <w:u w:val="single" w:color="auto"/>
          <w:color w:val="auto"/>
        </w:rPr>
        <w:t>/s/ Stephen Walker</w:t>
      </w:r>
    </w:p>
    <w:p>
      <w:pPr>
        <w:spacing w:after="0" w:line="4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Stephen Walker</w:t>
      </w:r>
    </w:p>
    <w:p>
      <w:pPr>
        <w:spacing w:after="0" w:line="6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120"/>
          </w:cols>
          <w:pgMar w:left="340" w:top="118" w:right="439" w:bottom="1440" w:gutter="0" w:footer="0" w:header="0"/>
        </w:sectPr>
      </w:pPr>
    </w:p>
    <w:bookmarkStart w:id="127" w:name="page128"/>
    <w:bookmarkEnd w:id="127"/>
    <w:p>
      <w:pPr>
        <w:ind w:left="1980"/>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§1350</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 1350, as adopted pursuant to § 906 of the Sarbanes- Oxley Act of 2002, we, the undersigned Chief Executive Officer and Chief Financial Officer of Taboola.com Ltd. (the “Company”), hereby certify, based on our knowledge, that the Annual Report on Form 10-K of the Company for the year ended December 31, 2024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26, 2025</w:t>
            </w:r>
          </w:p>
        </w:tc>
        <w:tc>
          <w:tcPr>
            <w:tcW w:w="3340" w:type="dxa"/>
            <w:vAlign w:val="bottom"/>
          </w:tcPr>
          <w:p>
            <w:pPr>
              <w:ind w:left="2780"/>
              <w:spacing w:after="0"/>
              <w:rPr>
                <w:sz w:val="20"/>
                <w:szCs w:val="20"/>
                <w:color w:val="auto"/>
              </w:rPr>
            </w:pPr>
            <w:r>
              <w:rPr>
                <w:rFonts w:ascii="Times New Roman" w:cs="Times New Roman" w:eastAsia="Times New Roman" w:hAnsi="Times New Roman"/>
                <w:sz w:val="20"/>
                <w:szCs w:val="20"/>
                <w:color w:val="auto"/>
              </w:rPr>
              <w:t>By:</w:t>
            </w: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Adam Singolda</w:t>
            </w:r>
          </w:p>
        </w:tc>
      </w:tr>
      <w:tr>
        <w:trPr>
          <w:trHeight w:val="256"/>
        </w:trPr>
        <w:tc>
          <w:tcPr>
            <w:tcW w:w="47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Adam Singolda</w:t>
            </w:r>
          </w:p>
        </w:tc>
      </w:tr>
      <w:tr>
        <w:trPr>
          <w:trHeight w:val="257"/>
        </w:trPr>
        <w:tc>
          <w:tcPr>
            <w:tcW w:w="47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8"/>
        </w:trPr>
        <w:tc>
          <w:tcPr>
            <w:tcW w:w="47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(Principal Executive Officer)</w:t>
            </w:r>
          </w:p>
        </w:tc>
      </w:tr>
      <w:tr>
        <w:trPr>
          <w:trHeight w:val="467"/>
        </w:trPr>
        <w:tc>
          <w:tcPr>
            <w:tcW w:w="4720" w:type="dxa"/>
            <w:vAlign w:val="bottom"/>
          </w:tcPr>
          <w:p>
            <w:pPr>
              <w:spacing w:after="0"/>
              <w:rPr>
                <w:sz w:val="24"/>
                <w:szCs w:val="24"/>
                <w:color w:val="auto"/>
              </w:rPr>
            </w:pPr>
          </w:p>
        </w:tc>
        <w:tc>
          <w:tcPr>
            <w:tcW w:w="3340" w:type="dxa"/>
            <w:vAlign w:val="bottom"/>
          </w:tcPr>
          <w:p>
            <w:pPr>
              <w:ind w:left="2780"/>
              <w:spacing w:after="0"/>
              <w:rPr>
                <w:sz w:val="20"/>
                <w:szCs w:val="20"/>
                <w:color w:val="auto"/>
              </w:rPr>
            </w:pPr>
            <w:r>
              <w:rPr>
                <w:rFonts w:ascii="Times New Roman" w:cs="Times New Roman" w:eastAsia="Times New Roman" w:hAnsi="Times New Roman"/>
                <w:sz w:val="20"/>
                <w:szCs w:val="20"/>
                <w:color w:val="auto"/>
              </w:rPr>
              <w:t>By:</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Stephen Walker</w:t>
            </w:r>
          </w:p>
        </w:tc>
        <w:tc>
          <w:tcPr>
            <w:tcW w:w="940" w:type="dxa"/>
            <w:vAlign w:val="bottom"/>
          </w:tcPr>
          <w:p>
            <w:pPr>
              <w:spacing w:after="0"/>
              <w:rPr>
                <w:sz w:val="24"/>
                <w:szCs w:val="24"/>
                <w:color w:val="auto"/>
              </w:rPr>
            </w:pPr>
          </w:p>
        </w:tc>
      </w:tr>
      <w:tr>
        <w:trPr>
          <w:trHeight w:val="290"/>
        </w:trPr>
        <w:tc>
          <w:tcPr>
            <w:tcW w:w="4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Walker</w:t>
            </w:r>
          </w:p>
        </w:tc>
      </w:tr>
      <w:tr>
        <w:trPr>
          <w:trHeight w:val="270"/>
        </w:trPr>
        <w:tc>
          <w:tcPr>
            <w:tcW w:w="47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47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140"/>
      </w:cols>
      <w:pgMar w:left="3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Roman"/>
      <w:start w:val="2"/>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lowerLetter"/>
      <w:start w:val="1"/>
    </w:lvl>
  </w:abstractNum>
  <w:abstractNum w:abstractNumId="31">
    <w:nsid w:val="70C6A529"/>
    <w:multiLevelType w:val="hybridMultilevel"/>
    <w:lvl w:ilvl="0">
      <w:lvlJc w:val="left"/>
      <w:lvlText w:val="%1."/>
      <w:numFmt w:val="lowerRoman"/>
      <w:start w:val="1"/>
    </w:lvl>
  </w:abstractNum>
  <w:abstractNum w:abstractNumId="32">
    <w:nsid w:val="520EEDD1"/>
    <w:multiLevelType w:val="hybridMultilevel"/>
    <w:lvl w:ilvl="0">
      <w:lvlJc w:val="left"/>
      <w:lvlText w:val="\endash "/>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4"/>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lowerLetter"/>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decimal"/>
      <w:start w:val="2"/>
    </w:lvl>
  </w:abstractNum>
  <w:abstractNum w:abstractNumId="42">
    <w:nsid w:val="47398C89"/>
    <w:multiLevelType w:val="hybridMultilevel"/>
    <w:lvl w:ilvl="0">
      <w:lvlJc w:val="left"/>
      <w:lvlText w:val="%1."/>
      <w:numFmt w:val="decimal"/>
      <w:start w:val="3"/>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lowerRoman"/>
      <w:start w:val="1"/>
    </w:lvl>
  </w:abstractNum>
  <w:abstractNum w:abstractNumId="49">
    <w:nsid w:val="61574095"/>
    <w:multiLevelType w:val="hybridMultilevel"/>
    <w:lvl w:ilvl="0">
      <w:lvlJc w:val="left"/>
      <w:lvlText w:val="(%1)"/>
      <w:numFmt w:val="lowerRoman"/>
      <w:start w:val="2"/>
    </w:lvl>
  </w:abstractNum>
  <w:abstractNum w:abstractNumId="50">
    <w:nsid w:val="7E0C57B1"/>
    <w:multiLevelType w:val="hybridMultilevel"/>
    <w:lvl w:ilvl="0">
      <w:lvlJc w:val="left"/>
      <w:lvlText w:val="%1."/>
      <w:numFmt w:val="upperLetter"/>
      <w:start w:val="9"/>
    </w:lvl>
  </w:abstractNum>
  <w:abstractNum w:abstractNumId="51">
    <w:nsid w:val="77AE35EB"/>
    <w:multiLevelType w:val="hybridMultilevel"/>
    <w:lvl w:ilvl="0">
      <w:lvlJc w:val="left"/>
      <w:lvlText w:val="%1."/>
      <w:numFmt w:val="upperLetter"/>
      <w:start w:val="35"/>
    </w:lvl>
    <w:lvl w:ilvl="1">
      <w:lvlJc w:val="left"/>
      <w:lvlText w:val="%2"/>
      <w:numFmt w:val="upperLetter"/>
      <w:start w:val="1"/>
    </w:lvl>
    <w:lvl w:ilvl="2">
      <w:lvlJc w:val="left"/>
      <w:lvlText w:val="●"/>
      <w:numFmt w:val="bullet"/>
      <w:start w:val="1"/>
    </w:lvl>
    <w:lvl w:ilvl="3">
      <w:lvlJc w:val="left"/>
      <w:lvlText w:val="●"/>
      <w:numFmt w:val="bullet"/>
      <w:start w:val="1"/>
    </w:lvl>
  </w:abstractNum>
  <w:abstractNum w:abstractNumId="52">
    <w:nsid w:val="579BE4F1"/>
    <w:multiLevelType w:val="hybridMultilevel"/>
    <w:lvl w:ilvl="0">
      <w:lvlJc w:val="left"/>
      <w:lvlText w:val="●"/>
      <w:numFmt w:val="bullet"/>
      <w:start w:val="1"/>
    </w:lvl>
    <w:lvl w:ilvl="1">
      <w:lvlJc w:val="left"/>
      <w:lvlText w:val="●"/>
      <w:numFmt w:val="bullet"/>
      <w:start w:val="1"/>
    </w:lvl>
  </w:abstractNum>
  <w:abstractNum w:abstractNumId="53">
    <w:nsid w:val="310C50B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5FF87E05"/>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5)"/>
      <w:numFmt w:val="decimal"/>
      <w:start w:val="1"/>
    </w:lvl>
    <w:lvl w:ilvl="5">
      <w:lvlJc w:val="left"/>
      <w:lvlText w:val="%6)"/>
      <w:numFmt w:val="lowerLetter"/>
      <w:start w:val="2"/>
    </w:lvl>
  </w:abstractNum>
  <w:abstractNum w:abstractNumId="55">
    <w:nsid w:val="2F305DEF"/>
    <w:multiLevelType w:val="hybridMultilevel"/>
    <w:lvl w:ilvl="0">
      <w:lvlJc w:val="left"/>
      <w:lvlText w:val="%1."/>
      <w:numFmt w:val="upperLetter"/>
      <w:start w:val="61"/>
    </w:lvl>
  </w:abstractNum>
  <w:abstractNum w:abstractNumId="56">
    <w:nsid w:val="25A70BF7"/>
    <w:multiLevelType w:val="hybridMultilevel"/>
    <w:lvl w:ilvl="0">
      <w:lvlJc w:val="left"/>
      <w:lvlText w:val="%1."/>
      <w:numFmt w:val="upperLetter"/>
      <w:start w:val="1"/>
    </w:lvl>
  </w:abstractNum>
  <w:abstractNum w:abstractNumId="57">
    <w:nsid w:val="1DBABF00"/>
    <w:multiLevelType w:val="hybridMultilevel"/>
    <w:lvl w:ilvl="0">
      <w:lvlJc w:val="left"/>
      <w:lvlText w:val="●"/>
      <w:numFmt w:val="bullet"/>
      <w:start w:val="1"/>
    </w:lvl>
    <w:lvl w:ilvl="1">
      <w:lvlJc w:val="left"/>
      <w:lvlText w:val="%2."/>
      <w:numFmt w:val="upperLetter"/>
      <w:start w:val="2"/>
    </w:lvl>
  </w:abstractNum>
  <w:abstractNum w:abstractNumId="58">
    <w:nsid w:val="4AD084E9"/>
    <w:multiLevelType w:val="hybridMultilevel"/>
    <w:lvl w:ilvl="0">
      <w:lvlJc w:val="left"/>
      <w:lvlText w:val="●"/>
      <w:numFmt w:val="bullet"/>
      <w:start w:val="1"/>
    </w:lvl>
    <w:lvl w:ilvl="1">
      <w:lvlJc w:val="left"/>
      <w:lvlText w:val="%2."/>
      <w:numFmt w:val="upperLetter"/>
      <w:start w:val="3"/>
    </w:lvl>
  </w:abstractNum>
  <w:abstractNum w:abstractNumId="59">
    <w:nsid w:val="1F48EAA1"/>
    <w:multiLevelType w:val="hybridMultilevel"/>
    <w:lvl w:ilvl="0">
      <w:lvlJc w:val="left"/>
      <w:lvlText w:val="●"/>
      <w:numFmt w:val="bullet"/>
      <w:start w:val="1"/>
    </w:lvl>
    <w:lvl w:ilvl="1">
      <w:lvlJc w:val="left"/>
      <w:lvlText w:val="%2."/>
      <w:numFmt w:val="upperLetter"/>
      <w:start w:val="4"/>
    </w:lvl>
  </w:abstractNum>
  <w:abstractNum w:abstractNumId="60">
    <w:nsid w:val="1381823A"/>
    <w:multiLevelType w:val="hybridMultilevel"/>
    <w:lvl w:ilvl="0">
      <w:lvlJc w:val="left"/>
      <w:lvlText w:val="●"/>
      <w:numFmt w:val="bullet"/>
      <w:start w:val="1"/>
    </w:lvl>
    <w:lvl w:ilvl="1">
      <w:lvlJc w:val="left"/>
      <w:lvlText w:val="%2."/>
      <w:numFmt w:val="upperLetter"/>
      <w:start w:val="5"/>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decimal"/>
      <w:start w:val="3"/>
    </w:lvl>
    <w:lvl w:ilvl="1">
      <w:lvlJc w:val="left"/>
      <w:lvlText w:val="●"/>
      <w:numFmt w:val="bullet"/>
      <w:start w:val="1"/>
    </w:lvl>
  </w:abstractNum>
  <w:abstractNum w:abstractNumId="64">
    <w:nsid w:val="15014ACB"/>
    <w:multiLevelType w:val="hybridMultilevel"/>
    <w:lvl w:ilvl="0">
      <w:lvlJc w:val="left"/>
      <w:lvlText w:val="●"/>
      <w:numFmt w:val="bullet"/>
      <w:start w:val="1"/>
    </w:lvl>
    <w:lvl w:ilvl="1">
      <w:lvlJc w:val="left"/>
      <w:lvlText w:val="●"/>
      <w:numFmt w:val="bullet"/>
      <w:start w:val="1"/>
    </w:lvl>
  </w:abstractNum>
  <w:abstractNum w:abstractNumId="65">
    <w:nsid w:val="5F5E7FD0"/>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upperLetter"/>
      <w:start w:val="1"/>
    </w:lvl>
    <w:lvl w:ilvl="1">
      <w:lvlJc w:val="left"/>
      <w:lvlText w:val="%2."/>
      <w:numFmt w:val="decimal"/>
      <w:start w:val="6"/>
    </w:lvl>
  </w:abstractNum>
  <w:abstractNum w:abstractNumId="68">
    <w:nsid w:val="6B94764"/>
    <w:multiLevelType w:val="hybridMultilevel"/>
    <w:lvl w:ilvl="0">
      <w:lvlJc w:val="left"/>
      <w:lvlText w:val="%1."/>
      <w:numFmt w:val="upperLetter"/>
      <w:start w:val="22"/>
    </w:lvl>
    <w:lvl w:ilvl="1">
      <w:lvlJc w:val="left"/>
      <w:lvlText w:val="%2"/>
      <w:numFmt w:val="decimal"/>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30" Type="http://schemas.openxmlformats.org/officeDocument/2006/relationships/hyperlink" Target="https://www.sec.gov/Archives/edgar/data/1840502/000114036123001725/brhc10046656_ex3-1.htm" TargetMode="External"/><Relationship Id="rId131" Type="http://schemas.openxmlformats.org/officeDocument/2006/relationships/hyperlink" Target="https://www.sec.gov/Archives/edgar/data/1840502/000114036121015334/nt10019597x7_ex4-5.htm" TargetMode="External"/><Relationship Id="rId132" Type="http://schemas.openxmlformats.org/officeDocument/2006/relationships/hyperlink" Target="https://www.sec.gov/Archives/edgar/data/1840502/000114036121015334/nt10019597x7_ex4-6.htm" TargetMode="External"/><Relationship Id="rId133" Type="http://schemas.openxmlformats.org/officeDocument/2006/relationships/hyperlink" Target="https://www.sec.gov/Archives/edgar/data/1840502/000114036121015334/nt10019597x7_ex10-10.htm" TargetMode="External"/><Relationship Id="rId134" Type="http://schemas.openxmlformats.org/officeDocument/2006/relationships/hyperlink" Target="https://www.sec.gov/Archives/edgar/data/1840502/000114036122010978/brhc10035439_ex4-5.htm" TargetMode="External"/><Relationship Id="rId135" Type="http://schemas.openxmlformats.org/officeDocument/2006/relationships/hyperlink" Target="https://www.sec.gov/Archives/edgar/data/1840502/000114036124035980/ef20030068_ex10-1.htm" TargetMode="External"/><Relationship Id="rId136" Type="http://schemas.openxmlformats.org/officeDocument/2006/relationships/hyperlink" Target="https://www.sec.gov/Archives/edgar/data/1840502/000114036121015334/nt10019597x7_ex10-8.htm" TargetMode="External"/><Relationship Id="rId137" Type="http://schemas.openxmlformats.org/officeDocument/2006/relationships/hyperlink" Target="https://www.sec.gov/Archives/edgar/data/1840502/000114036121015334/nt10019597x7_ex10-9.htm" TargetMode="External"/><Relationship Id="rId138" Type="http://schemas.openxmlformats.org/officeDocument/2006/relationships/hyperlink" Target="https://www.sec.gov/Archives/edgar/data/1840502/000114036121029914/nt10026806x3_ex2-3.htm" TargetMode="External"/><Relationship Id="rId139" Type="http://schemas.openxmlformats.org/officeDocument/2006/relationships/hyperlink" Target="https://www.sec.gov/Archives/edgar/data/1840502/000114036121015334/nt10019597x7_ex4-10.htm" TargetMode="External"/><Relationship Id="rId140" Type="http://schemas.openxmlformats.org/officeDocument/2006/relationships/hyperlink" Target="https://www.sec.gov/Archives/edgar/data/1840502/000114036121030043/nt10026806x5_ex99-2.htm" TargetMode="External"/><Relationship Id="rId141" Type="http://schemas.openxmlformats.org/officeDocument/2006/relationships/hyperlink" Target="https://www.sec.gov/Archives/edgar/data/1840502/000114036121030043/nt10026806x5_ex99-3.htm" TargetMode="External"/><Relationship Id="rId142" Type="http://schemas.openxmlformats.org/officeDocument/2006/relationships/hyperlink" Target="https://www.sec.gov/Archives/edgar/data/1840502/000114036122030494/brhc10041063_ex99-1.htm" TargetMode="External"/><Relationship Id="rId143" Type="http://schemas.openxmlformats.org/officeDocument/2006/relationships/hyperlink" Target="https://www.sec.gov/Archives/edgar/data/1840502/000114036123038686/brhc20056716_ex10-2.htm" TargetMode="External"/><Relationship Id="rId144" Type="http://schemas.openxmlformats.org/officeDocument/2006/relationships/hyperlink" Target="https://www.sec.gov/Archives/edgar/data/1840502/000114036123001725/brhc10046656_ex10-1.htm" TargetMode="External"/><Relationship Id="rId145" Type="http://schemas.openxmlformats.org/officeDocument/2006/relationships/hyperlink" Target="https://www.sec.gov/Archives/edgar/data/1840502/000114036123001725/brhc10046656_ex10-2.htm" TargetMode="External"/><Relationship Id="rId146" Type="http://schemas.openxmlformats.org/officeDocument/2006/relationships/hyperlink" Target="https://www.sec.gov/Archives/edgar/data/1840502/000114036123011303/brhc10049391_ex10-12.htm" TargetMode="External"/><Relationship Id="rId147" Type="http://schemas.openxmlformats.org/officeDocument/2006/relationships/hyperlink" Target="https://www.sec.gov/Archives/edgar/data/1840502/000114036123038686/brhc20056716_ex10-1.htm" TargetMode="External"/><Relationship Id="rId148" Type="http://schemas.openxmlformats.org/officeDocument/2006/relationships/hyperlink" Target="https://www.sec.gov/Archives/edgar/data/1840502/000114036123011303/brhc10049391_ex10-14.htm" TargetMode="External"/><Relationship Id="rId149" Type="http://schemas.openxmlformats.org/officeDocument/2006/relationships/hyperlink" Target="https://www.sec.gov/Archives/edgar/data/1840502/000114036123011303/brhc10049391_ex10-15.htm" TargetMode="External"/><Relationship Id="rId150" Type="http://schemas.openxmlformats.org/officeDocument/2006/relationships/hyperlink" Target="https://www.sec.gov/Archives/edgar/data/1840502/000114036123011303/brhc10049391_ex10-16.htm" TargetMode="External"/><Relationship Id="rId151" Type="http://schemas.openxmlformats.org/officeDocument/2006/relationships/hyperlink" Target="https://www.sec.gov/Archives/edgar/data/1840502/000114036123011303/brhc10049391_ex10-17.htm" TargetMode="External"/><Relationship Id="rId152" Type="http://schemas.openxmlformats.org/officeDocument/2006/relationships/hyperlink" Target="https://www.sec.gov/Archives/edgar/data/1840502/000114036123011303/brhc10049391_ex10-18.htm" TargetMode="External"/><Relationship Id="rId153" Type="http://schemas.openxmlformats.org/officeDocument/2006/relationships/hyperlink" Target="https://www.sec.gov/Archives/edgar/data/1840502/000114036124009866/ef20015295_ex10-21.htm" TargetMode="External"/><Relationship Id="rId154" Type="http://schemas.openxmlformats.org/officeDocument/2006/relationships/hyperlink" Target="https://www.sec.gov/Archives/edgar/data/1840502/000114036124045484/ef20034533_ex10-1.htm" TargetMode="External"/><Relationship Id="rId155" Type="http://schemas.openxmlformats.org/officeDocument/2006/relationships/hyperlink" Target="https://www.sec.gov/Archives/edgar/data/1840502/000114036124009866/ef20015295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2025-02-26T05:39:04Z</dcterms:created>
  <dcterms:modified xsi:type="dcterms:W3CDTF">2025-02-26T05:39:04Z</dcterms:modified>
</cp:coreProperties>
</file>