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160020</wp:posOffset>
            </wp:positionV>
            <wp:extent cx="71431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270510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580"/>
        <w:spacing w:after="0" w:line="236" w:lineRule="auto"/>
        <w:rPr>
          <w:sz w:val="20"/>
          <w:szCs w:val="20"/>
          <w:color w:val="auto"/>
        </w:rPr>
      </w:pPr>
      <w:r>
        <w:rPr>
          <w:rFonts w:ascii="Times New Roman" w:cs="Times New Roman" w:eastAsia="Times New Roman" w:hAnsi="Times New Roman"/>
          <w:sz w:val="17"/>
          <w:szCs w:val="17"/>
          <w:b w:val="1"/>
          <w:bCs w:val="1"/>
          <w:color w:val="auto"/>
        </w:rPr>
        <w:t>_________________________</w:t>
      </w:r>
    </w:p>
    <w:p>
      <w:pPr>
        <w:jc w:val="center"/>
        <w:spacing w:after="0" w:line="238" w:lineRule="auto"/>
        <w:rPr>
          <w:sz w:val="20"/>
          <w:szCs w:val="20"/>
          <w:color w:val="auto"/>
        </w:rPr>
      </w:pPr>
      <w:r>
        <w:rPr>
          <w:rFonts w:ascii="Times New Roman" w:cs="Times New Roman" w:eastAsia="Times New Roman" w:hAnsi="Times New Roman"/>
          <w:sz w:val="30"/>
          <w:szCs w:val="30"/>
          <w:b w:val="1"/>
          <w:bCs w:val="1"/>
          <w:color w:val="auto"/>
        </w:rPr>
        <w:t>FORM 10-K</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ectPr>
          <w:pgSz w:w="11900" w:h="16838" w:orient="portrait"/>
          <w:cols w:equalWidth="0" w:num="1">
            <w:col w:w="11240"/>
          </w:cols>
          <w:pgMar w:left="320" w:top="537" w:right="339" w:bottom="0" w:gutter="0" w:footer="0" w:header="0"/>
        </w:sectPr>
      </w:pPr>
    </w:p>
    <w:p>
      <w:pPr>
        <w:spacing w:after="0" w:line="147" w:lineRule="exact"/>
        <w:rPr>
          <w:sz w:val="24"/>
          <w:szCs w:val="24"/>
          <w:color w:val="auto"/>
        </w:rPr>
      </w:pPr>
    </w:p>
    <w:p>
      <w:pPr>
        <w:ind w:left="2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right="1280" w:hanging="2197"/>
        <w:spacing w:after="0" w:line="467" w:lineRule="auto"/>
        <w:rPr>
          <w:sz w:val="20"/>
          <w:szCs w:val="20"/>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36" w:lineRule="exact"/>
        <w:rPr>
          <w:sz w:val="24"/>
          <w:szCs w:val="24"/>
          <w:color w:val="auto"/>
        </w:rPr>
      </w:pPr>
    </w:p>
    <w:p>
      <w:pPr>
        <w:sectPr>
          <w:pgSz w:w="11900" w:h="16838" w:orient="portrait"/>
          <w:cols w:equalWidth="0" w:num="2">
            <w:col w:w="3340" w:space="720"/>
            <w:col w:w="7180"/>
          </w:cols>
          <w:pgMar w:left="320" w:top="537" w:right="339" w:bottom="0" w:gutter="0" w:footer="0" w:header="0"/>
          <w:type w:val="continuous"/>
        </w:sectPr>
      </w:pPr>
    </w:p>
    <w:p>
      <w:pPr>
        <w:ind w:left="3500" w:right="1100" w:hanging="3289"/>
        <w:spacing w:after="0" w:line="488" w:lineRule="auto"/>
        <w:tabs>
          <w:tab w:leader="none" w:pos="168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001-40566</w:t>
      </w:r>
    </w:p>
    <w:p>
      <w:pPr>
        <w:spacing w:after="0" w:line="2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TABOOLA.COM LTD.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color w:val="auto"/>
              </w:rPr>
              <w:t>Israel</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40" w:type="dxa"/>
            <w:vAlign w:val="bottom"/>
          </w:tcPr>
          <w:p>
            <w:pPr>
              <w:jc w:val="center"/>
              <w:ind w:right="1297"/>
              <w:spacing w:after="0"/>
              <w:rPr>
                <w:sz w:val="20"/>
                <w:szCs w:val="20"/>
                <w:color w:val="auto"/>
              </w:rPr>
            </w:pPr>
            <w:r>
              <w:rPr>
                <w:rFonts w:ascii="Times New Roman" w:cs="Times New Roman" w:eastAsia="Times New Roman" w:hAnsi="Times New Roman"/>
                <w:sz w:val="17"/>
                <w:szCs w:val="17"/>
                <w:color w:val="auto"/>
                <w:w w:val="97"/>
              </w:rPr>
              <w:t>Not Applicable</w:t>
            </w:r>
          </w:p>
        </w:tc>
        <w:tc>
          <w:tcPr>
            <w:tcW w:w="0" w:type="dxa"/>
            <w:vAlign w:val="bottom"/>
          </w:tcPr>
          <w:p>
            <w:pPr>
              <w:spacing w:after="0"/>
              <w:rPr>
                <w:sz w:val="1"/>
                <w:szCs w:val="1"/>
                <w:color w:val="auto"/>
              </w:rPr>
            </w:pPr>
          </w:p>
        </w:tc>
      </w:tr>
      <w:tr>
        <w:trPr>
          <w:trHeight w:val="199"/>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b w:val="1"/>
                <w:bCs w:val="1"/>
                <w:color w:val="auto"/>
                <w:w w:val="96"/>
              </w:rPr>
              <w:t>(State or other jurisdiction of</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40" w:type="dxa"/>
            <w:vAlign w:val="bottom"/>
          </w:tcPr>
          <w:p>
            <w:pPr>
              <w:jc w:val="center"/>
              <w:ind w:right="1277"/>
              <w:spacing w:after="0"/>
              <w:rPr>
                <w:sz w:val="20"/>
                <w:szCs w:val="20"/>
                <w:color w:val="auto"/>
              </w:rPr>
            </w:pPr>
            <w:r>
              <w:rPr>
                <w:rFonts w:ascii="Times New Roman" w:cs="Times New Roman" w:eastAsia="Times New Roman" w:hAnsi="Times New Roman"/>
                <w:sz w:val="17"/>
                <w:szCs w:val="17"/>
                <w:b w:val="1"/>
                <w:bCs w:val="1"/>
                <w:color w:val="auto"/>
                <w:w w:val="97"/>
              </w:rPr>
              <w:t>(I.R.S. Employer</w:t>
            </w:r>
          </w:p>
        </w:tc>
        <w:tc>
          <w:tcPr>
            <w:tcW w:w="0" w:type="dxa"/>
            <w:vAlign w:val="bottom"/>
          </w:tcPr>
          <w:p>
            <w:pPr>
              <w:spacing w:after="0"/>
              <w:rPr>
                <w:sz w:val="1"/>
                <w:szCs w:val="1"/>
                <w:color w:val="auto"/>
              </w:rPr>
            </w:pPr>
          </w:p>
        </w:tc>
      </w:tr>
      <w:tr>
        <w:trPr>
          <w:trHeight w:val="203"/>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b w:val="1"/>
                <w:bCs w:val="1"/>
                <w:color w:val="auto"/>
                <w:w w:val="98"/>
              </w:rPr>
              <w:t>incorporation or organization)</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40" w:type="dxa"/>
            <w:vAlign w:val="bottom"/>
          </w:tcPr>
          <w:p>
            <w:pPr>
              <w:jc w:val="center"/>
              <w:ind w:right="1297"/>
              <w:spacing w:after="0"/>
              <w:rPr>
                <w:sz w:val="20"/>
                <w:szCs w:val="20"/>
                <w:color w:val="auto"/>
              </w:rPr>
            </w:pPr>
            <w:r>
              <w:rPr>
                <w:rFonts w:ascii="Times New Roman" w:cs="Times New Roman" w:eastAsia="Times New Roman" w:hAnsi="Times New Roman"/>
                <w:sz w:val="17"/>
                <w:szCs w:val="17"/>
                <w:b w:val="1"/>
                <w:bCs w:val="1"/>
                <w:color w:val="auto"/>
                <w:w w:val="97"/>
              </w:rPr>
              <w:t>Identification No.)</w:t>
            </w:r>
          </w:p>
        </w:tc>
        <w:tc>
          <w:tcPr>
            <w:tcW w:w="0" w:type="dxa"/>
            <w:vAlign w:val="bottom"/>
          </w:tcPr>
          <w:p>
            <w:pPr>
              <w:spacing w:after="0"/>
              <w:rPr>
                <w:sz w:val="1"/>
                <w:szCs w:val="1"/>
                <w:color w:val="auto"/>
              </w:rPr>
            </w:pPr>
          </w:p>
        </w:tc>
      </w:tr>
      <w:tr>
        <w:trPr>
          <w:trHeight w:val="199"/>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color w:val="auto"/>
                <w:w w:val="96"/>
              </w:rPr>
              <w:t>16 Madison Square West</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color w:val="auto"/>
                <w:w w:val="98"/>
              </w:rPr>
              <w:t>7th Floor</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80" w:type="dxa"/>
            <w:vAlign w:val="bottom"/>
            <w:gridSpan w:val="3"/>
          </w:tcPr>
          <w:p>
            <w:pPr>
              <w:jc w:val="center"/>
              <w:ind w:left="1177"/>
              <w:spacing w:after="0"/>
              <w:rPr>
                <w:sz w:val="20"/>
                <w:szCs w:val="20"/>
                <w:color w:val="auto"/>
              </w:rPr>
            </w:pPr>
            <w:r>
              <w:rPr>
                <w:rFonts w:ascii="Times New Roman" w:cs="Times New Roman" w:eastAsia="Times New Roman" w:hAnsi="Times New Roman"/>
                <w:sz w:val="17"/>
                <w:szCs w:val="17"/>
                <w:color w:val="auto"/>
                <w:w w:val="95"/>
              </w:rPr>
              <w:t>New York, NY</w:t>
            </w: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40" w:type="dxa"/>
            <w:vAlign w:val="bottom"/>
          </w:tcPr>
          <w:p>
            <w:pPr>
              <w:jc w:val="center"/>
              <w:ind w:right="1297"/>
              <w:spacing w:after="0"/>
              <w:rPr>
                <w:sz w:val="20"/>
                <w:szCs w:val="20"/>
                <w:color w:val="auto"/>
              </w:rPr>
            </w:pPr>
            <w:r>
              <w:rPr>
                <w:rFonts w:ascii="Times New Roman" w:cs="Times New Roman" w:eastAsia="Times New Roman" w:hAnsi="Times New Roman"/>
                <w:sz w:val="17"/>
                <w:szCs w:val="17"/>
                <w:color w:val="auto"/>
                <w:w w:val="98"/>
              </w:rPr>
              <w:t>10010</w:t>
            </w:r>
          </w:p>
        </w:tc>
        <w:tc>
          <w:tcPr>
            <w:tcW w:w="0" w:type="dxa"/>
            <w:vAlign w:val="bottom"/>
          </w:tcPr>
          <w:p>
            <w:pPr>
              <w:spacing w:after="0"/>
              <w:rPr>
                <w:sz w:val="1"/>
                <w:szCs w:val="1"/>
                <w:color w:val="auto"/>
              </w:rPr>
            </w:pPr>
          </w:p>
        </w:tc>
      </w:tr>
      <w:tr>
        <w:trPr>
          <w:trHeight w:val="220"/>
        </w:trPr>
        <w:tc>
          <w:tcPr>
            <w:tcW w:w="4380" w:type="dxa"/>
            <w:vAlign w:val="bottom"/>
            <w:gridSpan w:val="3"/>
          </w:tcPr>
          <w:p>
            <w:pPr>
              <w:jc w:val="center"/>
              <w:ind w:left="1157"/>
              <w:spacing w:after="0"/>
              <w:rPr>
                <w:sz w:val="20"/>
                <w:szCs w:val="20"/>
                <w:color w:val="auto"/>
              </w:rPr>
            </w:pPr>
            <w:r>
              <w:rPr>
                <w:rFonts w:ascii="Times New Roman" w:cs="Times New Roman" w:eastAsia="Times New Roman" w:hAnsi="Times New Roman"/>
                <w:sz w:val="17"/>
                <w:szCs w:val="17"/>
                <w:b w:val="1"/>
                <w:bCs w:val="1"/>
                <w:color w:val="auto"/>
                <w:w w:val="97"/>
              </w:rPr>
              <w:t>(Address of principal executive offices)</w:t>
            </w:r>
          </w:p>
        </w:tc>
        <w:tc>
          <w:tcPr>
            <w:tcW w:w="192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212-206-7633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40" w:type="dxa"/>
            <w:vAlign w:val="bottom"/>
          </w:tcPr>
          <w:p>
            <w:pPr>
              <w:jc w:val="center"/>
              <w:ind w:right="1277"/>
              <w:spacing w:after="0"/>
              <w:rPr>
                <w:sz w:val="20"/>
                <w:szCs w:val="20"/>
                <w:color w:val="auto"/>
              </w:rPr>
            </w:pPr>
            <w:r>
              <w:rPr>
                <w:rFonts w:ascii="Times New Roman" w:cs="Times New Roman" w:eastAsia="Times New Roman" w:hAnsi="Times New Roman"/>
                <w:sz w:val="17"/>
                <w:szCs w:val="17"/>
                <w:b w:val="1"/>
                <w:bCs w:val="1"/>
                <w:color w:val="auto"/>
                <w:w w:val="97"/>
              </w:rPr>
              <w:t>(Zip code)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(Registrant’s telephone number, including area code)</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color w:val="auto"/>
                <w:w w:val="97"/>
              </w:rPr>
              <w:t>Securities registered pursuant to Section 12(b) of the Act:</w:t>
            </w:r>
          </w:p>
        </w:tc>
        <w:tc>
          <w:tcPr>
            <w:tcW w:w="0" w:type="dxa"/>
            <w:vAlign w:val="bottom"/>
          </w:tcPr>
          <w:p>
            <w:pPr>
              <w:spacing w:after="0"/>
              <w:rPr>
                <w:sz w:val="1"/>
                <w:szCs w:val="1"/>
                <w:color w:val="auto"/>
              </w:rPr>
            </w:pPr>
          </w:p>
        </w:tc>
      </w:tr>
      <w:tr>
        <w:trPr>
          <w:trHeight w:val="377"/>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2620" w:type="dxa"/>
            <w:vAlign w:val="bottom"/>
            <w:gridSpan w:val="3"/>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w w:val="96"/>
              </w:rPr>
              <w:t>Symbol(s)</w:t>
            </w:r>
          </w:p>
        </w:tc>
        <w:tc>
          <w:tcPr>
            <w:tcW w:w="4240" w:type="dxa"/>
            <w:vAlign w:val="bottom"/>
          </w:tcPr>
          <w:p>
            <w:pPr>
              <w:jc w:val="center"/>
              <w:ind w:right="357"/>
              <w:spacing w:after="0"/>
              <w:rPr>
                <w:sz w:val="20"/>
                <w:szCs w:val="20"/>
                <w:color w:val="auto"/>
              </w:rPr>
            </w:pPr>
            <w:r>
              <w:rPr>
                <w:rFonts w:ascii="Times New Roman" w:cs="Times New Roman" w:eastAsia="Times New Roman" w:hAnsi="Times New Roman"/>
                <w:sz w:val="17"/>
                <w:szCs w:val="17"/>
                <w:b w:val="1"/>
                <w:bCs w:val="1"/>
                <w:color w:val="auto"/>
                <w:w w:val="97"/>
              </w:rPr>
              <w:t>Name of each exchange on which registered</w:t>
            </w:r>
          </w:p>
        </w:tc>
        <w:tc>
          <w:tcPr>
            <w:tcW w:w="0" w:type="dxa"/>
            <w:vAlign w:val="bottom"/>
          </w:tcPr>
          <w:p>
            <w:pPr>
              <w:spacing w:after="0"/>
              <w:rPr>
                <w:sz w:val="1"/>
                <w:szCs w:val="1"/>
                <w:color w:val="auto"/>
              </w:rPr>
            </w:pPr>
          </w:p>
        </w:tc>
      </w:tr>
      <w:tr>
        <w:trPr>
          <w:trHeight w:val="204"/>
        </w:trPr>
        <w:tc>
          <w:tcPr>
            <w:tcW w:w="3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Ordinary shares, no par value</w:t>
            </w: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center"/>
              <w:ind w:right="217"/>
              <w:spacing w:after="0"/>
              <w:rPr>
                <w:sz w:val="20"/>
                <w:szCs w:val="20"/>
                <w:color w:val="auto"/>
              </w:rPr>
            </w:pPr>
            <w:r>
              <w:rPr>
                <w:rFonts w:ascii="Times New Roman" w:cs="Times New Roman" w:eastAsia="Times New Roman" w:hAnsi="Times New Roman"/>
                <w:sz w:val="17"/>
                <w:szCs w:val="17"/>
                <w:color w:val="auto"/>
                <w:w w:val="94"/>
              </w:rPr>
              <w:t>TBLA</w:t>
            </w:r>
          </w:p>
        </w:tc>
        <w:tc>
          <w:tcPr>
            <w:tcW w:w="24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4240" w:type="dxa"/>
            <w:vAlign w:val="bottom"/>
            <w:tcBorders>
              <w:top w:val="single" w:sz="8" w:color="auto"/>
              <w:bottom w:val="single" w:sz="8" w:color="auto"/>
            </w:tcBorders>
          </w:tcPr>
          <w:p>
            <w:pPr>
              <w:jc w:val="center"/>
              <w:ind w:right="377"/>
              <w:spacing w:after="0"/>
              <w:rPr>
                <w:sz w:val="20"/>
                <w:szCs w:val="20"/>
                <w:color w:val="auto"/>
              </w:rPr>
            </w:pPr>
            <w:r>
              <w:rPr>
                <w:rFonts w:ascii="Times New Roman" w:cs="Times New Roman" w:eastAsia="Times New Roman" w:hAnsi="Times New Roman"/>
                <w:sz w:val="17"/>
                <w:szCs w:val="17"/>
                <w:color w:val="auto"/>
                <w:w w:val="98"/>
              </w:rPr>
              <w:t>The Nasdaq Global Market</w:t>
            </w:r>
          </w:p>
        </w:tc>
        <w:tc>
          <w:tcPr>
            <w:tcW w:w="0" w:type="dxa"/>
            <w:vAlign w:val="bottom"/>
          </w:tcPr>
          <w:p>
            <w:pPr>
              <w:spacing w:after="0"/>
              <w:rPr>
                <w:sz w:val="1"/>
                <w:szCs w:val="1"/>
                <w:color w:val="auto"/>
              </w:rPr>
            </w:pPr>
          </w:p>
        </w:tc>
      </w:tr>
      <w:tr>
        <w:trPr>
          <w:trHeight w:val="216"/>
        </w:trPr>
        <w:tc>
          <w:tcPr>
            <w:tcW w:w="3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Warrants to purchase ordinary shares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center"/>
              <w:ind w:right="217"/>
              <w:spacing w:after="0"/>
              <w:rPr>
                <w:sz w:val="20"/>
                <w:szCs w:val="20"/>
                <w:color w:val="auto"/>
              </w:rPr>
            </w:pPr>
            <w:r>
              <w:rPr>
                <w:rFonts w:ascii="Times New Roman" w:cs="Times New Roman" w:eastAsia="Times New Roman" w:hAnsi="Times New Roman"/>
                <w:sz w:val="17"/>
                <w:szCs w:val="17"/>
                <w:color w:val="auto"/>
                <w:w w:val="95"/>
              </w:rPr>
              <w:t>TBLAW</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auto"/>
                <w:w w:val="98"/>
              </w:rPr>
              <w:t>The Nasdaq Global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10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15(d)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1" w:lineRule="exact"/>
        <w:rPr>
          <w:sz w:val="24"/>
          <w:szCs w:val="24"/>
          <w:color w:val="auto"/>
        </w:rPr>
      </w:pPr>
    </w:p>
    <w:p>
      <w:pPr>
        <w:ind w:right="14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59"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57"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172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19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2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0"/>
        </w:trPr>
        <w:tc>
          <w:tcPr>
            <w:tcW w:w="2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2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7" w:lineRule="exact"/>
        <w:rPr>
          <w:sz w:val="24"/>
          <w:szCs w:val="24"/>
          <w:color w:val="auto"/>
        </w:rPr>
      </w:pPr>
    </w:p>
    <w:p>
      <w:pPr>
        <w:jc w:val="both"/>
        <w:ind w:right="580"/>
        <w:spacing w:after="0" w:line="208" w:lineRule="exact"/>
        <w:rPr>
          <w:sz w:val="20"/>
          <w:szCs w:val="20"/>
          <w:color w:val="auto"/>
        </w:rPr>
      </w:pPr>
      <w:r>
        <w:rPr>
          <w:rFonts w:ascii="Times New Roman" w:cs="Times New Roman" w:eastAsia="Times New Roman" w:hAnsi="Times New Roman"/>
          <w:sz w:val="17"/>
          <w:szCs w:val="17"/>
          <w:color w:val="2B2D3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000000"/>
        </w:rPr>
        <w:t>☒</w:t>
      </w:r>
    </w:p>
    <w:p>
      <w:pPr>
        <w:spacing w:after="0" w:line="173"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7"/>
          <w:szCs w:val="17"/>
          <w:color w:val="2B2D3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2B2D34"/>
        </w:rPr>
        <w:t>☐</w:t>
      </w:r>
    </w:p>
    <w:p>
      <w:pPr>
        <w:spacing w:after="0" w:line="157" w:lineRule="exact"/>
        <w:rPr>
          <w:sz w:val="24"/>
          <w:szCs w:val="24"/>
          <w:color w:val="auto"/>
        </w:rPr>
      </w:pPr>
    </w:p>
    <w:p>
      <w:pPr>
        <w:ind w:right="60"/>
        <w:spacing w:after="0" w:line="212" w:lineRule="exact"/>
        <w:rPr>
          <w:sz w:val="20"/>
          <w:szCs w:val="20"/>
          <w:color w:val="auto"/>
        </w:rPr>
      </w:pPr>
      <w:r>
        <w:rPr>
          <w:rFonts w:ascii="Times New Roman" w:cs="Times New Roman" w:eastAsia="Times New Roman" w:hAnsi="Times New Roman"/>
          <w:sz w:val="17"/>
          <w:szCs w:val="17"/>
          <w:color w:val="2B2D3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1" w:lineRule="exact"/>
        <w:rPr>
          <w:sz w:val="24"/>
          <w:szCs w:val="24"/>
          <w:color w:val="auto"/>
        </w:rPr>
      </w:pPr>
    </w:p>
    <w:p>
      <w:pPr>
        <w:ind w:right="320"/>
        <w:spacing w:after="0" w:line="269" w:lineRule="auto"/>
        <w:rPr>
          <w:sz w:val="20"/>
          <w:szCs w:val="20"/>
          <w:color w:val="auto"/>
        </w:rPr>
      </w:pPr>
      <w:r>
        <w:rPr>
          <w:rFonts w:ascii="Times New Roman" w:cs="Times New Roman" w:eastAsia="Times New Roman" w:hAnsi="Times New Roman"/>
          <w:sz w:val="17"/>
          <w:szCs w:val="17"/>
          <w:color w:val="auto"/>
        </w:rPr>
        <w:t>The aggregate market value of the voting and non-voting shares held by non-affiliates of the Registrant, based on the closing price of the shares of $3.11 on June 30, 2023 the last business day of the registrant’s most recently completed second fiscal quarter was approximately $676.3 million.</w:t>
      </w:r>
    </w:p>
    <w:p>
      <w:pPr>
        <w:sectPr>
          <w:pgSz w:w="11900" w:h="16838" w:orient="portrait"/>
          <w:cols w:equalWidth="0" w:num="1">
            <w:col w:w="11240"/>
          </w:cols>
          <w:pgMar w:left="320" w:top="537"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February 22, 2024 the Registrant had outstanding 295,463,243 Ordinary shares and 45,198,702 Non-Voting Ordinary shares.</w:t>
      </w:r>
    </w:p>
    <w:p>
      <w:pPr>
        <w:spacing w:after="0" w:line="1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Portions of the Registrant’s 2024 definitive Proxy Statement, which will be filed with the Securities and Exchange Commission within 120 days after December 31, 2023,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71431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254000</wp:posOffset>
            </wp:positionV>
            <wp:extent cx="714311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387985</wp:posOffset>
            </wp:positionV>
            <wp:extent cx="71431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880"/>
          </w:cols>
          <w:pgMar w:left="320" w:top="123" w:right="6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BASIS OF PRESENTATION</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United States Generally Accepted Accounting Principles (“GAAP”) . We present our consolidated financial statements in U.S. dollars.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fiscal year ends on December 31 of each year.</w:t>
      </w:r>
    </w:p>
    <w:p>
      <w:pPr>
        <w:spacing w:after="0" w:line="203"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Throughout this Annual Report, we provide a number of key performance indicators used by our management and often used by others in our industry. For details, see Item 7.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capitalized terms used in this Annual Report are defined in the Glossary following Item 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07" w:lineRule="exact"/>
        <w:rPr>
          <w:sz w:val="20"/>
          <w:szCs w:val="20"/>
          <w:color w:val="auto"/>
        </w:rPr>
      </w:pPr>
    </w:p>
    <w:p>
      <w:pPr>
        <w:jc w:val="both"/>
        <w:ind w:firstLine="332"/>
        <w:spacing w:after="0" w:line="234" w:lineRule="auto"/>
        <w:rPr>
          <w:sz w:val="20"/>
          <w:szCs w:val="20"/>
          <w:color w:val="auto"/>
        </w:rPr>
      </w:pPr>
      <w:r>
        <w:rPr>
          <w:rFonts w:ascii="Times New Roman" w:cs="Times New Roman" w:eastAsia="Times New Roman" w:hAnsi="Times New Roman"/>
          <w:sz w:val="16"/>
          <w:szCs w:val="16"/>
          <w:color w:val="auto"/>
        </w:rPr>
        <w:t>We or our licensors have proprietary rights to trademarks, trade names and service marks used in this Annual Report. Solely for convenience, trademarks, trade names and service marks referred to in this Annual Report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symbols, but such references are not intended to indicate, in any way, that we will not assert, to the fullest extent possible under applicable law, our rights or the rights of the applicable licensor to these trademarks, trade names and service marks.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 LOOKING STATEMENTS</w:t>
      </w:r>
    </w:p>
    <w:p>
      <w:pPr>
        <w:spacing w:after="0" w:line="20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Certain statements in this Annual Report may constitute “forward-looking statements” for purposes of the federal securities laws. Taboola’s forward-looking statements include, but are not limited to, statements regarding Taboola or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“appear,” “approximate,” “believe,” “continue,” “could,” “estimate,” “expect,” “foresee,” “intends,” “may,” “might,” “plan,” “possible,” “potential,” “predict,” “project,” “seek,” “should,” “would” and similar expressions (or the negative version of such words or expressions) may identify forward-looking statements, but the absence of these words does not mean that a statement is not forward-looking. Forward-looking statements in this Annual Report may include, for example, statements about:</w:t>
      </w:r>
    </w:p>
    <w:p>
      <w:pPr>
        <w:spacing w:after="0" w:line="179" w:lineRule="exact"/>
        <w:rPr>
          <w:sz w:val="20"/>
          <w:szCs w:val="20"/>
          <w:color w:val="auto"/>
        </w:rPr>
      </w:pPr>
    </w:p>
    <w:p>
      <w:pPr>
        <w:ind w:left="600" w:hanging="600"/>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w:t>
      </w:r>
    </w:p>
    <w:p>
      <w:pPr>
        <w:spacing w:after="0" w:line="202"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spacing w:after="0" w:line="203" w:lineRule="exact"/>
        <w:rPr>
          <w:sz w:val="20"/>
          <w:szCs w:val="20"/>
          <w:color w:val="auto"/>
        </w:rPr>
      </w:pPr>
    </w:p>
    <w:p>
      <w:pPr>
        <w:jc w:val="both"/>
        <w:ind w:firstLine="332"/>
        <w:spacing w:after="0" w:line="268"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laws.You should not place undue reliance on these forward-looking statements. As a result of a number of known and unknown risks and uncertainties, including those described in Part I, Item 1A, “Risk Factors” in this Annual Report on Form 10-K, our actual results or performance may be materially different from those expressed or implied by these forward-looking statements.</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07" w:lineRule="exact"/>
        <w:rPr>
          <w:sz w:val="20"/>
          <w:szCs w:val="20"/>
          <w:color w:val="auto"/>
        </w:rPr>
      </w:pPr>
    </w:p>
    <w:p>
      <w:pPr>
        <w:jc w:val="both"/>
        <w:ind w:firstLine="381"/>
        <w:spacing w:after="0" w:line="256" w:lineRule="auto"/>
        <w:rPr>
          <w:sz w:val="20"/>
          <w:szCs w:val="20"/>
          <w:color w:val="auto"/>
        </w:rPr>
      </w:pPr>
      <w:r>
        <w:rPr>
          <w:rFonts w:ascii="Times New Roman" w:cs="Times New Roman" w:eastAsia="Times New Roman" w:hAnsi="Times New Roman"/>
          <w:sz w:val="17"/>
          <w:szCs w:val="17"/>
          <w:color w:val="212529"/>
        </w:rPr>
        <w:t>The following is a summary of the material risks we are exposed to in the course of our business activities. The below summary does not contain all of the information that may be important to you, and you should read the below summary together with the more detailed discussion of risks set forth under the heading “Risk Factors,” as well as elsewhere in this Annual Report.</w:t>
      </w:r>
    </w:p>
    <w:p>
      <w:pPr>
        <w:spacing w:after="0" w:line="171" w:lineRule="exact"/>
        <w:rPr>
          <w:sz w:val="20"/>
          <w:szCs w:val="20"/>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 may be unable to attract new digital properties and Advertisers, sell additional offerings to its existing digital properties and Advertisers, or maintain enough business with its existing digital properties and Advertisers;</w:t>
      </w:r>
    </w:p>
    <w:p>
      <w:pPr>
        <w:spacing w:after="0" w:line="159" w:lineRule="exact"/>
        <w:rPr>
          <w:rFonts w:ascii="Times New Roman" w:cs="Times New Roman" w:eastAsia="Times New Roman" w:hAnsi="Times New Roman"/>
          <w:sz w:val="17"/>
          <w:szCs w:val="17"/>
          <w:color w:val="auto"/>
        </w:rPr>
      </w:pPr>
    </w:p>
    <w:p>
      <w:pPr>
        <w:jc w:val="both"/>
        <w:ind w:left="600" w:hanging="600"/>
        <w:spacing w:after="0" w:line="256"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Taboola’s performance under contracts with digital properties where Taboola is obligated to pay a specified minimum guaranteed amount per thousand impressions does not meet the minimum guarantee requirements, its gross profit could be negatively impacted and its results of operations and financial condition could be harmed;</w:t>
      </w:r>
    </w:p>
    <w:p>
      <w:pPr>
        <w:spacing w:after="0" w:line="170" w:lineRule="exact"/>
        <w:rPr>
          <w:rFonts w:ascii="Times New Roman" w:cs="Times New Roman" w:eastAsia="Times New Roman" w:hAnsi="Times New Roman"/>
          <w:sz w:val="17"/>
          <w:szCs w:val="17"/>
          <w:color w:val="auto"/>
        </w:rPr>
      </w:pPr>
    </w:p>
    <w:p>
      <w:pPr>
        <w:jc w:val="both"/>
        <w:ind w:left="600" w:hanging="600"/>
        <w:spacing w:after="0" w:line="256"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Yahoo partnership and our ability to transition and fully launch the native advertising service with Yahoo is not successful or implemented on the currently projected timeframe, the partnership may not be as financially accretive as we are projecting and our business, operating results or financial condition and our reputation could be adversely affected;</w:t>
      </w:r>
    </w:p>
    <w:p>
      <w:pPr>
        <w:spacing w:after="0" w:line="17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 may not be able to compete successfully against current and future competitors;</w:t>
      </w:r>
    </w:p>
    <w:p>
      <w:pPr>
        <w:spacing w:after="0" w:line="202"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Taboola’s future growth and success depends on its ability to continue to scale its existing offerings and to introduce new solutions that gain acceptance and that differentiate it from its competitors;</w:t>
      </w:r>
    </w:p>
    <w:p>
      <w:pPr>
        <w:spacing w:after="0" w:line="159"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Taboola fails to make the right investment decisions in its offerings and technology platform, or if Taboola is unable to generate or otherwise obtain sufficient funds to invest in them, Taboola may not attract and retain digital properties and Advertisers;</w:t>
      </w:r>
    </w:p>
    <w:p>
      <w:pPr>
        <w:spacing w:after="0" w:line="159"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Taboola’s ability to personalize its advertisements and content to users is restricted or prohibited due to various privacy or data protection laws or regulations, Taboola could lose digital properties and Advertisers;</w:t>
      </w:r>
    </w:p>
    <w:p>
      <w:pPr>
        <w:spacing w:after="0" w:line="159" w:lineRule="exact"/>
        <w:rPr>
          <w:rFonts w:ascii="Times New Roman" w:cs="Times New Roman" w:eastAsia="Times New Roman" w:hAnsi="Times New Roman"/>
          <w:sz w:val="17"/>
          <w:szCs w:val="17"/>
          <w:color w:val="auto"/>
        </w:rPr>
      </w:pPr>
    </w:p>
    <w:p>
      <w:pPr>
        <w:jc w:val="both"/>
        <w:ind w:left="600" w:hanging="600"/>
        <w:spacing w:after="0" w:line="256"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Taboola’s AI powered platform fails to accurately predict what ads and content would be of most interest to users or if Taboola fails to continue to improve on its ability to further predict or optimize user engagement or conversion rates for its Advertisers, its performance could decline and Taboola could lose digital properties and Advertisers;</w:t>
      </w:r>
    </w:p>
    <w:p>
      <w:pPr>
        <w:spacing w:after="0" w:line="17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Taboola’s business depends on continued engagement by users who interact with its platform on various digital properties;</w:t>
      </w:r>
    </w:p>
    <w:p>
      <w:pPr>
        <w:spacing w:after="0" w:line="202" w:lineRule="exact"/>
        <w:rPr>
          <w:rFonts w:ascii="Times New Roman" w:cs="Times New Roman" w:eastAsia="Times New Roman" w:hAnsi="Times New Roman"/>
          <w:sz w:val="17"/>
          <w:szCs w:val="17"/>
          <w:color w:val="auto"/>
        </w:rPr>
      </w:pPr>
    </w:p>
    <w:p>
      <w:pPr>
        <w:jc w:val="both"/>
        <w:ind w:left="600" w:hanging="600"/>
        <w:spacing w:after="0" w:line="256"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Historically, the majority of Taboola’s agreements with digital properties have typically required them to provide it exclusivity or other incentives based on preferred usage, for the term of the agreement; to the extent that such exclusivity is reduced or eliminated for any reason, digital properties could elect to implement competitive platforms or services that could be detrimental to its performance;</w:t>
      </w:r>
    </w:p>
    <w:p>
      <w:pPr>
        <w:spacing w:after="0" w:line="170"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Taboola’s business depends on strong brands and well-known digital properties, and failing to maintain and enhance its brands and well-known digital properties would hurt its ability to expand its number of Advertisers and digital properties;</w:t>
      </w:r>
    </w:p>
    <w:p>
      <w:pPr>
        <w:spacing w:after="0" w:line="159"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 is a multinational organization faced with complex and changing laws and regulations regarding privacy, data protection, content, competition, consumer protection, and other matters;</w:t>
      </w:r>
    </w:p>
    <w:p>
      <w:pPr>
        <w:spacing w:after="0" w:line="159"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Israel could adversely affect Taboola’s business;</w:t>
      </w:r>
    </w:p>
    <w:p>
      <w:pPr>
        <w:spacing w:after="0" w:line="202" w:lineRule="exact"/>
        <w:rPr>
          <w:rFonts w:ascii="Times New Roman" w:cs="Times New Roman" w:eastAsia="Times New Roman" w:hAnsi="Times New Roman"/>
          <w:sz w:val="17"/>
          <w:szCs w:val="17"/>
          <w:color w:val="auto"/>
        </w:rPr>
      </w:pPr>
    </w:p>
    <w:p>
      <w:pPr>
        <w:ind w:left="600" w:hanging="600"/>
        <w:spacing w:after="0" w:line="269"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events, war, terrorism and the emergence of another pandemic, each of which could disrupt our business and adversely affect our results of operations; and</w:t>
      </w:r>
    </w:p>
    <w:p>
      <w:pPr>
        <w:spacing w:after="0" w:line="159"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set forth in the section entitled “Risk Factors” in this Annual Report.</w:t>
      </w:r>
    </w:p>
    <w:p>
      <w:pPr>
        <w:spacing w:after="0" w:line="361"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gridSpan w:val="9"/>
          </w:tcPr>
          <w:p>
            <w:pPr>
              <w:ind w:left="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0" w:type="dxa"/>
            <w:vAlign w:val="bottom"/>
          </w:tcPr>
          <w:p>
            <w:pPr>
              <w:spacing w:after="0"/>
              <w:rPr>
                <w:sz w:val="19"/>
                <w:szCs w:val="19"/>
                <w:color w:val="auto"/>
              </w:rPr>
            </w:pPr>
          </w:p>
        </w:tc>
      </w:tr>
      <w:tr>
        <w:trPr>
          <w:trHeight w:val="204"/>
        </w:trPr>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4"/>
        </w:trPr>
        <w:tc>
          <w:tcPr>
            <w:tcW w:w="11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Forward Looking Statements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2</w:t>
            </w:r>
          </w:p>
        </w:tc>
      </w:tr>
      <w:tr>
        <w:trPr>
          <w:trHeight w:val="162"/>
        </w:trPr>
        <w:tc>
          <w:tcPr>
            <w:tcW w:w="11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Risk Factor Summary</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3</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Business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5</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1A.</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Risk Factors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23</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1B.</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Unresolved Staff Comments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57</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1C.</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Cybersecurity</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57</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2.</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Properties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58</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3.</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Legal Proceedings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58</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4.</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Mine Safety Disclosures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58</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5.</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Market For Registrant’s Common Equity, Related Shareholder Matters And Issuer Purchases Of Equity Securities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59</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6.</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[Reserved]</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60</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7.</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60</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7A.</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79</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8.</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82</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9.</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129</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9A.</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Controls and Procedures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129</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9B.</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Other Information</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130</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9C.</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Disclosure Regarding Foreign Jurisdiction that Prevent Inspections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130</w:t>
            </w:r>
          </w:p>
        </w:tc>
      </w:tr>
      <w:tr>
        <w:trPr>
          <w:trHeight w:val="204"/>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10.</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131</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11.</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Executive Compensation</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131</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12.</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Shareholder Matters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131</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13.</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132</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14.</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132</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15.</w:t>
            </w: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Exhibits, Financial Statement Schedules</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132</w:t>
            </w:r>
          </w:p>
        </w:tc>
      </w:tr>
      <w:tr>
        <w:trPr>
          <w:trHeight w:val="162"/>
        </w:trPr>
        <w:tc>
          <w:tcPr>
            <w:tcW w:w="116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7"/>
                <w:szCs w:val="17"/>
                <w:color w:val="auto"/>
              </w:rPr>
              <w:t>Item 16.</w:t>
            </w: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Form 10-K Summary</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134</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1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980" w:type="dxa"/>
            <w:vAlign w:val="bottom"/>
            <w:tcBorders>
              <w:bottom w:val="single" w:sz="8" w:color="auto"/>
              <w:right w:val="single" w:sz="8" w:color="auto"/>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Glossary</w:t>
            </w:r>
          </w:p>
        </w:tc>
        <w:tc>
          <w:tcPr>
            <w:tcW w:w="100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134</w:t>
            </w:r>
          </w:p>
        </w:tc>
      </w:tr>
      <w:tr>
        <w:trPr>
          <w:trHeight w:val="162"/>
        </w:trPr>
        <w:tc>
          <w:tcPr>
            <w:tcW w:w="11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right w:val="single" w:sz="8" w:color="auto"/>
            </w:tcBorders>
            <w:gridSpan w:val="26"/>
          </w:tcPr>
          <w:p>
            <w:pPr>
              <w:spacing w:after="0" w:line="162" w:lineRule="exact"/>
              <w:rPr>
                <w:sz w:val="20"/>
                <w:szCs w:val="20"/>
                <w:color w:val="auto"/>
              </w:rPr>
            </w:pPr>
            <w:r>
              <w:rPr>
                <w:rFonts w:ascii="Times New Roman" w:cs="Times New Roman" w:eastAsia="Times New Roman" w:hAnsi="Times New Roman"/>
                <w:sz w:val="17"/>
                <w:szCs w:val="17"/>
                <w:color w:val="0000EE"/>
              </w:rPr>
              <w:t>Signatures</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135</w:t>
            </w:r>
          </w:p>
        </w:tc>
      </w:tr>
      <w:tr>
        <w:trPr>
          <w:trHeight w:val="22"/>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power recommendations for the Open Web, helping people all around the world discover things they may like, but never knew existed.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Meta/Facebook, Google, and Amazon.</w:t>
      </w:r>
    </w:p>
    <w:p>
      <w:pPr>
        <w:spacing w:after="0" w:line="174"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74"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6"/>
          <w:szCs w:val="16"/>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Yahoo Partnership</w:t>
      </w:r>
    </w:p>
    <w:p>
      <w:pPr>
        <w:spacing w:after="0" w:line="207"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Cost </w:t>
      </w:r>
      <w:r>
        <w:rPr>
          <w:rFonts w:ascii="Times New Roman" w:cs="Times New Roman" w:eastAsia="Times New Roman" w:hAnsi="Times New Roman"/>
          <w:sz w:val="17"/>
          <w:szCs w:val="17"/>
          <w:b w:val="1"/>
          <w:bCs w:val="1"/>
          <w:color w:val="202124"/>
        </w:rPr>
        <w:t>Restructuring Program</w:t>
      </w:r>
    </w:p>
    <w:p>
      <w:pPr>
        <w:spacing w:after="0" w:line="207"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17"/>
          <w:szCs w:val="17"/>
          <w:color w:val="202124"/>
        </w:rPr>
        <w:t xml:space="preserve">In September 2022, in response to macroeconomic conditions, the Company announced and implemented a cost restructuring program impacting approximately 6% of the Company’s global headcount. Restructuring expenses were approximately $3.4 million for the year ended December 31, 2022 primarily consisting of </w:t>
      </w:r>
      <w:r>
        <w:rPr>
          <w:rFonts w:ascii="Times New Roman" w:cs="Times New Roman" w:eastAsia="Times New Roman" w:hAnsi="Times New Roman"/>
          <w:sz w:val="17"/>
          <w:szCs w:val="17"/>
          <w:color w:val="000000"/>
        </w:rPr>
        <w:t>one-time</w:t>
      </w:r>
      <w:r>
        <w:rPr>
          <w:rFonts w:ascii="Times New Roman" w:cs="Times New Roman" w:eastAsia="Times New Roman" w:hAnsi="Times New Roman"/>
          <w:sz w:val="17"/>
          <w:szCs w:val="17"/>
          <w:color w:val="202124"/>
        </w:rPr>
        <w:t xml:space="preserve"> </w:t>
      </w:r>
      <w:r>
        <w:rPr>
          <w:rFonts w:ascii="Times New Roman" w:cs="Times New Roman" w:eastAsia="Times New Roman" w:hAnsi="Times New Roman"/>
          <w:sz w:val="17"/>
          <w:szCs w:val="17"/>
          <w:color w:val="000000"/>
        </w:rPr>
        <w:t>incremental employee termination benefits and other costs related to the Company’s business prioritization</w:t>
      </w:r>
      <w:r>
        <w:rPr>
          <w:rFonts w:ascii="Times New Roman" w:cs="Times New Roman" w:eastAsia="Times New Roman" w:hAnsi="Times New Roman"/>
          <w:sz w:val="17"/>
          <w:szCs w:val="17"/>
          <w:color w:val="202124"/>
        </w:rPr>
        <w:t>.</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202124"/>
        </w:rPr>
        <w:t xml:space="preserve">See Note 14 of </w:t>
      </w:r>
      <w:r>
        <w:rPr>
          <w:rFonts w:ascii="Times New Roman" w:cs="Times New Roman" w:eastAsia="Times New Roman" w:hAnsi="Times New Roman"/>
          <w:sz w:val="17"/>
          <w:szCs w:val="17"/>
          <w:color w:val="000000"/>
        </w:rPr>
        <w:t>Notes to the Consolidated Financial Statements</w:t>
      </w:r>
      <w:r>
        <w:rPr>
          <w:rFonts w:ascii="Times New Roman" w:cs="Times New Roman" w:eastAsia="Times New Roman" w:hAnsi="Times New Roman"/>
          <w:sz w:val="17"/>
          <w:szCs w:val="17"/>
          <w:color w:val="202124"/>
        </w:rPr>
        <w:t xml:space="preserve"> in this Annual Report for additional details regarding the cost restructuring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Connexity Acquisition</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On September 1, 2021 we completed our previously announced acquisition of Shop Holding Corporation, which we refer to as Connexity. The total consideration amount of approximately $800 million included retention incentives and is subject to customary purchase price adjustments for working capital and indebtedness. For additional information about the Connexity acquisition, including the issuance of Ordinary shares and the entry of a $300 million senior secured term loan credit agreement to finance a portion of the acquisition see Notes 7, 10, and 13 of Notes to Consolidated Financial Statements in this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ION Merger Agreement</w:t>
      </w:r>
    </w:p>
    <w:p>
      <w:pPr>
        <w:spacing w:after="0" w:line="20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On January 25, 2021, we and one of our subsidiaries entered into a Merger Agreement with ION Acquisition Corp. 1 Ltd. Under that agreement, our subsidiary merged with and into ION, with ION continuing as the surviving company and becoming our direct, wholly-owned subsidiary. The Merger Agreement and the related transactions were unanimously approved by both the ION board of directors and the Board. The Business Combination and other transactions contemplated by the Merger Agreement, closed on June 29, 2021 after receipt of the required approval by our shareholders and ION’s shareholders and the fulfillment of certain other conditions. In connection with the Merger Agreement, we also obtained commitments for the purchase in private transactions that closed concurrently with the Business Combination of approximately $285 million of our Ordinary shares, of which approximately $150 million was purchased directly from certain of our existing shareholders, primarily from early investors.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Taboola’s opportunity is to offer advertisers easy access to a curated supply of Open Web publisher inventory in a way that offers significant scale, reach and frequency with better user experience and monetization performance than what they are seeing today.</w:t>
      </w:r>
    </w:p>
    <w:p>
      <w:pPr>
        <w:spacing w:after="0" w:line="157" w:lineRule="exact"/>
        <w:rPr>
          <w:sz w:val="20"/>
          <w:szCs w:val="20"/>
          <w:color w:val="auto"/>
        </w:rPr>
      </w:pPr>
    </w:p>
    <w:p>
      <w:pPr>
        <w:jc w:val="both"/>
        <w:ind w:firstLine="332"/>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Advertising Budgets Shift to Digital Marketing. </w:t>
      </w:r>
      <w:r>
        <w:rPr>
          <w:rFonts w:ascii="Times New Roman" w:cs="Times New Roman" w:eastAsia="Times New Roman" w:hAnsi="Times New Roman"/>
          <w:sz w:val="17"/>
          <w:szCs w:val="17"/>
          <w:color w:val="auto"/>
        </w:rPr>
        <w:t>As we have witnessed over the last decade, advertising budgets continue to shift from traditional media,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print newspapers, magazines and television, to digital channels. No longer a trend, a change in consumer attention to digital properties has become a lasting movement, giving Advertisers an opportunity to reach increasing numbers of consumers at scale with relevant content and precise targeting, thereby driving a higher return on their investment.</w:t>
      </w:r>
    </w:p>
    <w:p>
      <w:pPr>
        <w:spacing w:after="0" w:line="171"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Walled Gardens Dominate Digital Advertising Spend. </w:t>
      </w:r>
      <w:r>
        <w:rPr>
          <w:rFonts w:ascii="Times New Roman" w:cs="Times New Roman" w:eastAsia="Times New Roman" w:hAnsi="Times New Roman"/>
          <w:sz w:val="17"/>
          <w:szCs w:val="17"/>
          <w:color w:val="auto"/>
        </w:rPr>
        <w:t>According to eMarketer, more than half of digital advertising budgets are spent within the closed ecosystems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tech giants like Google, Facebook and Amazon, which we refer to as “walled gardens.” With the proliferation of these walled gardens and the time spent by consumers within them, the Open Web is fighting for user attention and as a result for advertising dollars.</w:t>
      </w:r>
    </w:p>
    <w:p>
      <w:pPr>
        <w:spacing w:after="0" w:line="166"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7"/>
          <w:szCs w:val="17"/>
          <w:i w:val="1"/>
          <w:iCs w:val="1"/>
          <w:color w:val="auto"/>
        </w:rPr>
        <w:t>Highly Fragmented Open Web</w:t>
      </w:r>
      <w:r>
        <w:rPr>
          <w:rFonts w:ascii="Times New Roman" w:cs="Times New Roman" w:eastAsia="Times New Roman" w:hAnsi="Times New Roman"/>
          <w:sz w:val="17"/>
          <w:szCs w:val="17"/>
          <w:color w:val="auto"/>
        </w:rPr>
        <w:t>. According to our estimates, Advertisers spent approximately $80 billion advertising on the Open Web in 2023. Because the Open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Web is, by definition, highly fragmented, it is harder for Advertisers to access than the walled gardens.</w:t>
      </w:r>
    </w:p>
    <w:p>
      <w:pPr>
        <w:spacing w:after="0" w:line="156" w:lineRule="exact"/>
        <w:rPr>
          <w:sz w:val="20"/>
          <w:szCs w:val="20"/>
          <w:color w:val="auto"/>
        </w:rPr>
      </w:pPr>
    </w:p>
    <w:p>
      <w:pPr>
        <w:jc w:val="both"/>
        <w:ind w:firstLine="332"/>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The Technology behind Digital Advertising has become Increasingly Complex. </w:t>
      </w:r>
      <w:r>
        <w:rPr>
          <w:rFonts w:ascii="Times New Roman" w:cs="Times New Roman" w:eastAsia="Times New Roman" w:hAnsi="Times New Roman"/>
          <w:sz w:val="17"/>
          <w:szCs w:val="17"/>
          <w:color w:val="auto"/>
        </w:rPr>
        <w:t>Technologies for more automated and efficient buying and selling of digital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advertising have been gaining traction for several years with both advertising buyers and digital properties. The ability to collect, collate and analyze intent data points using AI and machine-learning technology is a key differentiator for Advertisers, digital properties and advertising intermediaries. Data insights can now be used to optimize digital advertising campaigns in ways that were not previously possible. This means that advertising intermediaries who do not have access to data or are not using AI to power their platforms may be at a disadvantage.</w:t>
      </w:r>
    </w:p>
    <w:p>
      <w:pPr>
        <w:spacing w:after="0" w:line="172"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Shift from Offline Shopping to Online Shopping and e-Commerce. </w:t>
      </w:r>
      <w:r>
        <w:rPr>
          <w:rFonts w:ascii="Times New Roman" w:cs="Times New Roman" w:eastAsia="Times New Roman" w:hAnsi="Times New Roman"/>
          <w:sz w:val="17"/>
          <w:szCs w:val="17"/>
          <w:color w:val="auto"/>
        </w:rPr>
        <w:t>Online shopping saw significant acceleration during the Covid-19 pandemic and growth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to continue ~8% annually through 2027 doubling the growth of physical retail over that same period.</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Native Format Proliferation. </w:t>
      </w:r>
      <w:r>
        <w:rPr>
          <w:rFonts w:ascii="Times New Roman" w:cs="Times New Roman" w:eastAsia="Times New Roman" w:hAnsi="Times New Roman"/>
          <w:sz w:val="17"/>
          <w:szCs w:val="17"/>
          <w:color w:val="auto"/>
        </w:rPr>
        <w:t>According to eMarketer, native ads - ads that match the look, feel and function of the media format in which they appear, such as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used by Taboola - accounted for approximately 66% of total U.S. display ad spending in 2023. Native advertising is a format that has been popularized by social media and is now familiar to consumers.</w:t>
      </w:r>
    </w:p>
    <w:p>
      <w:pPr>
        <w:spacing w:after="0" w:line="166" w:lineRule="exact"/>
        <w:rPr>
          <w:sz w:val="20"/>
          <w:szCs w:val="20"/>
          <w:color w:val="auto"/>
        </w:rPr>
      </w:pPr>
    </w:p>
    <w:p>
      <w:pPr>
        <w:jc w:val="both"/>
        <w:ind w:firstLine="332"/>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Increasing Focus on Privacy and the Disappearance of Third Party Cookies. </w:t>
      </w:r>
      <w:r>
        <w:rPr>
          <w:rFonts w:ascii="Times New Roman" w:cs="Times New Roman" w:eastAsia="Times New Roman" w:hAnsi="Times New Roman"/>
          <w:sz w:val="16"/>
          <w:szCs w:val="16"/>
          <w:color w:val="auto"/>
        </w:rPr>
        <w:t>Government regulators, consumers, and technology companies recently turned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attention toward the use of personal data and related privacy practices. This has led to increased regulation, such as the European Union’s General Data Protection Regulation, or GDPR, its equivalent in the United Kingdom (commonly referred to as the UK GDPR), and the California Consumer Privacy Act (as modified by the California Privacy Rights Act), or CCPA. In parallel, major Internet browsers, such as Safari and Firefox are already blocking third party cookies and Google has announced plans to completely phase out third-party cookies in Google Chrome during the second half of 2024. These changes pose a challenge for the digital marketing landscape, which currently relies extensively on third-party cookie data for personalization and must adapt to comply with increasing regulation of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believe the Open Web needs a technology partner that enables digital properties to compete effectively with the scale and technological advantages of the tech giants. We believe our recommendation technology is applicable to a wide range of digital properties, including websites, apps, devices, and in the future, connected TVs and other mediums.</w:t>
      </w:r>
    </w:p>
    <w:p>
      <w:pPr>
        <w:spacing w:after="0" w:line="171"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Unlike walled gardens, we are a B2B company with no competing consumer interests. We do not compete with our digital property partners for users’ attention. Our motivations are aligned: when our partners win, we win, and we grow together. This win-win mentality applies to our relationships with digital property partners and our Advertiser clients. Our Advertiser clients typically utilize a performance-based pricing model, which means they only pay us after a desired event, most commonly a click, occurs. In addition, our deep relationships with digital properties offer a compelling value for Advertisers, granting consolidated access to Open Web audiences and, thus, reducing the effects of fragmentation. In the fourth quarter of 2023, we worked with approximately 17,000 Advertisers to serve ads to users across the Open Web and reached nearly 600 million daily active users, which, for this figure, we calculated as the average daily number of users that have been exposed to Taboola content recommendations at least twice in the preceding seven days. We and our digital property partners both benefit when users stay engaged with content on the digital property. To that end, we share advertising revenue as well as content-consumption data with digital properties, which they can use to make editorial decisions that best accommodate their audiences’ interests and increase user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We Do: Our Recommendation Platform</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At the core of the Taboola platform is our AI-powered predictive recommendation engine, which predicts what people may find interesting by employing unique Deep Learning technology and utilizing a broad range of inputs.</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Taboola’s core business, we serve two types of recommendations: (1) editorial, or “organic,” content from the site that the user is currently visiting, in order to engage the user and increase their chances of staying on the site longer; and (2) third-party ads paid for by our Advertiser partners. Our recommendations support text, image and video formats.</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generate revenue by enabling Advertisers to place bids for the right to serve their ads to targeted audiences across the Taboola network of digital properties, including some of the most premium sites in the world. As part of our e-Commerce offerings, we also syndicate our retailer Advertisers’ monetized product listings and links (clickable advertisements) into commerce content-oriented consumer experiences on both the Open Web and within the dominant traditional ad platforms.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Representative Product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141605</wp:posOffset>
            </wp:positionV>
            <wp:extent cx="4029710" cy="459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2971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Platform for Digital Properties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Through our technology, data and Advertiser relationships, we help digital properties achieve three key goals:</w:t>
      </w:r>
    </w:p>
    <w:p>
      <w:pPr>
        <w:spacing w:after="0" w:line="201" w:lineRule="exact"/>
        <w:rPr>
          <w:sz w:val="20"/>
          <w:szCs w:val="20"/>
          <w:color w:val="auto"/>
        </w:rPr>
      </w:pPr>
    </w:p>
    <w:p>
      <w:pPr>
        <w:jc w:val="both"/>
        <w:ind w:left="740" w:hanging="330"/>
        <w:spacing w:after="0" w:line="270" w:lineRule="auto"/>
        <w:tabs>
          <w:tab w:leader="none" w:pos="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Engagement</w:t>
      </w:r>
      <w:r>
        <w:rPr>
          <w:rFonts w:ascii="Times New Roman" w:cs="Times New Roman" w:eastAsia="Times New Roman" w:hAnsi="Times New Roman"/>
          <w:sz w:val="16"/>
          <w:szCs w:val="16"/>
          <w:color w:val="auto"/>
        </w:rPr>
        <w:t>: We keep users engaged with the digital property they are currently visiting, helping digital properties grow their business and not lose users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walled gardens. Digital properties work extremely hard to create engaging content and rely, in part, on Taboola to surface that content to the right user at the right time. To that end, the more content people read, the more time they spend on that digital property’s site, and the greater the opportunity for the digital property to monetize their business by, among other things, serving ads and offering subscriptions. In 2023, people clicked on Taboola recommendations tens of billions of times and approximately one-third of those clicks were on editorial content, keeping users on the site that they were on.</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jc w:val="both"/>
        <w:ind w:left="740" w:hanging="330"/>
        <w:spacing w:after="0" w:line="263" w:lineRule="auto"/>
        <w:tabs>
          <w:tab w:leader="none" w:pos="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Audience</w:t>
      </w:r>
      <w:r>
        <w:rPr>
          <w:rFonts w:ascii="Times New Roman" w:cs="Times New Roman" w:eastAsia="Times New Roman" w:hAnsi="Times New Roman"/>
          <w:sz w:val="16"/>
          <w:szCs w:val="16"/>
          <w:color w:val="auto"/>
        </w:rPr>
        <w:t>: Digital properties using our platform can grow their audience in seven main ways: (1) using our Taboola Newsroom product, they can use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readership data we compile from across the Taboola network to inform editorial decisions and optimize their content strategy, ultimately bringing new users to their property; (2) creating audience exchange programs between their own sites and those of other digital properties on our network, diversifying their audiences and introducing their content to new users; (3) acquiring new quality audiences from across the Taboola network of digital properties; (4) driving subscriptions to newsletters and paid subscriptions which, help bring loyal readers again and again to their site; (5) distributing their editorial content onto devices, OEMs, mobile carriers and more; (6) providing access to structured product content that can be used to create compelling consumer experiences; and</w:t>
      </w:r>
    </w:p>
    <w:p>
      <w:pPr>
        <w:spacing w:after="0" w:line="3" w:lineRule="exact"/>
        <w:rPr>
          <w:rFonts w:ascii="Times New Roman" w:cs="Times New Roman" w:eastAsia="Times New Roman" w:hAnsi="Times New Roman"/>
          <w:sz w:val="16"/>
          <w:szCs w:val="16"/>
          <w:color w:val="auto"/>
        </w:rPr>
      </w:pPr>
    </w:p>
    <w:p>
      <w:pPr>
        <w:ind w:left="740" w:hanging="6"/>
        <w:spacing w:after="0" w:line="248" w:lineRule="auto"/>
        <w:tabs>
          <w:tab w:leader="none" w:pos="1005"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insights and real-time analytics that enable the optimization of e-Commerce content strategy to increase engagement and organic traffic generation.</w:t>
      </w:r>
    </w:p>
    <w:p>
      <w:pPr>
        <w:spacing w:after="0" w:line="174" w:lineRule="exact"/>
        <w:rPr>
          <w:rFonts w:ascii="Times New Roman" w:cs="Times New Roman" w:eastAsia="Times New Roman" w:hAnsi="Times New Roman"/>
          <w:sz w:val="17"/>
          <w:szCs w:val="17"/>
          <w:color w:val="auto"/>
        </w:rPr>
      </w:pPr>
    </w:p>
    <w:p>
      <w:pPr>
        <w:jc w:val="both"/>
        <w:ind w:left="740" w:hanging="330"/>
        <w:spacing w:after="0" w:line="251"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Monetization</w:t>
      </w:r>
      <w:r>
        <w:rPr>
          <w:rFonts w:ascii="Times New Roman" w:cs="Times New Roman" w:eastAsia="Times New Roman" w:hAnsi="Times New Roman"/>
          <w:sz w:val="17"/>
          <w:szCs w:val="17"/>
          <w:color w:val="auto"/>
        </w:rPr>
        <w:t>: We enable digital properties to monetize their content with seamlessly integrated native ads, typically displayed in a feed format appearing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end of an article, as well as other prime locations such as homepages, section fronts and middle of the articles. When people click on these ads or make a purchase, and in certain cases when they view the ads, Advertisers pay us and we then share in this revenue with the digital property on which the click or impression occurred. With the addition of Taboola’s new offerings through its acquisition of e-Commerce focused Connexity, Inc., we also offer cost-per-click and cost-per-action monetization of both product listings and links to retailers that reside directly within editorial content.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Platform for Advertisers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Advertisers utilize Taboola’s platform and leverage our AI-powered recommendation engine to reach their audiences throughout the buyer journey, from building brand awareness to increasing customer loyalty. Using Taboola’s predictive engine, Advertisers can engage consumers at the right time with the right content, using text, image or video formats. Taboola allows Advertisers to run campaigns either directly through Taboola, using Taboola’s campaign management dashboard, or programmatically.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believe we offer Advertisers a complement to the walled gardens:</w:t>
      </w:r>
    </w:p>
    <w:p>
      <w:pPr>
        <w:spacing w:after="0" w:line="201" w:lineRule="exact"/>
        <w:rPr>
          <w:sz w:val="20"/>
          <w:szCs w:val="20"/>
          <w:color w:val="auto"/>
        </w:rPr>
      </w:pPr>
    </w:p>
    <w:p>
      <w:pPr>
        <w:ind w:left="740" w:hanging="330"/>
        <w:spacing w:after="0" w:line="271"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Massive reach</w:t>
      </w:r>
      <w:r>
        <w:rPr>
          <w:rFonts w:ascii="Times New Roman" w:cs="Times New Roman" w:eastAsia="Times New Roman" w:hAnsi="Times New Roman"/>
          <w:sz w:val="17"/>
          <w:szCs w:val="17"/>
          <w:color w:val="auto"/>
        </w:rPr>
        <w:t>: With an average of nearly 600 million daily active users in the fourth quarter of 2023, our platform creates opportunities to reach people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Open Web when they’re most receptive to brand messages and new content.</w:t>
      </w:r>
    </w:p>
    <w:p>
      <w:pPr>
        <w:spacing w:after="0" w:line="155" w:lineRule="exact"/>
        <w:rPr>
          <w:rFonts w:ascii="Times New Roman" w:cs="Times New Roman" w:eastAsia="Times New Roman" w:hAnsi="Times New Roman"/>
          <w:sz w:val="17"/>
          <w:szCs w:val="17"/>
          <w:color w:val="auto"/>
        </w:rPr>
      </w:pPr>
    </w:p>
    <w:p>
      <w:pPr>
        <w:jc w:val="both"/>
        <w:ind w:left="740" w:hanging="330"/>
        <w:spacing w:after="0" w:line="251"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Targeting</w:t>
      </w:r>
      <w:r>
        <w:rPr>
          <w:rFonts w:ascii="Times New Roman" w:cs="Times New Roman" w:eastAsia="Times New Roman" w:hAnsi="Times New Roman"/>
          <w:sz w:val="17"/>
          <w:szCs w:val="17"/>
          <w:color w:val="auto"/>
        </w:rPr>
        <w:t>: Our recommendation platform allows Advertisers to target their campaigns according to multiple parameters, such as context, user location, device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network connection type. Additionally, we use the Advertiser’s own data to target demographics, interests, “lookalike audiences” and more. Our predictive engine and large readership dataset enable Advertisers to reach their target audiences with the right message, at the right time and in the right context. In contrast with social networks, where Advertisers reach users based on carefully curated personas as well as other signals, our Advertisers reach users based on signals from what people are reading on the Open Web, which we believe is a more authentic representation of their true interests.</w:t>
      </w:r>
    </w:p>
    <w:p>
      <w:pPr>
        <w:spacing w:after="0" w:line="172" w:lineRule="exact"/>
        <w:rPr>
          <w:rFonts w:ascii="Times New Roman" w:cs="Times New Roman" w:eastAsia="Times New Roman" w:hAnsi="Times New Roman"/>
          <w:sz w:val="17"/>
          <w:szCs w:val="17"/>
          <w:color w:val="auto"/>
        </w:rPr>
      </w:pPr>
    </w:p>
    <w:p>
      <w:pPr>
        <w:ind w:left="740" w:hanging="330"/>
        <w:spacing w:after="0" w:line="271"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Impactful Native Ad Formats</w:t>
      </w:r>
      <w:r>
        <w:rPr>
          <w:rFonts w:ascii="Times New Roman" w:cs="Times New Roman" w:eastAsia="Times New Roman" w:hAnsi="Times New Roman"/>
          <w:sz w:val="17"/>
          <w:szCs w:val="17"/>
          <w:color w:val="auto"/>
        </w:rPr>
        <w:t>: Our close partnerships with premium digital properties allow us to develop highly impactful ad experiences that support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variety of ad formats and achieve diverse Advertiser goals, from awareness, to consideration, to purchase.</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jc w:val="both"/>
        <w:ind w:left="740" w:hanging="330"/>
        <w:spacing w:after="0" w:line="258"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Brand Safe</w:t>
      </w:r>
      <w:r>
        <w:rPr>
          <w:rFonts w:ascii="Times New Roman" w:cs="Times New Roman" w:eastAsia="Times New Roman" w:hAnsi="Times New Roman"/>
          <w:sz w:val="17"/>
          <w:szCs w:val="17"/>
          <w:color w:val="auto"/>
        </w:rPr>
        <w:t>: Ads distributed by Taboola are typically served on pages that display editorial content rather than the ubiquitous user-generated content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platforms such as YouTube or Facebook. In addition, our ad platform allows Advertisers to control the properties and topics on which their content appears, ensuring that their ads are displayed within suitable environments.</w:t>
      </w:r>
    </w:p>
    <w:p>
      <w:pPr>
        <w:spacing w:after="0" w:line="167" w:lineRule="exact"/>
        <w:rPr>
          <w:rFonts w:ascii="Times New Roman" w:cs="Times New Roman" w:eastAsia="Times New Roman" w:hAnsi="Times New Roman"/>
          <w:sz w:val="17"/>
          <w:szCs w:val="17"/>
          <w:color w:val="auto"/>
        </w:rPr>
      </w:pPr>
    </w:p>
    <w:p>
      <w:pPr>
        <w:jc w:val="both"/>
        <w:ind w:left="740" w:hanging="330"/>
        <w:spacing w:after="0" w:line="256"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Measurable Performance-Based Advertising: Performance-based Advertisers only pay when a consumer has actually engaged with the ad unit and in some cases only when a transaction is completed which is typically on a cost per click or cost per action basis. This is a particularly strong proposition for the retailer client advertising because it is a tangible return on the retailer client’s media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Recommendation Technology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Research and development team has spent over a decade developing our proprietary AI-based recommendation technology used in our core product, solving an incredibly complex problem — how to construct a personalized recommendation feed from millions of available articles, videos and ads, in real-time, when you have nearly 600 million daily active users and need to optimize for diverse outcomes and support multiple pricing models.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Rather than rely on knowledge of what people are searching for or what they share on social media, our predictive algorithms employ unique Deep Learning technology to develop a powerful model of people’s interests across the Open Web. Our technology performs exceptionally well on diverse types of input data, such as text, images and video, and is designed to discover non-trivial relations between content and users in a specific context. We predict which recommendations users are most likely to engage with based on a broad set of ‘signals’ that fall into the following categories:</w:t>
      </w:r>
    </w:p>
    <w:p>
      <w:pPr>
        <w:spacing w:after="0" w:line="172" w:lineRule="exact"/>
        <w:rPr>
          <w:sz w:val="20"/>
          <w:szCs w:val="20"/>
          <w:color w:val="auto"/>
        </w:rPr>
      </w:pPr>
    </w:p>
    <w:p>
      <w:pPr>
        <w:ind w:left="740" w:hanging="330"/>
        <w:spacing w:after="0" w:line="271"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User Behavior</w:t>
      </w:r>
      <w:r>
        <w:rPr>
          <w:rFonts w:ascii="Times New Roman" w:cs="Times New Roman" w:eastAsia="Times New Roman" w:hAnsi="Times New Roman"/>
          <w:sz w:val="17"/>
          <w:szCs w:val="17"/>
          <w:color w:val="auto"/>
        </w:rPr>
        <w:t>. We are experts in analyzing pseudonymized user behavior across the Open Web. We gather a massive amount of content consumption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users who visit our partners’ digital properties, which our Deep Learning engines then ingest.</w:t>
      </w:r>
    </w:p>
    <w:p>
      <w:pPr>
        <w:spacing w:after="0" w:line="155" w:lineRule="exact"/>
        <w:rPr>
          <w:rFonts w:ascii="Times New Roman" w:cs="Times New Roman" w:eastAsia="Times New Roman" w:hAnsi="Times New Roman"/>
          <w:sz w:val="17"/>
          <w:szCs w:val="17"/>
          <w:color w:val="auto"/>
        </w:rPr>
      </w:pPr>
    </w:p>
    <w:p>
      <w:pPr>
        <w:ind w:left="740" w:hanging="330"/>
        <w:spacing w:after="0" w:line="271"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Context</w:t>
      </w:r>
      <w:r>
        <w:rPr>
          <w:rFonts w:ascii="Times New Roman" w:cs="Times New Roman" w:eastAsia="Times New Roman" w:hAnsi="Times New Roman"/>
          <w:sz w:val="17"/>
          <w:szCs w:val="17"/>
          <w:color w:val="auto"/>
        </w:rPr>
        <w:t>. Our algorithms ingest contextual signals, such as geographic location of the user, what device the user is using, time of day, day of week, page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layout, page language and more.</w:t>
      </w:r>
    </w:p>
    <w:p>
      <w:pPr>
        <w:spacing w:after="0" w:line="155" w:lineRule="exact"/>
        <w:rPr>
          <w:rFonts w:ascii="Times New Roman" w:cs="Times New Roman" w:eastAsia="Times New Roman" w:hAnsi="Times New Roman"/>
          <w:sz w:val="17"/>
          <w:szCs w:val="17"/>
          <w:color w:val="auto"/>
        </w:rPr>
      </w:pPr>
    </w:p>
    <w:p>
      <w:pPr>
        <w:ind w:left="740" w:hanging="330"/>
        <w:spacing w:after="0" w:line="271"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Analysis of Recommended Items</w:t>
      </w:r>
      <w:r>
        <w:rPr>
          <w:rFonts w:ascii="Times New Roman" w:cs="Times New Roman" w:eastAsia="Times New Roman" w:hAnsi="Times New Roman"/>
          <w:sz w:val="17"/>
          <w:szCs w:val="17"/>
          <w:color w:val="auto"/>
        </w:rPr>
        <w:t>. We analyze recommended items, including paid advertisements, editorial articles, images and videos, to identify signals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as topic, title, thumbnail image, semantics and sentiment.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Generating a Rich Recommendation Feed</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serve the majority of our recommendations within a feed that was modeled after widely popular social media feeds and adapted for the Open Web. While the feed format provides a good user experience, it requires technological expertise that is an order of magnitude more complex than optimizing a single ad.</w:t>
      </w:r>
    </w:p>
    <w:p>
      <w:pPr>
        <w:spacing w:after="0" w:line="15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This is both a competitive advantage and a technological challenge that requires our algorithms to optimize multiple placements simultaneously across an entire web page, while also supporting the unique objectives of our various partners. Indeed, any recommendation we generate takes into consideration the other advertisements and editorial content recommendations that we display in the same feed. The effect of the sum of these parts allows us to predict the user engagement in different contexts, and make algorithmic decisions concerning the content we serve the user next.</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order to populate recommendations within a feed, our technology must consider the whole page, and recommend content or ads within the context of that page. This has implications both on the algorithms to predict engagement, as well as on how ad auctions are conducted. We have built an efficient algorithm to estimate the incrementality of new items based on what is already in the feed, and taking into account both how strong the item is standalone, as well as how similar it is to the other items already in the feed.</w:t>
      </w:r>
    </w:p>
    <w:p>
      <w:pPr>
        <w:spacing w:after="0" w:line="174"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Additionally, our Deep Learning engine allows us to optimize for multiple objectives simultaneously, which delivers efficacy to Advertisers, increases user engagement and supports the achievement of many other business goals 6in tandem. As opposed to other digital ad intermediaries who optimize the placements of a single ad unit in an environment they do not control, we influence, and more often create, the setting in which ads appear as we control the entire feed of content and ads, and optimize across the entire feed, page or session.</w:t>
      </w:r>
    </w:p>
    <w:p>
      <w:pPr>
        <w:spacing w:after="0" w:line="174"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Lastly, we have built a robust ability to conform our recommendation feeds to the design of our digital property partners’ pages and layouts. Presenting a variable mix of both editorial and paid content in this native format also mitigates the risk of user fatigue, commonly referred to as “banner blindness,” that has been noted in traditional display ads.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Recommend Editorial Content</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Recommending editorial, or organic, content produced by digital properties enables us to help our publisher partners keep users active on their site for a longer period of time, increasing their exposure to more personalized editorial content — thus increasing overall satisfaction and loyalty.</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To successfully recommend editorial content items, we developed algorithms that extract and analyze content consumption patterns from our entire network of digital properties. Our recommendations also rely on our deep understanding of reading habits based on our analysis of redundancy, recency, vertical, longevity, relevance device type and other factors.</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order to refine our ability to recommend editorial content even further, we have built multiple crawlers to ingest editorial content, categorize it, and extract named entities and topics using our Natural Language Understanding platform, which transforms human language into a machine-readable format. We also automated the assimilation, classification and generation of creatives, including images, videos, titles and descriptions.</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also take into consideration the optimization of recommendations to support our publishers’ goals, including subscriptions, pages per session, session duration, subscriptions to newsletters and more.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Recommend Ads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Recommending ads is particularly complex because the process requires accurately predicting multiple facets of the user’s interaction:</w:t>
      </w:r>
    </w:p>
    <w:p>
      <w:pPr>
        <w:spacing w:after="0" w:line="203" w:lineRule="exact"/>
        <w:rPr>
          <w:sz w:val="20"/>
          <w:szCs w:val="20"/>
          <w:color w:val="auto"/>
        </w:rPr>
      </w:pPr>
    </w:p>
    <w:p>
      <w:pPr>
        <w:ind w:left="740" w:hanging="330"/>
        <w:spacing w:after="0"/>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probability the user will interact (click on an ad, or go to an Advertiser’s site/app after seeing an ad), given a specific user and context.</w:t>
      </w:r>
    </w:p>
    <w:p>
      <w:pPr>
        <w:spacing w:after="0" w:line="202" w:lineRule="exact"/>
        <w:rPr>
          <w:rFonts w:ascii="Times New Roman" w:cs="Times New Roman" w:eastAsia="Times New Roman" w:hAnsi="Times New Roman"/>
          <w:sz w:val="17"/>
          <w:szCs w:val="17"/>
          <w:color w:val="auto"/>
        </w:rPr>
      </w:pPr>
    </w:p>
    <w:p>
      <w:pPr>
        <w:ind w:left="740" w:hanging="330"/>
        <w:spacing w:after="0" w:line="269"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probability a user will convert (into a lead, sales or other KPIs the Advertiser wishes to optimize) after she clicked/viewed an ad, given a specific user and context.</w:t>
      </w:r>
    </w:p>
    <w:p>
      <w:pPr>
        <w:spacing w:after="0" w:line="159"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a specific item (we support cost per click (CPC) and cost per thousand impressions (CPM)).</w:t>
      </w:r>
    </w:p>
    <w:p>
      <w:pPr>
        <w:spacing w:after="0" w:line="203"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ultimate measure of success in recommending ads is achieving the Advertiser’s goals. In order to do so, Taboola’s algorithms are designed to select the right opportunity to engage the right user with the right ad, while at the same time optimizing pricing and selecting the best creative assets to use. Our technology is designed to predict the value of each item and optimize both the advertising creatives and the format mix in each auction.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As described above, in order to make effective recommendations, our technology must first predict a user’s engagement with a given advertisement. When combined with the bid for each item, and the prediction of the conversion, this allows us to calculate the relative value of each item available for recommendation. To create an efficient marketplace, our algorithms support diverse pricing models, including CPC and CPM, and are able to conduct efficient auctions between them in order to maximize available inventory for Advertisers with diverse marketing objectives. We optimize bids for a particular ad, Advertiser, user and context, while factoring in constraints, such as geographic location targeting or audience segment targeting, regardless of pricing model.</w:t>
      </w:r>
    </w:p>
    <w:p>
      <w:pPr>
        <w:spacing w:after="0" w:line="176"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In order to assist Advertisers in executing efficient and effective campaigns, we developed a pricing automation tool called Smart Bid. Smart Bid is an automated campaign bidding strategy that utilizes platform data to bid effectively in real-time on impressions that are most likely to lead to conversions.</w:t>
      </w:r>
    </w:p>
    <w:p>
      <w:pPr>
        <w:spacing w:after="0" w:line="15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To maximize the probability of a user engaging with an ad, we support flexible native ad formats that include images, videos, text and interactive elements; we also support specialized elements, such as product price, discount, number of items left in stock, mobile app rating and more. Selecting the optimal ad also involves determining the best version and format of the ad from a very large number of combinations; Taboola does so by running a scalable infrastructure of multi-variant testing, which in turn allows the algorithm to choose the best creative combination efficiently.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we Enable Digital Properties to make e-Commerce Recommendations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With our acquisition of Connexity, our solutions have expanded to include e-Commerce focused content and monetization solutions for publishers. From a content point of view, we provide publishers with access to over 500 million product listings that are structured into product categories and enriched with product attributes. We syndicate those enriched offers to publishers, thereby enabling them to create consumer shopping or editorial experiences by embedding those product listings as native content within their websites, apps or social media feeds.</w:t>
      </w:r>
    </w:p>
    <w:p>
      <w:pPr>
        <w:spacing w:after="0" w:line="174"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There are a variety of implementations in terms of how publishers can access and engage with the content. Technology-savvy enterprise publishers will ingest the entire product listings feed and use their own search engine or content management system to choose how, when and which content to display. Less tech-enabled publishers will call Connexity’s search engine API to retrieve product listing results based on a search query, and then they will publish those product listings within their consumer experience in real-time. Lastly, professional editors or social influencers can use a browser-based editorial tool to hand-pick a specific product to display within their editorial content experience.</w:t>
      </w:r>
    </w:p>
    <w:p>
      <w:pPr>
        <w:spacing w:after="0" w:line="176"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In each of those cases, from a monetization perspective, we enable the publisher to seamlessly earn revenue on either a CPC or cost-per-action (CPA) for clicks and conversions that are generated by consumer engagement with the product listings or other retail-oriented editorial content.</w:t>
      </w:r>
    </w:p>
    <w:p>
      <w:pPr>
        <w:spacing w:after="0" w:line="159"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To enable these publishers to maximize the success of the commerce content initiatives, the company provides a suite of analytics dashboards that showcase real-time feedback on the performance of each of their product listing or editorial placements. In addition, the company also provides insights into industry trends including visibility into the type of content and products that are converting well across the entire network. These real-time feedback loops and insights are critical inputs that drive publishers’ content strategy and decisions about which products to promote. They accrue significant benefits to both publishers and the company in the form of increased yield and significantly differentiate the solution as the network effect is difficult to replicate.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Built for the Open Web as a Complement to the Walled Gardens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support of our win-win approach to partnerships, our recommendation technology is built to operate differently. Because we power editorial recommendations, digital properties typically embed our code directly on their web page. This means we can serve our own first-party cookie, much like what digital properties do on their own sites and applications.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Our recommendation platform allows both digital properties and Advertisers to control their brand identity within Taboola’s network. For example, digital properties can set “acceptance profiles” to determine which types of Advertisers we will recommend, and Advertisers can target or block selected digital properties. To consistently regulate the quality of our network, we also maintain a public content policy and employ a content review team that reviewed over ten million items in the fourth quarter of 2023. This combination of technology and human review is designed to create a consistently high level of brand safety and quality content within our network.</w:t>
      </w:r>
    </w:p>
    <w:p>
      <w:pPr>
        <w:spacing w:after="0" w:line="176"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While developing our recommendation technology, privacy is always at the top of our mind. We have long established and adopted privacy-by-design as a central element of our technology, and product design and development cycles, with a strong commitment to ensuring best practices in privacy, security and safety for our partners and users. Since 2017, we have had a designated Data Privacy Officer along with a team of privacy specialists. These specialists are integrated within our Research and development and Product organizations and processes, and consider all facets of user privacy as key elements in the design of any new technology, solution or feature of our recommendation platform. We also perform ongoing privacy impact assessments to monitor potential risks during the product lifecycle and proactively mitigate those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Infrastructure</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To successfully deliver optimized recommendations to nearly 600 million daily active users, and 500,000 recommendation related requests every second, we developed powerful software and hardware infrastructures from the ground up.</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data infrastructure was designed and implemented with several principles to ensure both very high accuracy and high speed to process and ingest every new data input at a very high scale and throughput. This infrastructure continuously “feeds” the predictive Deep Learning models, granting access to rich user history and enabling enrichment of data.</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order to support the massive amount of text analysis, processing, named entities and general semantic understanding, we have built a Natural Language Understanding platform with a large scale knowledge graph. Designed to recognize multiple languages, topics, concepts, named entities and categories for the entire Taboola platform, this platform is built using Deep Learning technologies.</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 ability to control the entire feed across multiple canvases is enabled by building state of the art client-side technologies to render and serve a rich feed of content across billions of devices, canvases and user touch points. This process operates within strict SLA and performance constraints, which requires us to develop our technology to work efficiently on low-end and high-end devices and canvases.</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As of December 31, 2023, we utilized approximately 12,000 servers; four back-end data centers processing over 100TB of data per day to train our AI engine; and nine front-end global data centers that, together, have served up to one trillion recommendations monthly. We use around 500,000 CPU cores, 2.5PB of memory and around 71,000PB of storage overall.</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Deployment of our code to the production environment is fully automated and includes execution of tens of thousands of automated tests for each code change, using AI to locate anomalies in the code to prevent errors. This allows our Research and development to develop software quickly and enables us to continuously deliver reliable code and AI models to production. To address the extreme complexity of operating at such a massive scale, we use cutting-edge technologies, such as Tensorflow, Spark, Cassandra and Kafka, as well as highly sophisticated code we developed to allow these tools to meet our scale and reliability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Team</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We have assembled a world class team of engineers and data scientists with a business-focused, innovative engineering culture. We have access to top talent in Asia, Europe, Israel, and the U.S., including very strong talent in AI, Deep Learning, high-scale infrastructure and browser-based technologies. We believe our engineering culture plays a key role in our success: we assign business KPIs to Research and development teams so technological decisions and priorities are aligned with business needs; we empower engineers to own features end-to-end, from ideation to full adoption; and we put special emphasis on collaboration. Our engineering culture relies strongly on experimentation and multi-variants testing. We continuously deploy and run hundreds of different AI models, UI variations and optimizations, in effect measuring hundreds of KPIs. We build our infrastructure such that it enables this culture of continuous improvement.</w:t>
      </w:r>
    </w:p>
    <w:p>
      <w:pPr>
        <w:spacing w:after="0" w:line="34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believe the following key strengths provide us with competitive advantages:</w:t>
      </w:r>
    </w:p>
    <w:p>
      <w:pPr>
        <w:spacing w:after="0" w:line="201" w:lineRule="exact"/>
        <w:rPr>
          <w:sz w:val="20"/>
          <w:szCs w:val="20"/>
          <w:color w:val="auto"/>
        </w:rPr>
      </w:pPr>
    </w:p>
    <w:p>
      <w:pPr>
        <w:jc w:val="both"/>
        <w:ind w:left="740" w:hanging="330"/>
        <w:spacing w:after="0" w:line="253"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of our AI Technology</w:t>
      </w:r>
      <w:r>
        <w:rPr>
          <w:rFonts w:ascii="Times New Roman" w:cs="Times New Roman" w:eastAsia="Times New Roman" w:hAnsi="Times New Roman"/>
          <w:sz w:val="17"/>
          <w:szCs w:val="17"/>
          <w:color w:val="auto"/>
        </w:rPr>
        <w:t>. We have spent over 15 years developing our AI-powered recommendation technology to drive high yield for digital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properties, high returns on advertising spend for Advertisers, and relevant recommendations to consumers, who spend more time consuming content on digital properties. Similarly Connexity, our e-Commerce solution, uses AI powered technology to drive optimized performance for Advertisers and digital properties.</w:t>
      </w:r>
    </w:p>
    <w:p>
      <w:pPr>
        <w:spacing w:after="0" w:line="171" w:lineRule="exact"/>
        <w:rPr>
          <w:rFonts w:ascii="Times New Roman" w:cs="Times New Roman" w:eastAsia="Times New Roman" w:hAnsi="Times New Roman"/>
          <w:sz w:val="17"/>
          <w:szCs w:val="17"/>
          <w:color w:val="auto"/>
        </w:rPr>
      </w:pPr>
    </w:p>
    <w:p>
      <w:pPr>
        <w:jc w:val="both"/>
        <w:ind w:left="740" w:hanging="330"/>
        <w:spacing w:after="0" w:line="253"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More than Monetization</w:t>
      </w:r>
      <w:r>
        <w:rPr>
          <w:rFonts w:ascii="Times New Roman" w:cs="Times New Roman" w:eastAsia="Times New Roman" w:hAnsi="Times New Roman"/>
          <w:sz w:val="17"/>
          <w:szCs w:val="17"/>
          <w:color w:val="auto"/>
        </w:rPr>
        <w:t>. The value we provide to digital properties goes beyond monetization. Our technology helps digital properties grow their audience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optimizing audience exchange programs; recommending content created by the digital properties to increase the time consumers spend on these properties; helping editorial teams make data-driven decisions, and more. We work daily with our extensive network of global digital properties to improve our platform and create more value for the entire Taboola network.</w:t>
      </w:r>
    </w:p>
    <w:p>
      <w:pPr>
        <w:spacing w:after="0" w:line="171" w:lineRule="exact"/>
        <w:rPr>
          <w:rFonts w:ascii="Times New Roman" w:cs="Times New Roman" w:eastAsia="Times New Roman" w:hAnsi="Times New Roman"/>
          <w:sz w:val="17"/>
          <w:szCs w:val="17"/>
          <w:color w:val="auto"/>
        </w:rPr>
      </w:pPr>
    </w:p>
    <w:p>
      <w:pPr>
        <w:jc w:val="both"/>
        <w:ind w:left="740" w:hanging="330"/>
        <w:spacing w:after="0" w:line="258"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Exclusive, Multi-Year Partnerships with Premium Digital Properties</w:t>
      </w:r>
      <w:r>
        <w:rPr>
          <w:rFonts w:ascii="Times New Roman" w:cs="Times New Roman" w:eastAsia="Times New Roman" w:hAnsi="Times New Roman"/>
          <w:sz w:val="17"/>
          <w:szCs w:val="17"/>
          <w:color w:val="auto"/>
        </w:rPr>
        <w:t>. We have established long-standing, and in many cases exclusive relationships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digital properties on the Open Web. They have chosen to work with Taboola across all types of platforms, including desktop, mobile and tablet devices. This provides Taboola and Taboola Advertisers with predictable access to audiences and supply.</w:t>
      </w:r>
    </w:p>
    <w:p>
      <w:pPr>
        <w:spacing w:after="0" w:line="165" w:lineRule="exact"/>
        <w:rPr>
          <w:rFonts w:ascii="Times New Roman" w:cs="Times New Roman" w:eastAsia="Times New Roman" w:hAnsi="Times New Roman"/>
          <w:sz w:val="17"/>
          <w:szCs w:val="17"/>
          <w:color w:val="auto"/>
        </w:rPr>
      </w:pPr>
    </w:p>
    <w:p>
      <w:pPr>
        <w:ind w:left="740" w:hanging="330"/>
        <w:spacing w:after="0" w:line="271"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Direct Relationships with Advertisers</w:t>
      </w:r>
      <w:r>
        <w:rPr>
          <w:rFonts w:ascii="Times New Roman" w:cs="Times New Roman" w:eastAsia="Times New Roman" w:hAnsi="Times New Roman"/>
          <w:sz w:val="17"/>
          <w:szCs w:val="17"/>
          <w:color w:val="auto"/>
        </w:rPr>
        <w:t>. We work directly with the majority of the Advertisers that use our platform. This allows us to build strong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relationships, help Advertisers succeed on our platform, and evolve our technology based on direct feedback.</w:t>
      </w:r>
    </w:p>
    <w:p>
      <w:pPr>
        <w:spacing w:after="0" w:line="155"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High Reach and Scale</w:t>
      </w:r>
      <w:r>
        <w:rPr>
          <w:rFonts w:ascii="Times New Roman" w:cs="Times New Roman" w:eastAsia="Times New Roman" w:hAnsi="Times New Roman"/>
          <w:sz w:val="17"/>
          <w:szCs w:val="17"/>
          <w:color w:val="auto"/>
        </w:rPr>
        <w:t>. We have nearly 600 million daily active users across the globe, enabling Advertisers to run campaigns at scale.</w:t>
      </w:r>
    </w:p>
    <w:p>
      <w:pPr>
        <w:spacing w:after="0" w:line="202" w:lineRule="exact"/>
        <w:rPr>
          <w:rFonts w:ascii="Times New Roman" w:cs="Times New Roman" w:eastAsia="Times New Roman" w:hAnsi="Times New Roman"/>
          <w:sz w:val="17"/>
          <w:szCs w:val="17"/>
          <w:color w:val="auto"/>
        </w:rPr>
      </w:pPr>
    </w:p>
    <w:p>
      <w:pPr>
        <w:jc w:val="both"/>
        <w:ind w:left="740" w:hanging="330"/>
        <w:spacing w:after="0" w:line="258"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Network Effect</w:t>
      </w:r>
      <w:r>
        <w:rPr>
          <w:rFonts w:ascii="Times New Roman" w:cs="Times New Roman" w:eastAsia="Times New Roman" w:hAnsi="Times New Roman"/>
          <w:sz w:val="17"/>
          <w:szCs w:val="17"/>
          <w:color w:val="auto"/>
        </w:rPr>
        <w:t>. As more digital properties use our platform, we gather more content consumption data. More data makes our AI-driven algorithms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in making predictions, which in turn enables us to deliver better performance for Advertisers, which drives higher yields for digital properties. These higher yields make it easier to retain digital properties and acquire new partners.</w:t>
      </w:r>
    </w:p>
    <w:p>
      <w:pPr>
        <w:spacing w:after="0" w:line="165" w:lineRule="exact"/>
        <w:rPr>
          <w:rFonts w:ascii="Times New Roman" w:cs="Times New Roman" w:eastAsia="Times New Roman" w:hAnsi="Times New Roman"/>
          <w:sz w:val="17"/>
          <w:szCs w:val="17"/>
          <w:color w:val="auto"/>
        </w:rPr>
      </w:pPr>
    </w:p>
    <w:p>
      <w:pPr>
        <w:jc w:val="both"/>
        <w:ind w:left="740" w:hanging="330"/>
        <w:spacing w:after="0" w:line="258"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Founder-led Experienced Management Team</w:t>
      </w:r>
      <w:r>
        <w:rPr>
          <w:rFonts w:ascii="Times New Roman" w:cs="Times New Roman" w:eastAsia="Times New Roman" w:hAnsi="Times New Roman"/>
          <w:sz w:val="17"/>
          <w:szCs w:val="17"/>
          <w:color w:val="auto"/>
        </w:rPr>
        <w:t>. Our founder, Adam Singolda, has successfully led Taboola as CEO since we began operations in 2007. Most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Taboola’s senior management has worked together with our founder for many years: the average tenure of our senior management is over nine years, demonstrating strong execution and achieving rapid growth.</w:t>
      </w: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ind w:left="740" w:hanging="330"/>
        <w:spacing w:after="0" w:line="271" w:lineRule="auto"/>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Strong Financial Profile</w:t>
      </w:r>
      <w:r>
        <w:rPr>
          <w:rFonts w:ascii="Times New Roman" w:cs="Times New Roman" w:eastAsia="Times New Roman" w:hAnsi="Times New Roman"/>
          <w:sz w:val="17"/>
          <w:szCs w:val="17"/>
          <w:color w:val="auto"/>
        </w:rPr>
        <w:t>. We designed our business to be highly scalable, with a focus on sustainable long-term development. Since we began operations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2007, we have demonstrated a track record over time of growth in revenue, gross profit and ex-TAC Gross Profit.</w:t>
      </w:r>
    </w:p>
    <w:p>
      <w:pPr>
        <w:spacing w:after="0" w:line="155" w:lineRule="exact"/>
        <w:rPr>
          <w:rFonts w:ascii="Times New Roman" w:cs="Times New Roman" w:eastAsia="Times New Roman" w:hAnsi="Times New Roman"/>
          <w:sz w:val="17"/>
          <w:szCs w:val="17"/>
          <w:color w:val="auto"/>
        </w:rPr>
      </w:pPr>
    </w:p>
    <w:p>
      <w:pPr>
        <w:jc w:val="both"/>
        <w:ind w:left="740" w:hanging="330"/>
        <w:spacing w:after="0" w:line="258" w:lineRule="auto"/>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 Dependent on Third Party Cookies</w:t>
      </w:r>
      <w:r>
        <w:rPr>
          <w:rFonts w:ascii="Times New Roman" w:cs="Times New Roman" w:eastAsia="Times New Roman" w:hAnsi="Times New Roman"/>
          <w:sz w:val="17"/>
          <w:szCs w:val="17"/>
          <w:color w:val="auto"/>
        </w:rPr>
        <w:t>. Our direct integration with many digital properties has helped us navigate changes in the industry. Our engineers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 to work closely with industry stakeholders to ensure we will be prepared in the likely event that third-party cookies are fully blocked and we continue to invest in innovative solutions that deliver relevant and engaging discovery experiences for our users.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Opportunities</w:t>
      </w:r>
    </w:p>
    <w:p>
      <w:pPr>
        <w:spacing w:after="0" w:line="207" w:lineRule="exact"/>
        <w:rPr>
          <w:sz w:val="20"/>
          <w:szCs w:val="20"/>
          <w:color w:val="auto"/>
        </w:rPr>
      </w:pPr>
    </w:p>
    <w:p>
      <w:pPr>
        <w:ind w:right="160" w:firstLine="332"/>
        <w:spacing w:after="0" w:line="269" w:lineRule="auto"/>
        <w:rPr>
          <w:sz w:val="20"/>
          <w:szCs w:val="20"/>
          <w:color w:val="auto"/>
        </w:rPr>
      </w:pPr>
      <w:r>
        <w:rPr>
          <w:rFonts w:ascii="Times New Roman" w:cs="Times New Roman" w:eastAsia="Times New Roman" w:hAnsi="Times New Roman"/>
          <w:sz w:val="17"/>
          <w:szCs w:val="17"/>
          <w:color w:val="auto"/>
        </w:rPr>
        <w:t>We drive revenue by growing users and user engagement, and by driving yield, which represents the revenue we can generate per user. We do this by focusing on the following key areas:</w:t>
      </w:r>
    </w:p>
    <w:p>
      <w:pPr>
        <w:spacing w:after="0" w:line="157" w:lineRule="exact"/>
        <w:rPr>
          <w:sz w:val="20"/>
          <w:szCs w:val="20"/>
          <w:color w:val="auto"/>
        </w:rPr>
      </w:pPr>
    </w:p>
    <w:p>
      <w:pPr>
        <w:ind w:left="740" w:hanging="330"/>
        <w:spacing w:after="0" w:line="303" w:lineRule="auto"/>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Continued Investment in AI</w:t>
      </w:r>
      <w:r>
        <w:rPr>
          <w:rFonts w:ascii="Times New Roman" w:cs="Times New Roman" w:eastAsia="Times New Roman" w:hAnsi="Times New Roman"/>
          <w:sz w:val="16"/>
          <w:szCs w:val="16"/>
          <w:color w:val="auto"/>
        </w:rPr>
        <w:t>. Continuously investing in our AI technology is at the heart of what we do. We believe AI is critical to engaging Open Web users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will ultimately provide better service and greater monetization to Advertisers and digital properties, increasing our yields and accelerating our growth.</w:t>
      </w:r>
    </w:p>
    <w:p>
      <w:pPr>
        <w:spacing w:after="0" w:line="132" w:lineRule="exact"/>
        <w:rPr>
          <w:rFonts w:ascii="Times New Roman" w:cs="Times New Roman" w:eastAsia="Times New Roman" w:hAnsi="Times New Roman"/>
          <w:sz w:val="16"/>
          <w:szCs w:val="16"/>
          <w:color w:val="auto"/>
        </w:rPr>
      </w:pPr>
    </w:p>
    <w:p>
      <w:pPr>
        <w:jc w:val="both"/>
        <w:ind w:left="740" w:hanging="330"/>
        <w:spacing w:after="0" w:line="253" w:lineRule="auto"/>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 our Core Digital Property and Advertiser Client Base</w:t>
      </w:r>
      <w:r>
        <w:rPr>
          <w:rFonts w:ascii="Times New Roman" w:cs="Times New Roman" w:eastAsia="Times New Roman" w:hAnsi="Times New Roman"/>
          <w:sz w:val="17"/>
          <w:szCs w:val="17"/>
          <w:color w:val="auto"/>
        </w:rPr>
        <w:t>. While we already have an extensive network of global digital properties and Advertisers,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the efficacy of our recommendation platform gives us the opportunity to expand our partnerships and client base even further, as demonstrated by our 30-year partnership with Yahoo which closed in January 2023. We expect to continue investing in our technology, expanding our global presence, and growing our sales and client service teams to support further growth.</w:t>
      </w:r>
    </w:p>
    <w:p>
      <w:pPr>
        <w:spacing w:after="0" w:line="171" w:lineRule="exact"/>
        <w:rPr>
          <w:rFonts w:ascii="Times New Roman" w:cs="Times New Roman" w:eastAsia="Times New Roman" w:hAnsi="Times New Roman"/>
          <w:sz w:val="17"/>
          <w:szCs w:val="17"/>
          <w:color w:val="auto"/>
        </w:rPr>
      </w:pPr>
    </w:p>
    <w:p>
      <w:pPr>
        <w:jc w:val="both"/>
        <w:ind w:left="740" w:hanging="330"/>
        <w:spacing w:after="0" w:line="251" w:lineRule="auto"/>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 User Touchpoints</w:t>
      </w:r>
      <w:r>
        <w:rPr>
          <w:rFonts w:ascii="Times New Roman" w:cs="Times New Roman" w:eastAsia="Times New Roman" w:hAnsi="Times New Roman"/>
          <w:sz w:val="17"/>
          <w:szCs w:val="17"/>
          <w:color w:val="auto"/>
        </w:rPr>
        <w:t>. At our core, Taboola is a recommendation engine. We believe many types of digital properties need a recommendation engine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engage their consumers, find new audiences and monetize. This includes e-Commerce websites, connected TVs, devices and more. In 2018, we launched Taboola News, an offering which seamlessly integrates premium content from our digital properties into connected devices. We believe our existing partnerships with leading device manufacturers and mobile carriers, as well as potential future partnerships with connected TV vendors and others, presents a substantial growth opportunity for both Taboola and our partners.</w:t>
      </w:r>
    </w:p>
    <w:p>
      <w:pPr>
        <w:spacing w:after="0" w:line="172" w:lineRule="exact"/>
        <w:rPr>
          <w:rFonts w:ascii="Times New Roman" w:cs="Times New Roman" w:eastAsia="Times New Roman" w:hAnsi="Times New Roman"/>
          <w:sz w:val="17"/>
          <w:szCs w:val="17"/>
          <w:color w:val="auto"/>
        </w:rPr>
      </w:pPr>
    </w:p>
    <w:p>
      <w:pPr>
        <w:jc w:val="both"/>
        <w:ind w:left="740" w:hanging="330"/>
        <w:spacing w:after="0" w:line="249" w:lineRule="auto"/>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 New Types of Recommendations</w:t>
      </w:r>
      <w:r>
        <w:rPr>
          <w:rFonts w:ascii="Times New Roman" w:cs="Times New Roman" w:eastAsia="Times New Roman" w:hAnsi="Times New Roman"/>
          <w:sz w:val="17"/>
          <w:szCs w:val="17"/>
          <w:color w:val="auto"/>
        </w:rPr>
        <w:t>. From experience, we know recommendation engines become better when they are able to recommend a greater variety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content. For example, in 2016, we predicted that video content presented a huge opportunity for Advertisers to reach their audiences in a highly impactful way, for digital properties to drive better monetization and for users to engage with suggested videos, similar to how they are used on social networks such as Instagram. To that end, we added support for video formats in our recommendation platform and saw significant returns from doing so. Similarly, we believe there is opportunity to further diversify our recommendation offerings and intend to invest in new formats and advertising partnerships to improve both consumer experience and yield. The ability to display a variety of media formats in novel combinations is key to preventing “banner blindness” that plagues traditional display formats and making our recommendation engine even better.</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jc w:val="both"/>
        <w:ind w:left="740" w:hanging="330"/>
        <w:spacing w:after="0" w:line="249" w:lineRule="auto"/>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E-Commerce</w:t>
      </w:r>
      <w:r>
        <w:rPr>
          <w:rFonts w:ascii="Times New Roman" w:cs="Times New Roman" w:eastAsia="Times New Roman" w:hAnsi="Times New Roman"/>
          <w:sz w:val="17"/>
          <w:szCs w:val="17"/>
          <w:color w:val="auto"/>
        </w:rPr>
        <w:t>. We have expanded into the e-Commerce market through our acquisition of Connexity, which strengthens our data, pairing our readership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purchasing data that can make our AI better, grow yield and make our advertising partners more successful. Our expansion into e-Commerce aligns with Taboola’s overall business strategy, which is about working directly with both Advertisers and publishers, serving high quality advertising experiences that do not depend on cookies. E-Commerce is also the way for us to diversify what we recommend - to recommend products - and to grow our yield for publishers, which helps us become even more competitive. These new capabilities will provide merchants, and publishers, large and small, more opportunities to scale outside of the walled gardens, making the open web thrive.</w:t>
      </w:r>
    </w:p>
    <w:p>
      <w:pPr>
        <w:spacing w:after="0" w:line="176" w:lineRule="exact"/>
        <w:rPr>
          <w:rFonts w:ascii="Times New Roman" w:cs="Times New Roman" w:eastAsia="Times New Roman" w:hAnsi="Times New Roman"/>
          <w:sz w:val="17"/>
          <w:szCs w:val="17"/>
          <w:color w:val="auto"/>
        </w:rPr>
      </w:pPr>
    </w:p>
    <w:p>
      <w:pPr>
        <w:jc w:val="both"/>
        <w:ind w:left="740" w:hanging="330"/>
        <w:spacing w:after="0" w:line="253" w:lineRule="auto"/>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Pursue Value-Enhancing Acquisition Opportunities</w:t>
      </w:r>
      <w:r>
        <w:rPr>
          <w:rFonts w:ascii="Times New Roman" w:cs="Times New Roman" w:eastAsia="Times New Roman" w:hAnsi="Times New Roman"/>
          <w:sz w:val="17"/>
          <w:szCs w:val="17"/>
          <w:color w:val="auto"/>
        </w:rPr>
        <w:t>. The Open Web remains highly fragmented, which may present attractive opportunities for us to grow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strategic and value-enhancing acquisitions. We will continue to evaluate potential acquisition opportunities in light of changing industry trends and competitive conditions. However, given the level of effort we anticipate in launching our partnership with Yahoo, we would expect any acquisitions that we consider to either be small and very simple to integrate or dramatically value-enhancing.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Partners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primarily have two types of business partners: digital properties that use Taboola to drive new audiences, engagement and monetization; and Advertisers, and their agencies, that use Taboola to achieve a variety of marketing objectives.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Properties</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Taboola had approximately 12,000 digital property partners in the fourth quarter of 2023, including many premium properties such as Microsoft, NBCUniversal, CBSi, The Independent and El Mundo. These partners value our ability to drive new audiences to their sites, engage their users, and monetize their digital properties, while our data insights assist them in making informed editorial decisions. Our value is evidenced by our many multi-year, exclusive partnerships. As of December 31, 2023, our average contract term length with our digital properties was over two years as measured by contract duration at inception; some of our largest partners have even longer-term agreements. Microsoft is our largest partner. Other than Microsoft, no other digital property partner accounted for 5% or more of our Revenues generated from Advertisers on digital properties in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Advertisers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had approximately 17,000 Advertisers working with us directly, or through advertising agencies, worldwide during the fourth quarter of 2023. The vast majority of our Revenues comes from Advertisers working with us directly, rather than via an agency. We support the leading programmatic channels via integrations with leading demand side platforms, or DSPs. Thanks to the effectiveness of our recommendation engine, many of our Advertiser clients are considered “always on,” which means they continuously invest on our platform, rather than running finite campaigns.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Advertiser customer base is highly diverse. Some of the verticals we have seen strong adoption in are health &amp; fitness, finance, hobbies &amp; interests, technology</w:t>
      </w:r>
    </w:p>
    <w:p>
      <w:pPr>
        <w:spacing w:after="0" w:line="32" w:lineRule="exact"/>
        <w:rPr>
          <w:sz w:val="20"/>
          <w:szCs w:val="20"/>
          <w:color w:val="auto"/>
        </w:rPr>
      </w:pPr>
    </w:p>
    <w:p>
      <w:pPr>
        <w:spacing w:after="0" w:line="248" w:lineRule="auto"/>
        <w:tabs>
          <w:tab w:leader="none" w:pos="1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computing, home &amp; garden, shopping and automotive. Our ten largest Advertisers accounted for less than 13% of total Revenues on our network in 2023, with none larger than 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To support our “win-win” approach to working with both digital properties and Advertisers, we employ a global sales team tasked with signing new partners and growing existing implementations. Our team is deployed around the world with sales hubs in Bangkok, London, Los Angeles, New York, and Sao Paulo, supported by regional satellite offices in order to best serve our geographically diverse client base.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to Digital Properties</w:t>
      </w:r>
    </w:p>
    <w:p>
      <w:pPr>
        <w:spacing w:after="0" w:line="207"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Our sales teams are responsible for adding new partnerships with digital properties. Once a digital property joins our network, our account management team works with the digital property’s stakeholders to understand their goals, help them reach those goals, and identify new opportunities for mutual growth on an ongoing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to Advertisers</w:t>
      </w:r>
    </w:p>
    <w:p>
      <w:pPr>
        <w:spacing w:after="0" w:line="207"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6"/>
          <w:szCs w:val="16"/>
          <w:color w:val="auto"/>
        </w:rPr>
        <w:t>We sell to Advertisers through our global sales team and a “self-service” website. Our sales team onboards new customers, mostly large Advertisers, through direct outreach from one of our international sales offices. Our account management teams provide ongoing guidance and data insights that inform campaign strategies and help Advertisers learn how to maximize their return on investment with Taboola. Advertisers can also choose our self-service platform to launch and manage campaigns. Outside of account managers, we support Advertisers through our online Help Center, in-product instructions, and a large number of video tutorials.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To support our global sales force, our marketing team presents at industry conferences and hosts webinars and customer events. In addition, our marketing team invests in public relations, advertises online to build brand awareness and acquire new customers, creates case studies, sponsors third-party research, authors data insight reports, creates marketing collateral, publishes blog posts and creates and sponsors events online and in-person.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operate in a highly competitive industry. Our main competition for advertising budgets and digital property partnerships are walled gardens and advertising intermediaries:</w:t>
      </w:r>
    </w:p>
    <w:p>
      <w:pPr>
        <w:spacing w:after="0" w:line="157"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Walled Gardens. </w:t>
      </w:r>
      <w:r>
        <w:rPr>
          <w:rFonts w:ascii="Times New Roman" w:cs="Times New Roman" w:eastAsia="Times New Roman" w:hAnsi="Times New Roman"/>
          <w:sz w:val="17"/>
          <w:szCs w:val="17"/>
          <w:color w:val="auto"/>
        </w:rPr>
        <w:t>We compete for advertising dollars with the closed ecosystems of technology companies such as Google, Meta/Facebook and Amazon. In many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cases we also compete with those companies, in particular Google, for real estate on digital properties. As described above, unlike the walled gardens, our business is based on a “win-win” model of partnership, where we do not compete with our partners and our goals are aligned.</w:t>
      </w:r>
    </w:p>
    <w:p>
      <w:pPr>
        <w:spacing w:after="0" w:line="166"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Advertising Intermediaries. </w:t>
      </w:r>
      <w:r>
        <w:rPr>
          <w:rFonts w:ascii="Times New Roman" w:cs="Times New Roman" w:eastAsia="Times New Roman" w:hAnsi="Times New Roman"/>
          <w:sz w:val="17"/>
          <w:szCs w:val="17"/>
          <w:color w:val="auto"/>
        </w:rPr>
        <w:t>A large number of companies provide a solution to one or more of the steps involved in the buying and selling of advertisements online.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include The Trade Desk, Magnite, PubMatic, Xandr, Outbrain, Plista, TripleLift, RevContent, Teads and others. While these companies may be in competition with us, some are also partners of ours.</w:t>
      </w:r>
    </w:p>
    <w:p>
      <w:pPr>
        <w:spacing w:after="0" w:line="168"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When competing for Advertiser business, we compete for budgets based on price, reach, speed, brand safety and performance. When competing for digital properties’ business, we are measured on our ability to generate revenue and support other business goals, such as audience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proprietary recommendation engine and associated algorithms and technologies are key to our success, and we rely upon a combination of trade secret, trademark, copyright, and patent laws in the United States and abroad as well as confidentiality agreements and technical measures to establish, maintain and protect our intellectual property and protect our proprietary recommendation engine and associated algorithms and technologies.</w:t>
      </w:r>
    </w:p>
    <w:p>
      <w:pPr>
        <w:spacing w:after="0" w:line="171"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Historically, we have not patented our proprietary technology in order to keep our technology architecture, trade secrets, and engineering roadmap private; however, as of December 31, 2023, we own approximately twenty issued patents. We also own registrations for certain domain names, trademarks and service marks in the United States and in certain locations outside the United States. Additionally, we rely upon common law protection for certain trademarks. We generally enter into confidentiality and invention assignment agreements with our employees and contractors, and confidentiality agreements with our partners and clients with whom we conduct business, in order to limit access to, and disclosure and use of, our proprietary information.</w:t>
      </w:r>
    </w:p>
    <w:p>
      <w:pPr>
        <w:spacing w:after="0" w:line="176"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proprietary, internally developed know-how is also an important element of our intellectual property portfolio. The development and management of our platform requires sophisticated coordination among many specialized employees. To protect our technology, we implement multiple layers of security and our data protection measures are ISO 27001 certified.</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Taboola’s General Privacy Practices</w:t>
      </w:r>
    </w:p>
    <w:p>
      <w:pPr>
        <w:spacing w:after="0" w:line="207" w:lineRule="exact"/>
        <w:rPr>
          <w:sz w:val="20"/>
          <w:szCs w:val="20"/>
          <w:color w:val="auto"/>
        </w:rPr>
      </w:pPr>
    </w:p>
    <w:p>
      <w:pPr>
        <w:jc w:val="both"/>
        <w:ind w:firstLine="373"/>
        <w:spacing w:after="0" w:line="269" w:lineRule="auto"/>
        <w:rPr>
          <w:sz w:val="20"/>
          <w:szCs w:val="20"/>
          <w:color w:val="auto"/>
        </w:rPr>
      </w:pPr>
      <w:r>
        <w:rPr>
          <w:rFonts w:ascii="Times New Roman" w:cs="Times New Roman" w:eastAsia="Times New Roman" w:hAnsi="Times New Roman"/>
          <w:sz w:val="17"/>
          <w:szCs w:val="17"/>
          <w:color w:val="auto"/>
        </w:rPr>
        <w:t>Taboola is committed to protecting personal data and providing users transparency and control over the use of their data in online advertising. We seek to strictly enforce our privacy and data protection policies, knowing this is important to our partners, clients, users and vendors.</w:t>
      </w:r>
    </w:p>
    <w:p>
      <w:pPr>
        <w:spacing w:after="0" w:line="159" w:lineRule="exact"/>
        <w:rPr>
          <w:sz w:val="20"/>
          <w:szCs w:val="20"/>
          <w:color w:val="auto"/>
        </w:rPr>
      </w:pPr>
    </w:p>
    <w:p>
      <w:pPr>
        <w:jc w:val="both"/>
        <w:ind w:firstLine="373"/>
        <w:spacing w:after="0" w:line="252" w:lineRule="auto"/>
        <w:rPr>
          <w:sz w:val="20"/>
          <w:szCs w:val="20"/>
          <w:color w:val="auto"/>
        </w:rPr>
      </w:pPr>
      <w:r>
        <w:rPr>
          <w:rFonts w:ascii="Times New Roman" w:cs="Times New Roman" w:eastAsia="Times New Roman" w:hAnsi="Times New Roman"/>
          <w:sz w:val="17"/>
          <w:szCs w:val="17"/>
          <w:color w:val="auto"/>
        </w:rPr>
        <w:t>Historically, we have not collected data that would enable the direct identification of Internet users. As of December 31, 2023, we used only pseudonymous data about Internet users on our platform to manage and execute digital advertising campaigns. We either collect this data directly from users’ devices or it is passed to us by third parties. We provide consumers with notice about our use of cookies and our collection and use of data in connection with the delivery of targeted advertising and allow them to opt-out from the use of data we collect for the delivery of targeted advertising.</w:t>
      </w:r>
    </w:p>
    <w:p>
      <w:pPr>
        <w:spacing w:after="0" w:line="174" w:lineRule="exact"/>
        <w:rPr>
          <w:sz w:val="20"/>
          <w:szCs w:val="20"/>
          <w:color w:val="auto"/>
        </w:rPr>
      </w:pPr>
    </w:p>
    <w:p>
      <w:pPr>
        <w:jc w:val="both"/>
        <w:ind w:firstLine="373"/>
        <w:spacing w:after="0" w:line="252" w:lineRule="auto"/>
        <w:rPr>
          <w:sz w:val="20"/>
          <w:szCs w:val="20"/>
          <w:color w:val="auto"/>
        </w:rPr>
      </w:pPr>
      <w:r>
        <w:rPr>
          <w:rFonts w:ascii="Times New Roman" w:cs="Times New Roman" w:eastAsia="Times New Roman" w:hAnsi="Times New Roman"/>
          <w:sz w:val="17"/>
          <w:szCs w:val="17"/>
          <w:color w:val="auto"/>
        </w:rPr>
        <w:t>We are members of, or participants, in industry self-regulatory organizations, including the Digital Advertising Alliance, the Digital Advertising Alliance Canada, and the European Interactive Digital Advertising Alliance. Taboola also adheres to the Interactive Advertising Bureau’s Self-Regulatory Principles for Online Behavioral Advertising, and the IAB Europe OBA Framework. In addition, Taboola is a proud member in good standing of the Network Advertising Initiative, an association dedicated to responsible data collection use in digital advertising, and we adhere to the NAI Code of Conduct for Web and Mobile.</w:t>
      </w:r>
    </w:p>
    <w:p>
      <w:pPr>
        <w:spacing w:after="0" w:line="174" w:lineRule="exact"/>
        <w:rPr>
          <w:sz w:val="20"/>
          <w:szCs w:val="20"/>
          <w:color w:val="auto"/>
        </w:rPr>
      </w:pPr>
    </w:p>
    <w:p>
      <w:pPr>
        <w:jc w:val="both"/>
        <w:ind w:firstLine="373"/>
        <w:spacing w:after="0" w:line="252" w:lineRule="auto"/>
        <w:rPr>
          <w:sz w:val="20"/>
          <w:szCs w:val="20"/>
          <w:color w:val="auto"/>
        </w:rPr>
      </w:pPr>
      <w:r>
        <w:rPr>
          <w:rFonts w:ascii="Times New Roman" w:cs="Times New Roman" w:eastAsia="Times New Roman" w:hAnsi="Times New Roman"/>
          <w:sz w:val="17"/>
          <w:szCs w:val="17"/>
          <w:color w:val="auto"/>
        </w:rPr>
        <w:t>Our privacy team delivers company-wide privacy training, enforces our privacy policies and is integral to ensuring that we consider the privacy implications in all aspects of our proprietary platform. We regularly review and document our internal privacy policies, amend existing policies as necessary, and seek to enforce these policies with our clients, publisher partners and vendors. Our privacy team is also actively involved in negotiations with our customers on data and privacy terms to ensure compliance with relevant laws.</w:t>
      </w:r>
    </w:p>
    <w:p>
      <w:pPr>
        <w:spacing w:after="0" w:line="174" w:lineRule="exact"/>
        <w:rPr>
          <w:sz w:val="20"/>
          <w:szCs w:val="20"/>
          <w:color w:val="auto"/>
        </w:rPr>
      </w:pPr>
    </w:p>
    <w:p>
      <w:pPr>
        <w:jc w:val="both"/>
        <w:ind w:firstLine="373"/>
        <w:spacing w:after="0" w:line="247" w:lineRule="auto"/>
        <w:rPr>
          <w:sz w:val="20"/>
          <w:szCs w:val="20"/>
          <w:color w:val="auto"/>
        </w:rPr>
      </w:pPr>
      <w:r>
        <w:rPr>
          <w:rFonts w:ascii="Times New Roman" w:cs="Times New Roman" w:eastAsia="Times New Roman" w:hAnsi="Times New Roman"/>
          <w:sz w:val="17"/>
          <w:szCs w:val="17"/>
          <w:color w:val="auto"/>
        </w:rPr>
        <w:t>Privacy and data protection laws and regulations play a significant role in our business. Our ability to collect, augment, analyze, use, share and otherwise process data relies upon the ability to uniquely identify devices across websites, and applications, and to collect data about user interactions with those devices for purposes such as serving relevant ads and measuring the effectiveness of ads. Federal, state and international laws and regulations regarding the collection, use and other processing of personal data by advertising networks, Advertisers and digital properties is frequently evolving. This includes those related to the level of consumer notice and consent required before a company can employ cookies or other electronic tools to collect data about interactions with users online. Taboola’s operation of its platform and services is subject to numerous U.S. and global privacy regulations, including, without limitation, the following: the European Union’s General Data Protection Regulation and ePrivacy Directive, the United Kingdom’s General Data Protection Regulation, the California Consumer Privacy Act (as amended by the California Privacy Rights Act), China’s Personal Information Protection Law, South Korea’s Personal Information Protection Act, Turkey’s Law on the Protection of Personal Data, and New Zealand’s Privacy Act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Regulation in the U.S.</w:t>
      </w:r>
    </w:p>
    <w:p>
      <w:pPr>
        <w:spacing w:after="0" w:line="20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In the United States, at both the federal and state level, there are laws that govern activities such as the collection, use and other processing of personal data by covered companies. At the federal level, online advertising activities and data processing activities are subject to regulation by the Federal Trade Commission, which has regularly relied upon Section 5 of the Federal Trade Commission Act to enforce against unfair and deceptive acts and practices, including alleged violations of consumer privacy interests. The Federal Trade Commission has also started enforcing HIPAA in relation to disclosure of online identifiers by covered entities to adtech companies. In addition, some proposed and recently enacted legislation concerning privacy and data protection has affected and will continue to affect our operations and those of our industry partners. Certain state laws may be more stringent or broader in scope, or offer greater individual rights, with respect to personal data than federal, international, or other state laws, which may differ from one other, complicating compliance efforts.</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17"/>
          <w:szCs w:val="17"/>
          <w:color w:val="auto"/>
        </w:rPr>
        <w:t>For example, the California Consumer Privacy Act (as amended by the California Privacy Rights Act), or CCPA, increases privacy rights for California consumers and imposes obligations on companies that process their personal data (including device identifiers, IP addresses, cookies and geo-location). Among other things, the CCPA requires covered companies to provide disclosures to California consumers and provide such consumers with data protection and privacy rights, including the ability to opt-out of certain sales or sharing of personal data, including for targeted advertising, and the ability to limit the processing of certain sensitive personal data. The CCPA provides for civil penalties for violations, as well as a private right of action for certain data breaches that result in the loss of personal data. Numerous other states have enacted, or are considering enacting, similar legislation. State laws continue to change rapidly, all while discussions continue in Congress about a new comprehensive U.S. federal data privacy law to which Taboola would become subject, if it is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80" w:lineRule="exact"/>
        <w:rPr>
          <w:sz w:val="20"/>
          <w:szCs w:val="20"/>
          <w:color w:val="auto"/>
        </w:rPr>
      </w:pPr>
    </w:p>
    <w:p>
      <w:pPr>
        <w:jc w:val="both"/>
        <w:ind w:firstLine="299"/>
        <w:spacing w:after="0" w:line="247" w:lineRule="auto"/>
        <w:rPr>
          <w:sz w:val="20"/>
          <w:szCs w:val="20"/>
          <w:color w:val="auto"/>
        </w:rPr>
      </w:pPr>
      <w:r>
        <w:rPr>
          <w:rFonts w:ascii="Times New Roman" w:cs="Times New Roman" w:eastAsia="Times New Roman" w:hAnsi="Times New Roman"/>
          <w:sz w:val="17"/>
          <w:szCs w:val="17"/>
          <w:color w:val="auto"/>
        </w:rPr>
        <w:t>Moreover, there has been a rise in enforcement action and regulation for data privacy in various sectors. For example, Washington state has passed the first comprehensive state health data law, the Washington My Health My Data Act, or MHMD, which, starting in March 2024, will require Taboola to obtain opt-in consent for processing health data in Washington or of Washington consumers. MHMD broadly defines health data to include data that is inferred from nonhealth data when that information is used by a covered entity, or its processor, to associate or identify a consumer with health data. This broad definition means that Taboola will be limited with what advertising services it can provide in Washington to customers in the health and wellness field. MHMD also provides a private right of action for consumers to sue entities that process their data in violation of the MHMD. Further, the FTC has issued substantial fines to HIPAA covered entities for sharing protected health information with third parties like Taboola for advertising purposes and has released guidance around what kind of online tracking activity constitutes sharing protected health information. This new guidance on the scope of HIPAA applicability reduces the data we can collect on users.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Privacy Regulation in Europe</w:t>
      </w:r>
    </w:p>
    <w:p>
      <w:pPr>
        <w:spacing w:after="0" w:line="207" w:lineRule="exact"/>
        <w:rPr>
          <w:sz w:val="20"/>
          <w:szCs w:val="20"/>
          <w:color w:val="auto"/>
        </w:rPr>
      </w:pPr>
    </w:p>
    <w:p>
      <w:pPr>
        <w:jc w:val="both"/>
        <w:ind w:firstLine="332"/>
        <w:spacing w:after="0" w:line="266" w:lineRule="auto"/>
        <w:rPr>
          <w:sz w:val="20"/>
          <w:szCs w:val="20"/>
          <w:color w:val="auto"/>
        </w:rPr>
      </w:pPr>
      <w:r>
        <w:rPr>
          <w:rFonts w:ascii="Times New Roman" w:cs="Times New Roman" w:eastAsia="Times New Roman" w:hAnsi="Times New Roman"/>
          <w:sz w:val="16"/>
          <w:szCs w:val="16"/>
          <w:color w:val="auto"/>
        </w:rPr>
        <w:t>Our business activities are also subject to foreign legislation and regulation. For example, we are required to comply with the General Data Protection Regulation, or GDPR, in the European Economic Area, or EEA, and the GDPR’s equivalent in the United Kingdom, or UK GDPR, which impose strict obligations and restrictions on the ability to collect, use, retain, protect, disclose, transfer and otherwise process personal data (including online identifiers and location data). The GDPR and UK GDPR enhance data protection obligations for “controllers” of such data and for service providers, called “processors,” processing the data. They also provide certain rights, such as access and deletion, to the individuals about whom the personal data relates and we have adapted our services to accommodate such rights. The digital advertising industry has collaborated to create a user-facing framework, which we use as of December 31, 2023, for establishing and managing legal bases under the GDPR and other EEA privacy laws including the EU Directive 2002/58/EC (as amended by Directive 2009/136/EC).</w:t>
      </w:r>
    </w:p>
    <w:p>
      <w:pPr>
        <w:spacing w:after="0" w:line="165"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While the UK GDPR currently imposes substantially the same obligations as the GDPR, the UK GDPR will not automatically incorporate changes to the GDPR going forward (which would need to be specifically incorporated by the United Kingdom, or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Failure to comply with the GDPR or UK GDPR can result in fines of up to 4% of global annual revenue or €20 million (or £17 million under the UK GDPR), whichever is greater. In addition, some EU countries are considering or have passed legislation implementing data protection requirements or requiring local storage and processing of data or similar requirements that could increase the cost and complexity of delivering our services.</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63" w:lineRule="auto"/>
        <w:rPr>
          <w:sz w:val="20"/>
          <w:szCs w:val="20"/>
          <w:color w:val="auto"/>
        </w:rPr>
      </w:pPr>
      <w:r>
        <w:rPr>
          <w:rFonts w:ascii="Times New Roman" w:cs="Times New Roman" w:eastAsia="Times New Roman" w:hAnsi="Times New Roman"/>
          <w:sz w:val="16"/>
          <w:szCs w:val="16"/>
          <w:color w:val="auto"/>
        </w:rPr>
        <w:t>Moreover, legal developments in the EEA have created complexity and uncertainty regarding transfers of personal data from the EEA to the U.S. and other so-called third countries outside the EEA. Similar complexities and uncertainties also apply to transfers from the UK to third countries. For the transfer of personal data from the EEA to the U.S. and from the UK to the U.S., we rely upon the EU’s standard contractual clauses, or SCCs, and the UK’s international data transfer agreement (or the UK’s international data transfer addendum that can be used with the EU’s SCCs). However, SCCs have been subjected to regulatory and judicial scrutiny and the legal bases for cross-border data transfers are constantly evolving. On July 10, 2023, the European Commission adopted an adequacy decision concluding that the U.S. ensures an adequate level of protection for personal data transferred from the EU to the U.S. under the EU-U.S. Data Privacy Framework (followed on October 12, 2023 with the adoption of an adequacy decision in the UK for the U.S.-UK Data Bridge). While Taboola is working to participate in the EU-U.S. Data Privacy Framework and the U.S.-UK Data Bridge, such adequacy decision by the European Commission has been challenged in EU courts, and is likely to face additional challenges. Moreover, although the European Commission has issued an adequacy decision in respect of the UK’s data protection framework, enabling data transfers from the EEA to the UK to continue without requiring organizations to put in place contractual or other measures in order to lawfully transfer personal data between the territories, this adequacy determination will automatically expire in June 2025 unless extended. Further, the European Commission may unilaterally revoke the adequacy decision at any point.</w:t>
      </w:r>
    </w:p>
    <w:p>
      <w:pPr>
        <w:spacing w:after="0" w:line="171"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Further, EU Directive 2009/136/EC, commonly referred to as the “Cookie Directive,” directs European Union, or EU, member states to ensure that accessing information on an Internet user’s device, such as through a cookie, is allowed only if the Internet user has given his or her consent. As there were different transpositions of the Cookie Directive in domestic laws across the EU Member States, there are currently different interpretations of what constitutes valid consent (e.g., explicit versus implied consent) across the EU, posing a risk of regulatory divergence and creating legal uncertainty for businesses. The EU also has released a proposed replacement to the Cookie Directive, commonly known as the “ePrivacy Regulation,”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alongside the GDPR, it is currently going through the European legislative process, and commentators now expect it to be adopted in the coming years. Like the GDPR, the proposed ePrivacy Regulation has extra-territorial application as it applies to businesses established outside the EU which provide publicly-available electronic communications services to, or gather data from the devices of, users in the EU. The ePrivacy Regulation may impose burdensome requirements around obtaining consent and impose fines for violations that are materially higher than those imposed under the EU’s current ePrivacy Directive and related EU member state legislation.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Regulation in the Asia-Pacific Region</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Our business activities are also subject to legislation and regulation in the Asia-Pacific region. Following the implementation of the GDPR, many jurisdictions have moved to amend, release, review and strengthen their existing data privacy and cybersecurity laws, and there has been a progressive effort in the region to work towards coordination of their otherwise disparate laws. For example, many countries have also sought out adequacy decisions from the EU. New Zealand’s updated Privacy Act and South Korea’s amendments to its Personal Information Protection Act, which went into effect in 2020, and China’s Personal Information Protection Law (PIPL), which went into effect in 2021, largely align with requirements of the GDPR. Thailand and Japan’s new similar updates and regulations also became effective in 2021 and 2022, respectively.</w:t>
      </w:r>
    </w:p>
    <w:p>
      <w:pPr>
        <w:spacing w:after="0" w:line="17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While China’s PIPL establishes a regime that is largely similar to the GDPR, it also imposes some stricter requirements. For instance, the PIPL has heightened disclosure requirements and specific consents for processing sensitive personal data and transferring personal data outside of China. The PIPL also mandates security impact assessments under a number of processing scenarios and imposes a data localization requirement on both operators of critical information infrastructure and covered companies that process large volumes of personal data. The PIPL also creates penalties for organizations that fail to fulfill their obligations to protect personal data, with potential fines up to 5% of annual revenue.</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August 2023, India passed the Digital Personal Data Protection Act, or DPDP Act, a comprehensive privacy law with extra-territorial effect that mirrors other privacy laws like the GDPR and puts requirements on data fiduciaries for when and how they can process data and gives data subjects rights to their data. Penalties for violating the DPDP Act can be up to INR 250 crores (approximately $30 million). Taboola will be subject to the DPDP Act upon its effective date, which has not yet been set.</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Other jurisdictions, such as Singapore, Malaysia and Hong Kong, are reviewing their existing privacy regimes, with an eye toward similar privacy and data protection developments.</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To address this range of developments, Taboola’s privacy and data protection program is largely rooted in the GDPR and ISO 27001 security standards, and any international data transfers from the Asia-Pacific region are governed by direct contractual agreements between the regional entities and Taboola’s Israeli parent corporate entity, Taboola.com Ltd. Otherwise, our privacy team works to oversee compliance with these Asia-Pacific regional requirements and to address compliance with our region-specific clients and business teams.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strive to create a diverse, inclusive and ambitious environment where every employee can discover and unleash their potential to achieve individual and collective success. Our employees are our most valuable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On December 31, 2023, we had approximately 1,900 employees, the majority of which have been employed by Taboola for over two years (including service periods of persons employed by Connexity prior to Taboola’s acquisition of Connexity). We have approximately 500 employees working in research and development, with an average tenure of four years.</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As of December 31, 2023, our employees are not covered by a collective bargaining agreement, except as required by law under arrangements in France, Spain, and Brazil, covering a total of approximately 80 employees. We have never experienced a general strike or similar work stoppage.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Transparency</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 ability to be transparent and share and discuss our business challenges and opportunities openly and broadly with all our employees is important to our success. We promote an open dialogue with our employees through all-hands meetings, usually twice a month, which include Q&amp;A sessions with senior leadership. We conduct annual and topic-specific employee feedback surveys which consistently receive 80% or higher response rate. Survey results are shared publicly with our managers and employees. We continue to adjust our investment in human capital based on the feedback from our employees.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Talent Acquisition and Development</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are focused on recruiting and retaining talented employees across the organization, with a particular focus on unique talent in algorithms, product, customer relationship management and many other areas that are critical to our success. We continue to invest to hire and retain top talent in all of our offices, and provide competitive compensation for our employees and a range of flexible benefits, including an industry-leading parental leave policy. We have been consistently recognized by Dun &amp; Bradstreet as a top high-tech company to work for in Israel in 2023, by UK Campaigns as a 100 Best Places to Work and by Built In as one of the 100 best large companies to work for in all four of our major U.S. officers in 2023: New York, Los Angeles, Chicago and Atlanta. Our strong external reputation led to a quarterly average of over 20,000 candidates applying to work at Taboola in 2023. For new hires, we developed an onboarding program tailored towards their roles and responsibilities. On an ongoing basis, we invest in training and development programs that help our employees achieve their career goals, build management skills and lead their organizations. We have two formal career feedback discussions per year where managers and their employees discuss progress and feedback for each other. We believe in developing and promoting top talent from within: in 2023, approximately 15% of our employees were offered an opportunity for career advancement within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and Alignment</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seek to implement a “pay for performance” culture that we believe drives superior results. We invest in our workforce by offering competitive salaries, incentives, and benefits. We align the interests of our employees with those of Taboola through a broad-based equity award program, generally with a four-year vesting schedule. Typically, employee bonus plans are based on both personal and company goals.</w:t>
      </w:r>
    </w:p>
    <w:p>
      <w:pPr>
        <w:spacing w:after="0" w:line="341"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Wellness and Diversity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2020, we launched a global taskforce that is focused on promoting wellness and diversity within our organization. The task force works with our senior management team to address global wellness and diversity topics and develop relevant initiatives to ensure we continue to build a culture where every employee feels valued, seen, and heard. We continue to have a mechanism for employees to anonymously voice concerns.</w:t>
      </w:r>
    </w:p>
    <w:p>
      <w:pPr>
        <w:spacing w:after="0" w:line="171"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Throughout 2023, we continued to see the results of our initiatives. With respect to finding top diverse talent, we began by assessing our current workforce demographics by region and business unit, and established goals and guidelines in efforts of diversifying our recruitment funnel at the first assessment stage. We committed to wellness and diversity in recruiting by starting a Diverse Interview Slate Campaign to promote diversity in the interview process and reduce biases, which led to hiring more women managers in technical roles. We further invested in strategic partnerships with employment platforms that provide us multi-pronged access to highly skilled underrepresented talent, who may not currently be on our platform, such as Built-In, Ivy Research Council, and Jopwell. As a result, in 2023, we saw that 45% of our new hires were women and 16% of those women were hired into technical positions.</w:t>
      </w:r>
    </w:p>
    <w:p>
      <w:pPr>
        <w:spacing w:after="0" w:line="17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Within the organization, in 2023 we increased the number of Employee Resource Groups from seven to nine, and each has an annual budget to sponsor programming and events. We also have a mentorship program connecting Black, Indigenous and People of Color (BIPOC) talent to senior leaders. We continue to have a number of global and region-specific initiatives held to promote a culture of inclusion and belonging - such as, workshops, panels, networking events and communities for various interest groups. We also partner with Gold Enterprises to create robust programming for our multi-year wellness and diversity training plan.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committed to building a long-term plan that will help foster a community that is diverse and inclusive, both internally and externally.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mailing address of Taboola’s principal executive office is 16 Madison Square West, 7th fl., New York, NY, 10010 and its telephone number is (212) 206-7663. Our agent for service of process in the United States is Taboola, Inc., 16 Madison Square West, 7th fl., New York, NY, 10010.</w:t>
      </w:r>
    </w:p>
    <w:p>
      <w:pPr>
        <w:spacing w:after="0" w:line="159" w:lineRule="exact"/>
        <w:rPr>
          <w:sz w:val="20"/>
          <w:szCs w:val="20"/>
          <w:color w:val="auto"/>
        </w:rPr>
      </w:pPr>
    </w:p>
    <w:p>
      <w:pPr>
        <w:jc w:val="both"/>
        <w:ind w:firstLine="398"/>
        <w:spacing w:after="0" w:line="266" w:lineRule="auto"/>
        <w:rPr>
          <w:sz w:val="20"/>
          <w:szCs w:val="20"/>
          <w:color w:val="auto"/>
        </w:rPr>
      </w:pPr>
      <w:r>
        <w:rPr>
          <w:rFonts w:ascii="Times New Roman" w:cs="Times New Roman" w:eastAsia="Times New Roman" w:hAnsi="Times New Roman"/>
          <w:sz w:val="16"/>
          <w:szCs w:val="16"/>
          <w:color w:val="auto"/>
        </w:rPr>
        <w:t>We recognize that in today’s environment, our current and potential investors, the media and others interested in us look to social media and other online sources for information about us. We believe that these sources represent important communications channels for disseminating information about us, including information that could be deemed to constitute material non-public information. As a result, in addition to our investor relations website (</w:t>
      </w:r>
      <w:r>
        <w:rPr>
          <w:rFonts w:ascii="Times New Roman" w:cs="Times New Roman" w:eastAsia="Times New Roman" w:hAnsi="Times New Roman"/>
          <w:sz w:val="16"/>
          <w:szCs w:val="16"/>
          <w:u w:val="single" w:color="auto"/>
          <w:color w:val="auto"/>
        </w:rPr>
        <w:t>https://investors.taboola.com</w:t>
      </w:r>
      <w:r>
        <w:rPr>
          <w:rFonts w:ascii="Times New Roman" w:cs="Times New Roman" w:eastAsia="Times New Roman" w:hAnsi="Times New Roman"/>
          <w:sz w:val="16"/>
          <w:szCs w:val="16"/>
          <w:color w:val="auto"/>
        </w:rPr>
        <w:t>), filings made with the SEC, press releases we issue from time to time, and public webcasts and conference calls, we have used and intend to continue to use various social media and other online sources to disseminate information about us and, without limitation, our general business developments; financial performance; product and service offerings; research, development and other technical updates; relationships with customers, platform providers and other partners; and market and industry developments. We intend to use the following social media and other websites for the dissemination of information: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blog: https://blog.taboola.com/</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X feed: https://twitter.com/taboola</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CEO, Adam Singolda’s X feed: https://twitter.com/AdamSingolda</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Facebook page: https://www.facebook.com/Taboola/</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corporate LinkedIn page: https://www.linkedin.com/company/taboola/</w:t>
      </w:r>
    </w:p>
    <w:p>
      <w:pPr>
        <w:spacing w:after="0" w:line="203" w:lineRule="exact"/>
        <w:rPr>
          <w:sz w:val="20"/>
          <w:szCs w:val="20"/>
          <w:color w:val="auto"/>
        </w:rPr>
      </w:pPr>
    </w:p>
    <w:p>
      <w:pPr>
        <w:jc w:val="both"/>
        <w:ind w:firstLine="299"/>
        <w:spacing w:after="0" w:line="252" w:lineRule="auto"/>
        <w:rPr>
          <w:sz w:val="20"/>
          <w:szCs w:val="20"/>
          <w:color w:val="auto"/>
        </w:rPr>
      </w:pPr>
      <w:r>
        <w:rPr>
          <w:rFonts w:ascii="Times New Roman" w:cs="Times New Roman" w:eastAsia="Times New Roman" w:hAnsi="Times New Roman"/>
          <w:sz w:val="17"/>
          <w:szCs w:val="17"/>
          <w:color w:val="auto"/>
        </w:rPr>
        <w:t>We invite our current and potential investors, the media and others interested in us to visit these sources for information related to us. Please note that this list of social media and other websites may be updated from time to time on our investor relations website and/or filings we make with the SEC. We have included our web address and social media and other web addresses in this Annual Report solely for informational purposes and the information on our website and those social media channels is not incorporated by reference into this Annual Report.</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SEC maintains an Internet site that contains reports, proxy and information statements, and other information regarding issuers, such as we, that file electronically, with the SEC at www.sec.gov.</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03" w:lineRule="exact"/>
        <w:rPr>
          <w:sz w:val="20"/>
          <w:szCs w:val="20"/>
          <w:color w:val="auto"/>
        </w:rPr>
      </w:pPr>
    </w:p>
    <w:p>
      <w:pPr>
        <w:jc w:val="both"/>
        <w:ind w:firstLine="332"/>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Adam Singolda (42) </w:t>
      </w:r>
      <w:r>
        <w:rPr>
          <w:rFonts w:ascii="Times New Roman" w:cs="Times New Roman" w:eastAsia="Times New Roman" w:hAnsi="Times New Roman"/>
          <w:sz w:val="17"/>
          <w:szCs w:val="17"/>
          <w:color w:val="auto"/>
        </w:rPr>
        <w:t>has been the Chief Executive Officer, as well as a director, of Taboola since it began operations in 2007. He also serves as a member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of K Health, the healthcare startup he co-founded in 2016. Prior to that Mr. Singolda studied Computer Science at The Open University of Israel and spent 6½ years serving in an advanced cyber technology unit of the Israel Defense Forces, or IDF, serving as a research and development engineer and manager. He graduated from the IDF officers’ academy with honors. Mr. Singolda’s experience as the founder and Chief Executive Officer of Taboola makes him exceptionally well qualified to serve on our board of directors.</w:t>
      </w:r>
    </w:p>
    <w:p>
      <w:pPr>
        <w:spacing w:after="0" w:line="172"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Eldad Maniv (55) </w:t>
      </w:r>
      <w:r>
        <w:rPr>
          <w:rFonts w:ascii="Times New Roman" w:cs="Times New Roman" w:eastAsia="Times New Roman" w:hAnsi="Times New Roman"/>
          <w:sz w:val="16"/>
          <w:szCs w:val="16"/>
          <w:color w:val="auto"/>
        </w:rPr>
        <w:t>has been the President and Chief Operating Officer of Taboola since 2012. Mr. Maniv leads Taboola’s worldwide operations including Taboola’s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professional services, and human resources organizations. Mr. Maniv has spent approximately two decades building technology companies in the United States and Israel, having previously served in executive positions at BMC Software, Zend Technologies, and Identify Software. Earlier in his career, he founded NextNine which was acquired by Honeywell. Mr. Maniv currently serves as a director on the board of directors of Verbit.ai. Mr. Maniv holds a B.S. degree from the Talpiot program at the Hebrew University in Jerusalem, and served five years as a systems engineering officer in an intelligence unit of the Israel Defense Forces.</w:t>
      </w:r>
    </w:p>
    <w:p>
      <w:pPr>
        <w:spacing w:after="0" w:line="156" w:lineRule="exact"/>
        <w:rPr>
          <w:sz w:val="20"/>
          <w:szCs w:val="20"/>
          <w:color w:val="auto"/>
        </w:rPr>
      </w:pPr>
    </w:p>
    <w:p>
      <w:pPr>
        <w:jc w:val="both"/>
        <w:ind w:firstLine="332"/>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Lior Golan (53) </w:t>
      </w:r>
      <w:r>
        <w:rPr>
          <w:rFonts w:ascii="Times New Roman" w:cs="Times New Roman" w:eastAsia="Times New Roman" w:hAnsi="Times New Roman"/>
          <w:sz w:val="17"/>
          <w:szCs w:val="17"/>
          <w:color w:val="auto"/>
        </w:rPr>
        <w:t>has been Chief Technology Officer of Taboola since 2009 and is responsible for Taboola’s product and technical strategy worldwide.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joining Taboola, Mr. Golan was co-founder, Chief Technology Officer, and Vice President of Research &amp; Development of Cyota, a leader in consumer Internet security. After Cyota was acquired by RSA Security in 2005, Mr. Golan spent two years as Chief Technology Officer and Vice President of Strategy of the RSA Security Consumer Division and was responsible for leading the product and business direction of its consumer business. Mr. Golan holds a B.S. degree from the Talpiot program at the Hebrew University in Jerusalem and served eight years in an intelligence unit of the Israel Defense Forces.</w:t>
      </w:r>
    </w:p>
    <w:p>
      <w:pPr>
        <w:spacing w:after="0" w:line="172" w:lineRule="exact"/>
        <w:rPr>
          <w:sz w:val="20"/>
          <w:szCs w:val="20"/>
          <w:color w:val="auto"/>
        </w:rPr>
      </w:pPr>
    </w:p>
    <w:p>
      <w:pPr>
        <w:jc w:val="both"/>
        <w:ind w:firstLine="332"/>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Stephen Walker (54) </w:t>
      </w:r>
      <w:r>
        <w:rPr>
          <w:rFonts w:ascii="Times New Roman" w:cs="Times New Roman" w:eastAsia="Times New Roman" w:hAnsi="Times New Roman"/>
          <w:sz w:val="16"/>
          <w:szCs w:val="16"/>
          <w:color w:val="auto"/>
        </w:rPr>
        <w:t>has been Chief Financial Officer of Taboola since June 2020. Prior to that, he served as Taboola’s Senior Vice President of Worldwide Sales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from 2015 to 2020 and as the General Manager of Taboola-X product between 2014 and 2015. From 2007 until 2014, he served as President and Chief Operating Officer of Perfect Market, until it was acquired by Taboola. Earlier, Mr. Walker held positions in Idealab’s New Ventures Group and led several of Idealab’s portfolio companies. Mr. Walker has a B.S. degree in Computer Science and Finance from Boston College and an M.B.A degree from Harvard Business School.</w:t>
      </w:r>
    </w:p>
    <w:p>
      <w:pPr>
        <w:spacing w:after="0" w:line="152"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Kristy Sundjaja (46) </w:t>
      </w:r>
      <w:r>
        <w:rPr>
          <w:rFonts w:ascii="Times New Roman" w:cs="Times New Roman" w:eastAsia="Times New Roman" w:hAnsi="Times New Roman"/>
          <w:sz w:val="17"/>
          <w:szCs w:val="17"/>
          <w:color w:val="auto"/>
        </w:rPr>
        <w:t>has been Chief People Officer since February 2022. Prior to that she served as Senior Vice President of People Operations for Taboola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2019 to 2022. Prior to joining Taboola in 2019, she co-founded Exceptional Artists Foundation in 2017, a non-profit organization empowering the disabled community, and remains as its President. From 2012 to 2017, Ms. Sundjaja was the Chief of Staff and the Global Head of People at LivePerson. Between 2009 and 2012, Ms. Sundjaja was the Head of Industry Transformation Teams at New York City Economic Development Corporation. Prior to that, Ms. Sundjaja was an Associate Partner at Oliver Wyman where she worked between 1999 and 2009. Ms. Sundjaja graduated from the University of Pennsylvania with a B.S. degree in Economics from the Wharton School and a B.S. degree and an M.S. degree in Engineering. She also holds an M.B.A degree from Columbia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new digital properties and Advertisers, sell additional offerings to our existing digital properties and Advertisers, or maintain enough business with our existing digital properties and Advertisers, our revenue growth prospects will be adversely affected.</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must add new digital properties and Advertisers, and encourage existing digital properties and Advertisers to add additional offerings from us, in order to sustain or increase our revenue. As the digital advertising industry matures and as competitors introduce more competitive pricing or differentiated products or services that compete with or are perceived to compete with ours, our ability to sell our solutions to new and existing digital properties and Advertisers could be impaired. In addition, we may reach a point of saturation at which we cannot continue to grow our revenue from existing digital properties and Advertisers because of internal limits they may place on the allocation of space on their sites, allocation of their advertising budgets to digital media, to particular campaigns, to a particular provider, or other reasons. We may also lose revenues if our existing digital properties and Advertisers reduce the amount of business they do with us for any reason, including nonrenewal of their agreements with us or renewal on less favorable terms. If we are unable to attract new digital properties and Advertisers or obtain new business from existing digital properties and Advertisers or maintain enough business with our existing digital properties and Advertisers, our revenue, our revenue growth prospects and business will be adversely affected.</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If our performance under contracts with digital properties, where we are obligated to pay a specified minimum guaranteed amount per thousand impressions, do not meet the minimum guarantee requirements, our gross profit could be negatively impacted and our results of operations and financial condition could be harmed.</w:t>
      </w:r>
    </w:p>
    <w:p>
      <w:pPr>
        <w:spacing w:after="0" w:line="132"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A significant amount of our revenue comes from contracts with digital properties where we are obligated to pay a specified minimum guaranteed amount per thousand impressions to the digital property. In each of the years ended December 31, 2022 through 2023, our guarantee costs, which we calculate as total payments due under guarantee arrangements in excess of amounts we otherwise would have been required to pay under revenue sharing arrangements, as a percentage of our total payments to digital properties, or TAC, was approximately 19% or less. Although we focus on achieving sufficient revenue per impression through the improvement of our algorithms and using our scale to exceed the minimum guarantees made to digital properties, we may not succeed in doing so. In addition, due to unfavorable macroeconomic, competitive or other conditions, we may be unable to perform as expected under arrangements that provide for such minimum guarantees, in which case our gross profit could be negatively impacted and our results of operation and financial condition could be adversely affected.</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compete successfully against current and future competitors because competition in our industry is intense and many competitors, such as Google and Facebook, have substantially more resources than we do. Our competitors may also offer solutions that are perceived by our digital properties and Advertisers to be more attractive than our platform. These factors could result in declining revenue or inhibit our ability to grow our business.</w:t>
      </w:r>
    </w:p>
    <w:p>
      <w:pPr>
        <w:spacing w:after="0" w:line="168"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Competition for our clients’ advertising budgets is intense. We compete for a share of total advertising budgets with online search and display advertising, including large “walled garden” advertising platforms such as Google and Facebook, and with traditional advertising media, such as direct mail, television, radio, cable and print. Many current and potential competitors have competitive advantages relative to us, such as longer operating histories, greater name recognition, larger client bases, greater access to advertising inventory on premium websites and significantly greater financial, technical, sales and marketing resources. Thus, increased competition may result in the loss of business or the inability to win new business, which could negatively affect our revenue and future operating results and our ability to grow our business.</w:t>
      </w:r>
    </w:p>
    <w:p>
      <w:pPr>
        <w:spacing w:after="0" w:line="17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also expect competition on the digital property side to continue increasing as the industry grows. Increased competition may require us to increase the revenue share with our digital properties, charge less for our solutions, or offer other pricing models that are less attractive to us, any of which could decrease our revenues and margins and harm our results of operations.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the Yahoo partnership and our ability to transition and fully launch the native advertising service with Yahoo is not successful or implemented on the currently projected timeframe the partnership may not be as financially accretive as we are projecting and our business, operating results, financial condition and reputation could be adversely affected.</w:t>
      </w:r>
    </w:p>
    <w:p>
      <w:pPr>
        <w:spacing w:after="0" w:line="168" w:lineRule="exact"/>
        <w:rPr>
          <w:sz w:val="20"/>
          <w:szCs w:val="20"/>
          <w:color w:val="auto"/>
        </w:rPr>
      </w:pPr>
    </w:p>
    <w:p>
      <w:pPr>
        <w:jc w:val="both"/>
        <w:ind w:firstLine="373"/>
        <w:spacing w:after="0" w:line="247" w:lineRule="auto"/>
        <w:rPr>
          <w:sz w:val="20"/>
          <w:szCs w:val="20"/>
          <w:color w:val="auto"/>
        </w:rPr>
      </w:pPr>
      <w:r>
        <w:rPr>
          <w:rFonts w:ascii="Times New Roman" w:cs="Times New Roman" w:eastAsia="Times New Roman" w:hAnsi="Times New Roman"/>
          <w:sz w:val="17"/>
          <w:szCs w:val="17"/>
          <w:color w:val="auto"/>
        </w:rPr>
        <w:t>Our ability to transition and fully launch the native advertising service with Yahoo is dependent on several factors, including the need to achieve key technological milestones and to efficiently manage the integration of our solution with Yahoo. Adapting our technology and successfully integrating our solution with Yahoo is complex, difficult, time-consuming, and costly and may place significant strain on our personnel, systems and resources. If we are unable to integrate our solution with Yahoo in a timely manner, or if Yahoo Advertisers terminate their existing contracts and decline to move to the new Taboola service or if there is otherwise inadequate market acceptance of the new service (or a combination of the foregoing) it could result in the failure to meet our projected financial targets. We may also experience attrition from Yahoo employees resulting in the loss of critical institutional knowledge needed to successfully integrate the partnership. The financial accretion we expect to generate from the Yahoo partnership may not be realized until we successfully integrate our platform with Yahoo which may be later than we currently project, or at all, and requires significant upfront expenditures which may exceed our current estimates. These factors, including the size and complexity of the integration, if not implemented and managed successfully, may result in a deterioration of our client relationships, increased costs of integration, harm to our reputation, any of which could materially adversely affect our business, operating results and financial condition.</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future growth and success depends on our ability to continue to scale our existing offerings and to introduce new solutions that gain acceptance from digital properties and Advertisers and that differentiate us from our competitors.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future success depends on our ability to effectively scale our offerings as our business grows to keep pace with demand for our solutions, and achieve long-term profitability. If we fail to implement these changes on a timely basis, or if we are unable to implement them effectively or at all due to factors beyond our control or other reasons, our business may suffer. We may not be successful in addressing these and other challenges we may face in the future. As a growing company in a rapidly evolving industry, our business prospects depend in large part on our ability to:</w:t>
      </w:r>
    </w:p>
    <w:p>
      <w:pPr>
        <w:spacing w:after="0" w:line="174" w:lineRule="exact"/>
        <w:rPr>
          <w:sz w:val="20"/>
          <w:szCs w:val="20"/>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offer a competitive technology platform and offerings that meet our digital properties’ and Advertisers’ needs as they change;</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innovate and improve on the algorithms underlying our technology in order to deliver positive results for our Advertisers and digital properties;</w:t>
      </w:r>
    </w:p>
    <w:p>
      <w:pPr>
        <w:spacing w:after="0" w:line="214" w:lineRule="exact"/>
        <w:rPr>
          <w:rFonts w:ascii="Times New Roman" w:cs="Times New Roman" w:eastAsia="Times New Roman" w:hAnsi="Times New Roman"/>
          <w:sz w:val="16"/>
          <w:szCs w:val="16"/>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a reputation for superior solutions and create trust and long-term relationships with digital properties and Advertisers;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distinguish ourselves from strong competitors in our industry;</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relationships with Advertisers who can provide quality content and advertisements;</w:t>
      </w:r>
    </w:p>
    <w:p>
      <w:pPr>
        <w:spacing w:after="0" w:line="202" w:lineRule="exact"/>
        <w:rPr>
          <w:rFonts w:ascii="Times New Roman" w:cs="Times New Roman" w:eastAsia="Times New Roman" w:hAnsi="Times New Roman"/>
          <w:sz w:val="17"/>
          <w:szCs w:val="17"/>
          <w:color w:val="auto"/>
        </w:rPr>
      </w:pPr>
    </w:p>
    <w:p>
      <w:pPr>
        <w:ind w:left="740" w:hanging="330"/>
        <w:spacing w:after="0" w:line="269" w:lineRule="auto"/>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evolving industry and government oversight, standards and regulations that impact our business, particularly in the areas of native advertising, data collection, privacy and data protection;</w:t>
      </w:r>
    </w:p>
    <w:p>
      <w:pPr>
        <w:spacing w:after="0" w:line="159"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or otherwise mitigate failures or breaches of security or privacy; and</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hire, integrate and retain qualified and motivated employees.</w:t>
      </w:r>
    </w:p>
    <w:p>
      <w:pPr>
        <w:spacing w:after="0" w:line="203" w:lineRule="exact"/>
        <w:rPr>
          <w:sz w:val="20"/>
          <w:szCs w:val="20"/>
          <w:color w:val="auto"/>
        </w:rPr>
      </w:pPr>
    </w:p>
    <w:p>
      <w:pPr>
        <w:ind w:firstLine="332"/>
        <w:spacing w:after="0" w:line="269" w:lineRule="auto"/>
        <w:rPr>
          <w:sz w:val="20"/>
          <w:szCs w:val="20"/>
          <w:color w:val="auto"/>
        </w:rPr>
      </w:pPr>
      <w:r>
        <w:rPr>
          <w:rFonts w:ascii="Times New Roman" w:cs="Times New Roman" w:eastAsia="Times New Roman" w:hAnsi="Times New Roman"/>
          <w:sz w:val="17"/>
          <w:szCs w:val="17"/>
          <w:color w:val="auto"/>
        </w:rPr>
        <w:t>If we are unable to meet one or more of these objectives or otherwise adequately address the risks and difficulties that we face, our business may suffer, our revenue may decline and we may not be able to achieve further growth or long-term profitability.</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do not manage our growth effectively, the quality of our platform or our relationships with our digital properties and Advertisers may suffer, and our operating results may be negatively affected.</w:t>
      </w:r>
    </w:p>
    <w:p>
      <w:pPr>
        <w:spacing w:after="0" w:line="155"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Our business has historically grown rapidly. We rely heavily on information technology, or IT, systems to manage critical functions such as content recommendation, campaign management and operations, payment from Advertisers and to digital properties, data storage and retrieval, revenue recognition, budgeting, forecasting, financial reporting and other administrative functions. To manage our growth effectively, we must continue to improve and expand our infrastructure, including our IT, financial and administrative systems and controls. We must also continue to manage our employees, operations, finances, research and development and capital investments efficiently. Our productivity and the quality of our platform may be adversely affected if we do not integrate and train our new employees, particularly our research and development, sales and account management personnel, quickly and effectively and if we fail to appropriately coordinate across our executive, finance, human resources, legal, marketing, sales, operations and Advertiser support teams. If we continue to experience rapid growth, we will incur additional expenses, and our growth may place a strain on our resources, infrastructure and ability to maintain the quality of our platform. If we do not adapt to meet these evolving growth challenges, and if the current and future members of our management team do not effectively scale with our growth, the quality of our platform may suffer and our corporate culture may be harmed. Failure to manage our future growth effectively could cause our business to suffer, which, in turn, could have an adverse impact on our financial condition and results of operations.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fail to make the right investment decisions in our offerings and technology platform, or if we are unable to generate or otherwise obtain sufficient funds to invest in them, we may not attract and retain digital properties and Advertisers and our revenue and results of operations may decline.</w:t>
      </w:r>
    </w:p>
    <w:p>
      <w:pPr>
        <w:spacing w:after="0" w:line="155"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Our industry is subject to rapid changes in standards, regulations, technologies, products and service offerings, as well as in digital property and Advertiser demands and expectations. We continuously need to make decisions regarding which offerings and technology to invest in to meet such demands and evolving industry standards and regulatory requirements. We may make wrong decisions regarding these investments. If new or existing competitors offer more attractive offerings, we may lose digital property and/or Advertisers, or Advertisers may decrease their spending on our platform. New digital property or Advertiser demands, superior competitive offerings, new industry standards or regulations could render our existing solutions unattractive, unmarketable or obsolete and require us to make substantial unanticipated changes to our technology platform or business model. Our failure to adapt to a rapidly changing market or to anticipate digital property and/or Advertiser demands could harm our business and our financial performance.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have had, and may in the future continue to have, significant fluctuations in our operating results, which make our future results difficult to predict and could cause our operating results to fall below investors’ expectations.</w:t>
      </w:r>
    </w:p>
    <w:p>
      <w:pPr>
        <w:spacing w:after="0" w:line="155" w:lineRule="exact"/>
        <w:rPr>
          <w:sz w:val="20"/>
          <w:szCs w:val="20"/>
          <w:color w:val="auto"/>
        </w:rPr>
      </w:pPr>
    </w:p>
    <w:p>
      <w:pPr>
        <w:jc w:val="both"/>
        <w:ind w:firstLine="332"/>
        <w:spacing w:after="0" w:line="268" w:lineRule="auto"/>
        <w:rPr>
          <w:sz w:val="20"/>
          <w:szCs w:val="20"/>
          <w:color w:val="auto"/>
        </w:rPr>
      </w:pPr>
      <w:r>
        <w:rPr>
          <w:rFonts w:ascii="Times New Roman" w:cs="Times New Roman" w:eastAsia="Times New Roman" w:hAnsi="Times New Roman"/>
          <w:sz w:val="16"/>
          <w:szCs w:val="16"/>
          <w:color w:val="auto"/>
        </w:rPr>
        <w:t>Our quarterly and annual operating results have fluctuated significantly in the past. Similarly, we expect our future operating results to fluctuate for the foreseeable future due to a variety of factors, many of which are beyond our control. Our fluctuating results could cause our performance to fall below the expectations of investors, and adversely affect the price of our Ordinary shares. Because our business is changing and evolving rapidly, our historical operating results may not be useful in predicting our future operating results and it is difficult for us to accurately predict future results. In addition, our rapid growth has limited our ability to reliably track key business metrics and so we have limited understanding of certain aspects of our operations. For example, we do not have good visibility into the seasonality of our business due to the fact that our rapid growth may have masked seasonality. Factors that may increase the volatility of our operating results include the following:</w:t>
      </w:r>
    </w:p>
    <w:p>
      <w:pPr>
        <w:spacing w:after="0" w:line="161" w:lineRule="exact"/>
        <w:rPr>
          <w:sz w:val="20"/>
          <w:szCs w:val="20"/>
          <w:color w:val="auto"/>
        </w:rPr>
      </w:pPr>
    </w:p>
    <w:p>
      <w:pPr>
        <w:ind w:left="740" w:hanging="330"/>
        <w:spacing w:after="0"/>
        <w:tabs>
          <w:tab w:leader="none" w:pos="7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or loss of new digital properties;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and pricing for our platform;</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seasonal nature of Advertisers’ spending on digital advertising campaigns;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the pricing policies of our competitors;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technologies, product or service offerings by our competitors;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Advertisers’ budget allocations or marketing strategies;</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and uncertainty in the regulatory environment for us or Advertisers;</w:t>
      </w:r>
    </w:p>
    <w:p>
      <w:pPr>
        <w:spacing w:after="0" w:line="202" w:lineRule="exact"/>
        <w:rPr>
          <w:rFonts w:ascii="Times New Roman" w:cs="Times New Roman" w:eastAsia="Times New Roman" w:hAnsi="Times New Roman"/>
          <w:sz w:val="17"/>
          <w:szCs w:val="17"/>
          <w:color w:val="auto"/>
        </w:rPr>
      </w:pPr>
    </w:p>
    <w:p>
      <w:pPr>
        <w:ind w:left="740" w:hanging="330"/>
        <w:spacing w:after="0" w:line="269" w:lineRule="auto"/>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prospects of our digital properties and Advertisers or the economy generally, which could alter current or prospective Advertisers’ spending priorities, or could increase the time or costs required to complete sales with digital properties or Advertisers;</w:t>
      </w:r>
    </w:p>
    <w:p>
      <w:pPr>
        <w:spacing w:after="0" w:line="159"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availability of advertising inventory or in the cost to reach end consumers through digital advertising;</w:t>
      </w:r>
    </w:p>
    <w:p>
      <w:pPr>
        <w:spacing w:after="0" w:line="202" w:lineRule="exact"/>
        <w:rPr>
          <w:rFonts w:ascii="Times New Roman" w:cs="Times New Roman" w:eastAsia="Times New Roman" w:hAnsi="Times New Roman"/>
          <w:sz w:val="17"/>
          <w:szCs w:val="17"/>
          <w:color w:val="auto"/>
        </w:rPr>
      </w:pPr>
    </w:p>
    <w:p>
      <w:pPr>
        <w:ind w:left="740" w:hanging="330"/>
        <w:spacing w:after="0" w:line="269" w:lineRule="auto"/>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expenditures as we acquire the hardware, equipment and other assets required to support our business and potential supply issues in acquiring that hardware and assets;</w:t>
      </w:r>
    </w:p>
    <w:p>
      <w:pPr>
        <w:spacing w:after="0" w:line="159"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acquisitions of people, businesses or technologies; and</w:t>
      </w:r>
    </w:p>
    <w:p>
      <w:pPr>
        <w:spacing w:after="0" w:line="202"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traffic patterns.</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Based upon all of the factors described above and others that we may not anticipate, including those beyond our control, we have a limited ability to forecast our future revenue, costs and expenses. As a result, our operating results may from time to time fall below our estimates or the expectations of investors.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the use of cookies is rejected by Internet users, subject to unfavorable legislation or regulation, restricted, blocked or limited by technical changes on end users’ devices or Internet browsers, or our ability to use cookie data is otherwise restricted and we are unable to track users in some other way, our performance could decline and we could lose digital properties and Advertisers and, as a result, revenue.</w:t>
      </w:r>
    </w:p>
    <w:p>
      <w:pPr>
        <w:spacing w:after="0" w:line="168"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use “cookies” (small text files) to gather important data to help deliver our solutions. These cookies are placed through an Internet browser on an Internet user’s device and correspond to a data set that we keep on our servers. Some of our cookies are “third party” cookies where we do not have a direct relationship with the Internet user. Our cookies collect information, such as when an Internet user views an Internet site, clicks on an ad, or visits one of our digital properties. We use these cookies to help us achieve our digital property or Advertisers’ campaign goals, to help us ensure that the same Internet user does not unintentionally see the same recommendations too frequently, to report aggregate information to our Advertisers regarding the performance of their campaigns, and to detect and prevent fraudulent activity. We also use data from cookies to help us decide on an opportunity to place a recommendation in a certain location, at a given time, in front of a particular Internet user. A lack of data associated with cookies may detract from our ability to make decisions about an Advertiser’s campaign and undermine the effectiveness of our solutions.</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Recently, there has been a general trend among Internet users to refuse to accept cookies on their Internet browsers. All of the most commonly used Internet browsers (including Chrome, Firefox, Internet Explorer, Edge and Safari) allow Internet users to prevent cookies from being accepted by their browsers. Internet users can also delete cookies from their devices at any time. Some Internet users also download “ad blocking” software that prevents cookies from being stored on a user’s device. If more Internet users block or delete cookies more frequently than they currently do, our business could be harmed.</w:t>
      </w:r>
    </w:p>
    <w:p>
      <w:pPr>
        <w:spacing w:after="0" w:line="174"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Moreover, technology companies in the Internet browser and operating system spaces, including Google, have announced intentions to discontinue the use of cookies, and to develop alternative methods and mechanisms for tracking users. These web browser and operating system developers have significant resources at their disposal and command substantial market share, and any restrictions they impose could foreclose our ability to understand the preferences of a substantial number of consumers. The Safari, Firefox, and Edge browsers currently block cookies by default, and other browsers may do so in the future. On January 4, 2024, Google started restricting third-party cookies by default for 1% of global Google Chrome users. Unless such default settings in browsers are adjusted by Internet users, our ability to set our cookies in browsers will be more limited, which could adversely affect our business. Google also has announced plans to completely phase out third-party cookies in Google Chrome during the second half of 2024. Moreover, mobile devices using Android and iOS operating systems limit the ability of cookies to track users while they are using applications other than their web browser on the device. As a consequence, fewer of our cookies or media partners’ cookies may be set in browsers or be accessible in mobile devices, which can adversely affect our ability to target and measure ads effectively.</w:t>
      </w:r>
    </w:p>
    <w:p>
      <w:pPr>
        <w:spacing w:after="0" w:line="180"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Additionally, the use of cookies, as well as the use of the data collected using cookies, is subject to legislation and regulation, and may be subject to further legislation or regulation in the future. The EU, the UK, the U.S. and other governments have enacted or are considering legislation that regulate the level of consumer notice and consent required before a company can employ cookies or other electronic tracking tools.</w:t>
      </w:r>
    </w:p>
    <w:p>
      <w:pPr>
        <w:spacing w:after="0" w:line="171"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Although we believe we are well positioned to adapt and continue to provide key data insights to our media partners without cookies, this transition could be more disruptive, slower, or more expensive than we currently anticipate, and could materially affect the accuracy of our recommendations and ads and thus our ability to serve our Advertisers, including through our data marketplace product, adversely affecting our business, results of operations, and financial condition. Limitations on the use or effectiveness of cookies, or other limitations on our ability to collect and use data for advertising,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the lack of data associated with cookies. Moreover, even if we are able to do so, such additional products and tools may be subject to further legislation or regulation, time consuming to develop or costly to obtain, or less effective than our current use of cookies.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information on the regulation of cookies in the EU, see the section titled “Part I, Item 1—Business—“Privacy Regulation in Europe.”</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Taboola’s ability to personalize its advertisements and content to users is restricted or prohibited due to various privacy laws or regulations or industry changes, we could lose digital properties and Advertisers, which could cause our financial condition, results of operations, and revenues to decline.</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 efficacy of our platform for both Advertisers and digital properties relies, in part, on our ability to personalize the recommendations that we serve to Internet users. If we are unable to personalize due to changes in various privacy laws or regulations, the preferences of our publisher clients, or for some other reason beyond our control, the efficacy of our platform may be negatively affected causing our business to suffer, which, in turn, could have an adverse impact on our financial condition, results of operations and revenues.</w:t>
      </w:r>
    </w:p>
    <w:p>
      <w:pPr>
        <w:spacing w:after="0" w:line="345"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Our use of AI, and the integration of AI with our products and services, may not be successful, including for predicting what ads and content would be of most interest to our users and for improving on our ability to further predict or optimize user engagement or conversion rates for our Advertiser, and may present business, compliance and reputational challenges, which could lead to a decline in our performance, a loss of digital properties and Advertisers, operational or reputational damage, legal and regulatory risk, and additional costs, any of which could cause our results of operations and revenues to decline.</w:t>
      </w:r>
    </w:p>
    <w:p>
      <w:pPr>
        <w:spacing w:after="0" w:line="172" w:lineRule="exact"/>
        <w:rPr>
          <w:sz w:val="20"/>
          <w:szCs w:val="20"/>
          <w:color w:val="auto"/>
        </w:rPr>
      </w:pPr>
    </w:p>
    <w:p>
      <w:pPr>
        <w:jc w:val="both"/>
        <w:ind w:firstLine="383"/>
        <w:spacing w:after="0" w:line="248" w:lineRule="auto"/>
        <w:rPr>
          <w:sz w:val="20"/>
          <w:szCs w:val="20"/>
          <w:color w:val="auto"/>
        </w:rPr>
      </w:pPr>
      <w:r>
        <w:rPr>
          <w:rFonts w:ascii="Times New Roman" w:cs="Times New Roman" w:eastAsia="Times New Roman" w:hAnsi="Times New Roman"/>
          <w:sz w:val="17"/>
          <w:szCs w:val="17"/>
          <w:color w:val="auto"/>
        </w:rPr>
        <w:t>We utilize AI in connection with our business, including in our platform. The effective delivery of our solution depends on the ability of Taboola’s AI powered platform to predict what ads and content would be of most interest to users so that our Advertisers can achieve desirable returns on their advertising spend. We need to continuously deliver satisfactory results for our Advertisers and digital properties in terms of predicting user engagement and conversion rates in order to maintain and increase revenue, which in turn depends in part on the optimal functioning of Taboola’s AI powered platform. In addition, as we have increased the number of Advertisers and digital properties that use our offerings on a global basis, we have experienced significant growth in the amount and complexity of data processed by Taboola’s AI and the number of ad and content impressions we deliver. Beyond the use of AI in our recommendation engine, in 2023, we launched a new tool for Advertisers to create personalized ads using generative AI. We also may incorporate AI in our business and operations in new and more significant ways over time.</w:t>
      </w:r>
    </w:p>
    <w:p>
      <w:pPr>
        <w:spacing w:after="0" w:line="17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7"/>
          <w:szCs w:val="17"/>
          <w:color w:val="auto"/>
        </w:rPr>
        <w:t>There are significant risks involved in utilizing AI and no assurance can be provided that our use of AI will produce the intended results.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w:t>
      </w:r>
    </w:p>
    <w:p>
      <w:pPr>
        <w:spacing w:after="0" w:line="176"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7"/>
          <w:szCs w:val="17"/>
          <w:color w:val="auto"/>
        </w:rPr>
        <w:t>In particular, errors and defects in Taboola’s AI powered platform may have a significant adverse impact on our business. As the amount of data and number of variables processed by Taboola’s AI powered platform increase, the risk of errors in the type of data collected, stored, generated or accessed also increases. In addition, the calculations that the algorithms must compute become increasingly complex and the likelihood of any defects or errors increases. If we were to experience significant errors or defects in Taboola’s AI powered platform, our solution could be impaired or stop working altogether, which could prevent us from generating any revenue until the errors or defects were detected and corrected. Other negative consequences from significant errors or defects in Taboola’s AI powered platform could include:</w:t>
      </w:r>
    </w:p>
    <w:p>
      <w:pPr>
        <w:spacing w:after="0" w:line="177" w:lineRule="exact"/>
        <w:rPr>
          <w:sz w:val="20"/>
          <w:szCs w:val="20"/>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loss of Advertisers and digital properties;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fewer user visits to our digital properties;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click-through rates;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conversion rates;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profitability per impression, up to and including negative margins;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return on advertising spend for Advertisers;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price for the advertising inventory we are able to offer to digital properties;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advertisements that are less relevant or irrelevant to users;</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damages or regulatory inquiries or lawsuits; and</w:t>
      </w:r>
    </w:p>
    <w:p>
      <w:pPr>
        <w:spacing w:after="0" w:line="202"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reputation.</w:t>
      </w:r>
    </w:p>
    <w:p>
      <w:pPr>
        <w:spacing w:after="0" w:line="203" w:lineRule="exact"/>
        <w:rPr>
          <w:sz w:val="20"/>
          <w:szCs w:val="20"/>
          <w:color w:val="auto"/>
        </w:rPr>
      </w:pPr>
    </w:p>
    <w:p>
      <w:pPr>
        <w:jc w:val="both"/>
        <w:ind w:firstLine="379"/>
        <w:spacing w:after="0" w:line="247" w:lineRule="auto"/>
        <w:rPr>
          <w:sz w:val="20"/>
          <w:szCs w:val="20"/>
          <w:color w:val="auto"/>
        </w:rPr>
      </w:pPr>
      <w:r>
        <w:rPr>
          <w:rFonts w:ascii="Times New Roman" w:cs="Times New Roman" w:eastAsia="Times New Roman" w:hAnsi="Times New Roman"/>
          <w:sz w:val="17"/>
          <w:szCs w:val="17"/>
          <w:color w:val="auto"/>
        </w:rPr>
        <w:t>Furthermore, the ability of Taboola’s AI powered platform to accurately predict engagement by a user depends in part on our ability to continuously innovate and improve the algorithms underlying Taboola’s AI powered platform in order to deliver positive results for our Advertisers and digital properties that can be clearly attributed to the services we provide. The failure to do so could result in delivering poor performance for our Advertisers and a reduced ability to secure advertising inventory. If failures in Taboola’s AI powered platform or our inability to innovate and improve the algorithms underlying Taboola’s AI powered platform result in Advertisers and digital properties ceasing to partner with us, we cannot guarantee that we will be able to replace, in a timely or effective manner, departing Advertisers with new Advertisers that generate comparable revenue or departing digital properties with new digital properties. As a result, the failure by Taboola’s AI powered platform to accurately predict user engagement or conversion rates and to continue to do so over time could result in significant costs to us and our results of operation and financial condition could be adversely affected.</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65" w:lineRule="auto"/>
        <w:rPr>
          <w:sz w:val="20"/>
          <w:szCs w:val="20"/>
          <w:color w:val="auto"/>
        </w:rPr>
      </w:pPr>
      <w:r>
        <w:rPr>
          <w:rFonts w:ascii="Times New Roman" w:cs="Times New Roman" w:eastAsia="Times New Roman" w:hAnsi="Times New Roman"/>
          <w:sz w:val="16"/>
          <w:szCs w:val="16"/>
          <w:color w:val="auto"/>
        </w:rPr>
        <w:t>In addition, the use of generative AI, a relatively new and emerging technology in the early stages of commercial use, exposes us to additional risks. For example, our generative AI-based tool for ad creation, while made available through the Taboola platform, uses software tools provided by third parties and, while we are not aware of any infringement, we do not independently verify whether the content generated using such tools infringes third-party intellectual property or other rights. Further, any content created using generative AI tools may not be subject to copyright protection, which may adversely affect Advertisers’ intellectual property rights in, or ability to commercialize or use, any such content. If we or our Advertisers do not have sufficient rights to use the data or other material or content on which the AI tools we use or offer rely, or the output of such AI tools, we or our Advertisers also may incur liability through the violation of applicable laws and regulations, third-party intellectual property, privacy or other rights, or contracts to which we are party. Any such liability incurred by Advertisers in connection with the use of our generative AI-based tools may also lead to harm to our reputation and a decrease in the use of such tools or our platform by Advertisers.</w:t>
      </w:r>
    </w:p>
    <w:p>
      <w:pPr>
        <w:spacing w:after="0" w:line="167" w:lineRule="exact"/>
        <w:rPr>
          <w:sz w:val="20"/>
          <w:szCs w:val="20"/>
          <w:color w:val="auto"/>
        </w:rPr>
      </w:pPr>
    </w:p>
    <w:p>
      <w:pPr>
        <w:jc w:val="both"/>
        <w:ind w:firstLine="379"/>
        <w:spacing w:after="0" w:line="247" w:lineRule="auto"/>
        <w:rPr>
          <w:sz w:val="20"/>
          <w:szCs w:val="20"/>
          <w:color w:val="auto"/>
        </w:rPr>
      </w:pPr>
      <w:r>
        <w:rPr>
          <w:rFonts w:ascii="Times New Roman" w:cs="Times New Roman" w:eastAsia="Times New Roman" w:hAnsi="Times New Roman"/>
          <w:sz w:val="17"/>
          <w:szCs w:val="17"/>
          <w:color w:val="auto"/>
        </w:rPr>
        <w:t>Regulation of AI is rapidly evolving as legislators and regulators are increasingly focused on these powerful technologies. The technologies underlying AI and its uses are subject to a variety of laws and regulations, including intellectual property, data privacy and cybersecurity, consumer protection, competition, and equal opportunity laws, and are expected to be subject to increased regulation and new laws or new applications of existing laws and regulations. AI is also the subject of ongoing review by various U.S. and foreign governmental and regulatory agencies, and certain jurisdictions are applying, or are considering applying, their platform moderation, data privacy and cybersecurity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Further, because AI itself is highly complex and rapidly developing, it is not possible to predict all of the legal, operational or technological risks that may arise relating to the use of AI.</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continued engagement by users who interact with our platform on various digital properties. If users begin to ignore our platform or direct their attention to other elements on the digital property, our performance could decline and we could lose digital properties and Advertisers, which could cause our results of operations and revenues to decline.</w:t>
      </w:r>
    </w:p>
    <w:p>
      <w:pPr>
        <w:spacing w:after="0" w:line="168"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ability to sustain continued engagement by users who interact with our platform on various digital properties depends on our ability to continue to provide attractive content to users. If users begin to ignore our platform or direct their attention to other elements on the digital property, our performance could decline and digital property and Advertiser satisfaction with our platform may decrease. Technological and other developments may also cause changes in consumer behavior that could affect the attractiveness of our content and ads to users.</w:t>
      </w:r>
    </w:p>
    <w:p>
      <w:pPr>
        <w:spacing w:after="0" w:line="174"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While we have adopted a number of strategies and initiatives to address these challenges, there can be no guarantee that our efforts will be successful. If we are unable to demonstrate the continuing value of our platform to Advertisers and digital properties, our results may suffer. A decrease in advertising expenditures by our Advertisers could lead to a reduction in our ability to obtain high-quality content from digital properties, which in turn could have an adverse effect on our results of operations and revenues.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have historically relied, and expect to continue to rely, on a small number of partners and their respective affiliates for a significant percentage of our revenue. The loss of all or a significant part of their business or an adverse change in the terms of our agreements could significantly harm our reputation, business, financial condition and results of operations.</w:t>
      </w: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2023, our largest digital property, Microsoft and affiliates, accounted for approximately 10% of our gross revenues generated from Advertisers on digital properties, and our top five digital properties accounted for approximately 23% of our gross revenues. We have long-term contracts with our large digital properties, which, in general, contain minimum guarantee requirements. The typical contract length with our large digital properties is over two years (without any right by these properties to terminate earlier than that absent cause).</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loss of all or a significant part of our business with our largest partners or unfavorable changes in the terms of our agreements with these partners could significantly harm our reputation, business, financial condition and results of operations.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do not have long-term commitments from our Advertisers, and we may not be able to retain Advertisers or attract new Advertisers that provide us with revenue that is comparable to the revenue generated by any Advertisers we may lose.</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Most of our Advertisers do business with us by placing insertion orders for particular advertising campaigns. If we perform well on a particular campaign, then the Advertiser may place new insertion orders with us for additional advertising campaigns. We do not always get written commitment from an Advertiser beyond the campaign-specific insertion order and, even then, each particular insertion order may not be completed since Advertisers can typically terminate a campaign at any time on twenty-four hours’ notice. As a result, our success is dependent upon our ability to outperform our competitors and win repeat business from existing Advertisers, while continually expanding the number of Advertisers for whom we provide services. In addition, it is relatively easy for Advertisers to seek an alternative provider for their campaigns because there are no significant switching costs. In addition, advertising agencies, with whom we do business, often have relationships with many different providers, each of whom may be running portions of the same campaign. Because we generally do not have long-term contracts, it may be difficult for us to accurately predict future revenue streams. We cannot provide assurance that our current Advertisers will continue to use our solutions, or that we will be able to replace departing Advertisers with new Advertisers that provide us with comparable revenue.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retain digital properties or attract new digital properties that provide us with digital space that is sufficient for our volume of sponsored content or comparable to the digital space provided by any digital properties we may lose.</w:t>
      </w:r>
    </w:p>
    <w:p>
      <w:pPr>
        <w:spacing w:after="0" w:line="155" w:lineRule="exact"/>
        <w:rPr>
          <w:sz w:val="20"/>
          <w:szCs w:val="20"/>
          <w:color w:val="auto"/>
        </w:rPr>
      </w:pPr>
    </w:p>
    <w:p>
      <w:pPr>
        <w:jc w:val="both"/>
        <w:ind w:firstLine="332"/>
        <w:spacing w:after="0" w:line="263" w:lineRule="auto"/>
        <w:rPr>
          <w:sz w:val="20"/>
          <w:szCs w:val="20"/>
          <w:color w:val="auto"/>
        </w:rPr>
      </w:pPr>
      <w:r>
        <w:rPr>
          <w:rFonts w:ascii="Times New Roman" w:cs="Times New Roman" w:eastAsia="Times New Roman" w:hAnsi="Times New Roman"/>
          <w:sz w:val="16"/>
          <w:szCs w:val="16"/>
          <w:color w:val="auto"/>
        </w:rPr>
        <w:t>We do business with our partners by allowing them to share in the revenues we receive from Advertisers from campaigns that are placed on their digital properties. If the content we place on the digital property is successful, and the partner is satisfied with our performance and ability to generate revenue, the digital property partner may continue to want us to place content on their website. Alternatively, if we cannot maintain the quality of the content, digital property satisfaction with our platform may decrease. As our Advertiser content may appear on multiple digital properties, any decrease in quality may rapidly affect many digital properties in a short period of time. Our commitments from digital properties are for various periods of time, but our success is dependent upon our ability to successfully execute campaigns using available digital space and maintaining partner satisfaction, while continually expanding the number of digital properties from whom we purchase digital space as needed to meet content volume. In addition, leading up to the expiration of our agreements, it is easy for digital properties to seek an alternative supplier of content for their digital space because there are no fees tied to switching providers. We also face a risk that digital property contract renewals decrease our margins as digital properties may seek to negotiate a higher revenue share. Thus, we cannot provide assurance that our current partners will continue to want us to place content on their digital properties, or that we will be able to replace departing digital properties with new digital properties that provide us with sufficient or comparable digital space. In addition, certain trends in the industry designed to achieve a different user experience may significantly impact our business. For example, a partner may redesign its digital property causing us to have less real estate for our content or placing us in less profitable locations of the website.</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our access to quality digital properties or content from Advertisers is diminished or if we fail to acquire new content, our revenue could decline and our growth prospects could be impeded.</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must maintain a consistent supply of attractive content and quality digital properties on which we place content. If our access to attractive content diminishes, our ability to pay digital properties will diminish, and if access to quality digital properties diminishes then Advertisers may not want to work with us. Thus, our success depends both on our ability to secure quality content and digital real estate.</w:t>
      </w:r>
    </w:p>
    <w:p>
      <w:pPr>
        <w:spacing w:after="0" w:line="341"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The amount, quality and cost of supply available to us can change over time. Our digital properties’ contracts are for various periods. As a result, we cannot provide any assurance that we will have ongoing access to a consistent supply of quality digital real estate. Moreover, the number of competitors in our industry is substantial and continues to increase, which could negatively affect the terms of doing business with our digital property partners and ultimately our gross margin. If we are unable to compete favorably for digital properties, we may not be able to place content at competitive rates or find alternative sources of supply with comparable traffic patterns and consumer demographics in a timely manner. Similarly, if we are unable to maintain a consistent supply of quality content from Advertisers for any reason, our business, digital property partners retention and loyalty, financial condition and results of operations would be harmed.</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successful in attracting more advertising inventory from digital properties than we can satisfy with demand from Advertisers, our relationship with certain digital properties, our revenues and our business could be adversely impacted.</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business model depends on our ability to coordinate the supply of advertising inventory from our digital property partners with demand for that inventory from Advertisers. Any material failure to effectively maintain a sufficient number of Advertisers relative to the inventory we have available could cause digital properties not to utilize our platform or impair Taboola’s AI’s ability to accurately predict user engagement. As a result, our relationships with certain digital properties, our revenues and our business could be adversely impacted.</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Taboola fails to maintain the quality of content or to prevent low quality, offensive or other non-compliant content from appearing on the digital properties, we could lose digital properties and Advertisers, which could cause our results of operations and revenues to decline.</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Advertiser and digital property satisfaction with our solution depends on our ability to place high quality Advertiser content with content from digital properties that is well-suited to the Advertiser’s product or service. If we are unable to keep our Advertisers’ content from being placed with low quality, offensive or other non-compliant editorial content, or if we are unable to keep low quality, offensive or other non-compliant ads from appearing in our network of digital properties, our reputation and business may suffer. As we grow our business to serve a larger number of Advertisers and digital properties, it could become more challenging to prevent low quality, offensive or other non-compliant content from being shown. In addition, the categories of content that our digital properties accept may change over time and as these categories are removed from our inventory, we could suffer a decrease in cost-per-click and overall revenue. If we are unable to maintain the quality of our Advertiser and digital properties, our reputation and business may suffer and we may not be able to retain or secure additional Advertiser or digital property relationships.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Historically, the majority of our agreements with digital properties have typically required them to provide us with exclusivity for the term of the agreement. To the extent that such exclusivity is reduced or eliminated for any reason, including due to changes in market practice or changes in or in response to laws, rules or regulations, digital properties could elect to implement competitive platforms or services that could be detrimental to our performance, thereby reducing our revenues and harming our business.</w:t>
      </w:r>
    </w:p>
    <w:p>
      <w:pPr>
        <w:spacing w:after="0" w:line="172"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Although the majority of our agreements with digital properties have historically required digital properties to provide us with exclusivity for the term of the agreement, there is no guarantee that we will be able to continue to obtain such exclusive arrangements or to renew existing arrangements on similar terms in the future. To the extent that such exclusivity is reduced or eliminated for any reason, including due to changes in market practice or changes in or in response to laws, rules or regulations, our partners could elect to implement other platforms or services on their digital properties, develop their own, or to seek out other third parties with which to do business, which could be detrimental to our performance, thereby reducing our revenues and having an adverse effect on our business.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we fail to detect fraudulent clicks, including non-human traffic, serve advertisements on undesirable websites, or serve content that is inappropriate to certain of our digital properties, our reputation will suffer, which would harm our brand and reputation and negatively impact our business, financial condition and results of operations.</w:t>
      </w:r>
    </w:p>
    <w:p>
      <w:pPr>
        <w:spacing w:after="0" w:line="33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Our business depends in part on providing our Advertisers and digital properties with a service that they trust, and we have contractual commitments to take reasonable measures to prevent click fraud or distributing content on undesirable digital properties. We use proprietary technology to detect click fraud and block inventory that we know or suspect to be fraudulent. Preventing and combating fraud requires constant vigilance, and we may not always be successful in our efforts to do so. In addition, as we continue to improve our click fraud detection mechanisms, we may find that a portion of our traffic is the result of click fraud, and eliminating this fraudulent traffic would reduce our revenues. We also use proprietary technology to prevent our Advertisers’ content from appearing on undesirable digital properties, but we may not be successful in doing so, which would harm our relationship with Advertisers. Any of these things would harm our brand and reputation and negatively impact our business,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platform and business are subject to a wide variety of risks from individuals from inside and outside our company. Our policies and procedures may be inadequate to protect us from material losses or other harm caused by these bad actors, which could negatively impact our business, results of operations and reputation.</w:t>
      </w:r>
    </w:p>
    <w:p>
      <w:pPr>
        <w:spacing w:after="0" w:line="168"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Our platform and business are subject to a wide variety of risks from individuals both inside and outside our company. We have established policies and procedures to manage our exposure to risk, including risks arising from the actions of our employees. These policies may not be adequate or effective in managing our future risk exposure or protecting us against unidentified or unanticipated risks. Although we regularly update our policies and procedures, including with respect to sanctions, bribery, money laundering and insider trading, we may fail to predict future risks due to rapid changes in the market and regulatory conditions and in new markets we enter. Although we have established internal controls to ensure our risk management policies and procedures are adhered to by our employees as we conduct our business, our internal controls may not effectively prevent or detect any non-compliance of our policies and procedures. In particular, these measures may not adequately address or prevent all illegal, improper, or otherwise inappropriate activity from occurring and such conduct could expose us to liability, including through litigation, or adversely affect our brand or reputation. Further, any negative publicity related to the foregoing, could adversely affect public perception of our industry as a whole, which could negatively affect demand for platforms like ours, and potentially lead to increased regulatory or other legal exposure. Any of the foregoing risks could negatively impact our business, results of operations and reputation.</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strong brands and well-known digital properties, and failing to maintain and enhance our brands and well-known digital properties would hurt our ability to expand our number of Advertisers and digital properties.</w:t>
      </w:r>
    </w:p>
    <w:p>
      <w:pPr>
        <w:spacing w:after="0" w:line="155"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Building and maintaining market awareness, brand recognition and goodwill in a cost-effective manner is important to our overall success in achieving widespread acceptance of our existing and future solutions. In particular, our business depends on access to strong brands and well-known digital properties, such as prominent media outlets, and failing to maintain and enhance our relationships with such brands and digital properties would hurt our ability to strengthen our own brand and to expand our current number of Advertisers and digital properties. Our efforts in developing our brand may be hindered by the marketing efforts of our competitors, to the degree our competitors are able to decrease the number of high-profile digital properties we are able to work with. Alternatively, if a significant number of well-known digital properties ceased to do business with us due to changing market conditions or for other reasons, our own brand image and reputation could suffer and our business and results of operations could be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widespread use of technologies that can block or limit the display of our ads could adversely affect our financial results and business.</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Technologies have been developed, and will likely continue to be developed, that can block the display of our ads or content or block our ad measurement tools, particularly for advertising displayed on personal computers. We generate substantially all of our revenue from advertising, including revenue resulting from the display of ads via our platform on personal computers. Revenue generated from the display of ads on personal computers has been impacted by these technologies from time to time. As a result, these technologies may have an adverse effect on our financial results and, if such technologies continue to proliferate, in particular with respect to mobile platforms, our future financial results may be harmed.</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continued and unimpeded access to the Internet and digital properties by us and our users. Internet access providers, device manufacturers, browser developers or owners of digital properties may be able to restrict, block, degrade, or charge for access to certain of our products and services, which could lead to significant degradation of our service or additional expenses and the loss of users and Advertisers.</w:t>
      </w:r>
    </w:p>
    <w:p>
      <w:pPr>
        <w:spacing w:after="0" w:line="168" w:lineRule="exact"/>
        <w:rPr>
          <w:sz w:val="20"/>
          <w:szCs w:val="20"/>
          <w:color w:val="auto"/>
        </w:rPr>
      </w:pPr>
    </w:p>
    <w:p>
      <w:pPr>
        <w:jc w:val="both"/>
        <w:ind w:firstLine="332"/>
        <w:spacing w:after="0" w:line="265" w:lineRule="auto"/>
        <w:rPr>
          <w:sz w:val="20"/>
          <w:szCs w:val="20"/>
          <w:color w:val="auto"/>
        </w:rPr>
      </w:pPr>
      <w:r>
        <w:rPr>
          <w:rFonts w:ascii="Times New Roman" w:cs="Times New Roman" w:eastAsia="Times New Roman" w:hAnsi="Times New Roman"/>
          <w:sz w:val="16"/>
          <w:szCs w:val="16"/>
          <w:color w:val="auto"/>
        </w:rPr>
        <w:t>Our products and services depend on the ability of consumers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may take measures that could degrade, disrupt, or increase the cost of user access by restricting or prohibiting the use of their infrastructure to support our platform, by charging increased fees to us or our users, or by providing our competitors preferential access. Some jurisdictions have adopted regulations prohibiting certain forms of discrimination by internet access providers; however, substantial uncertainty exists in the United States and elsewhere regarding such protections. For example, in 2018 the United States Federal Communications Commission repealed net neutrality rules, which could permit internet access providers to restrict, block, degrade, or charge for access. In addition, our platform may be subject to government-initiated restrictions or blockages. These could result in a decrease of users interacting with our platform, and could impair our ability to attract new Advertisers and digital properties.</w:t>
      </w:r>
    </w:p>
    <w:p>
      <w:pPr>
        <w:spacing w:after="0" w:line="16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In addition, we rely on data signals from user activity on websites that we do not control in order to deliver relevant and effective ads on behalf of our Advertisers. Our advertising revenue is dependent on targeting and measurement tools that incorporate these signals, and any changes in our ability to use such signals will adversely affect our business. For example, legislative and regulatory changes, such as the GDPR and CCPA, may impact our ability to use such signals in our ad products. In addition, mobile operating system and browser providers, such as Apple and Google, have announced product changes as well as future plans to limit the ability of application developers to use these signals to target and measure advertising on their platforms. These developments may limit our ability to target and measure the effectiveness of ads on our platform, and any additional loss of such signals in the future will adversely affect our targeting and measurement capabilities and negatively impact our advertising revenue.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Large and established internet and technology companies may be able to independently transform the marketplace for data and native advertising and significantly impair our ability to operate.</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Large and established internet and technology companies such as Amazon, Apple, Facebook and Google may have the power to significantly change the very nature of the internet display advertising marketplace, and these changes could materially disadvantage us. For example, Amazon, Apple, Facebook and Google have substantial resources and have a significant share of widely adopted industry platforms such as web browsers, mobile operating systems and advertising exchanges and networks. In addition, these or other companies may bundle other services alongside the services that compete with our solutions, thus potentially creating a more competitive platform than ours. Therefore, these companies could leverage their position to make changes to their web browsers, mobile operating systems, platforms, exchanges, networks or other products or services that could be significantly harmful to our business and results of operations.</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From time to time certain of our digital properties, typically small and medium digital properties, have, and in the future may continue to, violate the terms of their agreements with us by depriving us of their contractually required advertising inventory.</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If a significant number of these digital properties violate their agreements, it could be impractical for us to pursue remedies against all of them and as a result we may lack sufficient or timely advertising inventory for our Advertiser clients. As a result, Advertisers may be less likely to contract with us in the future. The combined effect of this disruption to our anticipated advertising inventory, and related supply and demand dynamics, could have an adverse effect on our revenue, business operations and reputation.</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have already and may in the future invest in or acquire other businesses, which could require significant management attention, disrupt our business, dilute shareholder value and adversely affect our financial condition and results of operations.</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63" w:lineRule="auto"/>
        <w:rPr>
          <w:sz w:val="20"/>
          <w:szCs w:val="20"/>
          <w:color w:val="auto"/>
        </w:rPr>
      </w:pPr>
      <w:r>
        <w:rPr>
          <w:rFonts w:ascii="Times New Roman" w:cs="Times New Roman" w:eastAsia="Times New Roman" w:hAnsi="Times New Roman"/>
          <w:sz w:val="16"/>
          <w:szCs w:val="16"/>
          <w:color w:val="auto"/>
        </w:rPr>
        <w:t>As part of our business strategy, we have made and may make future investments in or acquisitions of complementary companies, products or technologies. These activities, including the Connexity acquisition in September 2021, involve significant risks to our business. We may not be able to find other suitable acquisition candidates, and we may not be able to complete such acquisitions on favorable terms, if at all. If we do complete acquisitions, they may not ultimately strengthen our competitive position. Any acquisitions we complete could be viewed negatively by our partners and clients, which could have an adverse impact on our business. In addition, if we are unsuccessful at integrating employees or technologies acquired, our financial condition and results of operations, including revenue growth, could be adversely affected. Any acquisition and subsequent integration will require significant time and resources. We may not be able to successfully evaluate and use the acquired technology or employees, or otherwise manage the acquisition and integration processes successfully. We will be required to pay cash, incur debt and/or issue equity securities to pay for any such acquisition, each of which could adversely affect our financial condition. Our use of cash to pay for acquisitions would limit other potential uses of our cash, including investments in our sales and marketing and product development organizations, and in infrastructure to support scalability. The issuance or sale of equity or convertible debt securities to finance any such acquisitions would result in dilution to our shareholders. If we incur debt, it would result in increased fixed obligations and could also impose covenants or other restrictions that could impede our ability to manage our operations.</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do not effectively grow and train our sales team and account managers, we may be unable to add new digital properties and Advertisers or increase sales to our existing digital properties and Advertisers, and our business would be adversely affected.</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continue to be substantially dependent on our sales team and account managers to obtain new digital properties and Advertisers and to drive sales from our existing digital properties and Advertisers. We believe that there is significant competition for sales personnel with the skills and technical knowledge that we require. Our ability to achieve significant revenue growth will depend, in large part, on our success in recruiting, training, integrating and retaining sufficient numbers of sales personnel to support our growth. New hires require significant training and it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In addition, if we continue to grow rapidly, a large percentage of our sales team will be new to the company and our solutions. If we are unable to hire and train sufficient numbers of effective sales personnel, or the sales personnel are not successful in obtaining new digital properties and Advertisers or increasing sales to our existing digital property and Advertiser base, our business would be adversely affected. Finally, managing our sales team and account managers, particularly in light of our growth, and enforcing compliance with our sales policies is a challenge for us.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we do not effectively maintain and grow our research and development team with top talent, including employees who are trained in artificial intelligence, machine learning and advanced algorithms, we may be unable to continue to improve on our artificial intelligence, our performance could decline and we could lose digital properties and Advertisers, which could cause our results of operations and revenues to decline.</w:t>
      </w:r>
    </w:p>
    <w:p>
      <w:pPr>
        <w:spacing w:after="0" w:line="168"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future success depends on our ability to continue to attract, retain and motivate highly skilled employees, software engineers and other employees with the technical skills in artificial intelligence, machine learning and advanced algorithms that will enable us to deliver effective advertising and content solutions. Competition for highly skilled employees in our industry is intense, particularly in the fields of artificial intelligence and data science. We expect certain of our key competitors, who generally are larger than us and have access to more substantial resources, to pursue top talent even more aggressively.</w:t>
      </w:r>
    </w:p>
    <w:p>
      <w:pPr>
        <w:spacing w:after="0" w:line="174"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may be unable to attract or retain such highly skilled personnel who are critical to our success, which could hinder our ability to keep pace with innovation and technological change in our industry or result in harm to our key Advertiser and digital property relationships, loss of key information, expertise or proprietary knowledge and unanticipated recruitment and training costs. The loss of the services of such key employees could make it more difficult to successfully operate our business and pursue our business goals.</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growth depends, in part, on the success of our strategic relationships with third parties, including ready access to hardware in key locations to facilitate the delivery of our platform and reliable management of Internet traffic. Supply disruptions can impede our operations, ability to grow and financial performance and also result in significant cost increases.</w:t>
      </w:r>
    </w:p>
    <w:p>
      <w:pPr>
        <w:spacing w:after="0" w:line="168"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anticipate that we will continue to depend on various third-party relationships in order to grow our business. We continue to pursue additional relationships with third parties, such as technology and content providers, content delivery networks, data partnerships, co-location facilities and other strategic partners. Identifying, negotiating and documenting relationships with third parties requires significant time and resources, as does integrating third-party data and services. Our agreements with providers of technology, computer hardware, co-location facilities, and content are typically non-exclusive, do not prohibit them from working with our competitors or from offering competing services and do not typically have minimum purchase commitments. Our competitors may be effective in providing incentives to third parties to favor their products or services over ours or to otherwise prevent or reduce purchases of our solutions. In addition, these third parties may go out of business, no longer offer their services to us or not perform as expected under our agreements with them, and we may have disagreements or disputes with such third parties, which could negatively affect our brand and reputation.</w:t>
      </w:r>
    </w:p>
    <w:p>
      <w:pPr>
        <w:spacing w:after="0" w:line="182"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In particular, our continued growth depends on our ability to source computer hardware, including servers built to our specifications, and the ability to locate those servers and related hardware in co-location facilities in the most desirable locations to facilitate the timely delivery of our services. Disruptions in the services provided at co-location facilities that we rely upon can degrade the level of services that we can provide, which could harm our business. We also rely on our integration with many third-party technology providers to execute our business on a daily basis. We rely on a third-party domain name service, or DNS, to direct traffic to our closest data center for efficient processing. If our DNS provider experiences disruptions or performance problems, this could result in inefficient balancing of traffic across our servers as well as impairing or preventing web browser connectivity to our site, which could harm our business.</w:t>
      </w:r>
    </w:p>
    <w:p>
      <w:pPr>
        <w:spacing w:after="0" w:line="17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Supply disruptions could materially impede our growth and our ability to maintain our existing platform. Disruptions in supply can be caused by many factors, including decreases in manufacturing output and labor shortages; the availability of one or more components including semiconductors which are currently in short supply; the impacts of pent up demand; transportation and delivery issues; geopolitical issues; and other circumstances. Such disruptions can result in the delay or inability to obtain necessary hardware, or significant cost increases, any of which could have a material adverse effect on our existing business, our ability to grow and our financial performance.</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the continuing efforts of our key employees, including our founder, and on our ability to hire, train, motivate and retain additional employees, including key employees.</w:t>
      </w:r>
    </w:p>
    <w:p>
      <w:pPr>
        <w:spacing w:after="0" w:line="155" w:lineRule="exact"/>
        <w:rPr>
          <w:sz w:val="20"/>
          <w:szCs w:val="20"/>
          <w:color w:val="auto"/>
        </w:rPr>
      </w:pPr>
    </w:p>
    <w:p>
      <w:pPr>
        <w:jc w:val="both"/>
        <w:ind w:firstLine="332"/>
        <w:spacing w:after="0" w:line="270" w:lineRule="auto"/>
        <w:rPr>
          <w:sz w:val="20"/>
          <w:szCs w:val="20"/>
          <w:color w:val="auto"/>
        </w:rPr>
      </w:pPr>
      <w:r>
        <w:rPr>
          <w:rFonts w:ascii="Times New Roman" w:cs="Times New Roman" w:eastAsia="Times New Roman" w:hAnsi="Times New Roman"/>
          <w:sz w:val="16"/>
          <w:szCs w:val="16"/>
          <w:color w:val="auto"/>
        </w:rPr>
        <w:t>Our future success depends heavily upon the continuing services of our key employees, including our founder and CEO, Adam Singolda, and on our ability to attract and retain members of our management team and other highly skilled employees, including software engineers, analytics and operations employees and sales professionals. The market for talent in our key areas of operations, including Bangkok, California, New York, Sao Paulo, Tel Aviv, and London, is intensely competitive. Our competitors may provide more generous benefits, more diverse opportunities and better chances for career advancement than we do. Some of these advantages may be more appealing to high-quality candidates than those we have to offer. Any of our employees may terminate his or her employment with us at any time.</w:t>
      </w:r>
    </w:p>
    <w:p>
      <w:pPr>
        <w:spacing w:after="0" w:line="160"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New employees often require significant training and, in many cases, take significant time before they achieve full productivity.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In addition, as we move into new geographies, we will need to attract and recruit skilled employees in those areas.</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Even if we are successful in hiring qualified new employees, we may be subject to allegations that we have improperly solicited such employees while they remained employed by our competitors, that such employees have improperly solicited other colleagues of theirs employed by the same competitors or that such employees have divulged proprietary or other confidential information to us in violation of their agreements with such competitors. If we are unable to attract, integrate and retain suitably qualified individuals, our business, financial position and results of operations would be harmed.</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corporate culture has contributed to our success. If we cannot maintain a strong corporate culture, we could lose the innovation, creativity and teamwork fostered by our culture, and our business could be harmed.</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believe our corporate culture has been a critical component of our success as we believe it fosters innovation, teamwork, passion for partners and clients and focus on execution, while facilitating knowledge sharing across our organization. As we grow and change,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Many Advertisers typically spend less in the first quarter and more in the fourth quarter of each calendar year. Our historical revenue growth has mitigated the impact of these seasonal fluctuations in advertising activity. If our growth declines or these typical advertising patterns become more pronounced, seasonality could have a material impact on our revenue, cash flows and operating results.</w:t>
      </w:r>
    </w:p>
    <w:p>
      <w:pPr>
        <w:spacing w:after="0" w:line="168"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Our revenue, cash flow and other key operating and performance metrics may vary from quarter to quarter due to the seasonal nature of our Advertiser clients’ spending on advertising campaigns. For example, many Advertisers tend to devote more of their advertising budgets to the fourth calendar quarter to coincide with consumer holiday spending and correspondingly to spend less in the first quarter. Moreover, advertising inventory in the fourth quarter may be more expensive due to increased demand for it. Our historical revenue growth has masked the impact of seasonality in the past, but if our growth rate declines or seasonal spending becomes more pronounced, seasonality could have a more significant impact on our revenue, cash flow and results of operations from period to period.</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usually incur the cost of an Advertiser’s campaign before we bill for services. Such Advertisers may have or develop high-risk credit profiles, which may result in credit risk.</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usually incur the cost of an Advertiser’s campaign before we bill for services. A portion of our Advertiser-side business is sourced through advertising agencies, and we contract with these agencies as agent for a disclosed principal, which is the Advertiser. Typically, the advertising agency pays for our services once it has received payment from the Advertiser for our services. Our agreements with these agencies typically provide that if the Advertiser does not pay the agency, the agency is not liable to us, and we must seek payment solely from the advertiser.</w:t>
      </w:r>
    </w:p>
    <w:p>
      <w:pPr>
        <w:spacing w:after="0" w:line="174"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addition, contracting with Advertisers who have or develop high-risk credit profiles, subjects us to credit risk. This credit risk may vary depending on the nature of the Advertiser’s business and the Advertiser’s monetization of the traffic generated. Any inability to collect costs we have advanced or other amounts due to us, including write-offs of accounts receivable, could have a materially negative effect on our results of operations.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often pay our digital properties their share of the revenue generated by an Advertiser’s campaigns whether or not we have received payment from the Advertisers and even if we never receive payment from such Advertiser. In addition, we agree with digital properties on a fixed cost for the digital space but a large portion of our revenue from Advertisers is tied to the performance of the campaign. As a result, our results of operations and financial condition could be adversely impacted if we do not receive timely payment from our Advertisers or if our campaigns do not perform as expected.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Laws and Regulations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are a multinational organization faced with complex and changing laws and regulations regarding privacy, data protection, content, competition, consumer protection, and other matters. Many of these laws and regulations are subject to change and uncertain interpretation, and could result in claims, changes to our business practices, monetary penalties, increased cost of operations, or declines in user engagement, or otherwise harm our business.</w:t>
      </w:r>
    </w:p>
    <w:p>
      <w:pPr>
        <w:spacing w:after="0" w:line="168"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 xml:space="preserve">We are subject to a variety of laws and regulations in the United States and other countries that involve matters central to our business, including privacy, data protection, content, competition, consumer protection, and other matters. The expansion of our activities in certain jurisdictions, or other actions that we may take may subject us to additional laws, regulations, or other government scrutiny. In addition, foreign privacy, data protection, content, competition, and other laws and regulations can impose different obligations or be more restrictive than those in the United States. For additional discussion of privacy and data protection laws and regulations applicable to our business, see </w:t>
      </w:r>
      <w:r>
        <w:rPr>
          <w:rFonts w:ascii="Times New Roman" w:cs="Times New Roman" w:eastAsia="Times New Roman" w:hAnsi="Times New Roman"/>
          <w:sz w:val="17"/>
          <w:szCs w:val="17"/>
          <w:i w:val="1"/>
          <w:iCs w:val="1"/>
          <w:color w:val="auto"/>
        </w:rPr>
        <w:t>“Risk Factors—Risks Related to Laws and Regulations—Legislation and regulation of online businesses, including privacy and data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protection regimes, could create unexpected costs, subject us to enforcement actions for compliance failures, or cause us to change our technology platform or business model, which could have a material adverse effect on our business.”</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Laws and regulations of the countries and their legal subdivisions in which we operate or conduct business or in which our employees reside, which in some cases can be enforced by private parties in addition to government entities, are constantly evolving and can be subject to significant change. As a result, the application, interpretation, and enforcement of these laws and regulations are often uncertain, particularly in the new and rapidly evolving industry in which we operate, and may be interpreted and applied inconsistently from country to country and inconsistently with our current policies and practices. For example, regulatory or legislative actions affecting the manner in which we display content to our users could adversely affect user growth and engagement. Such actions could affect the manner in which we provide access to our platform or adversely affect our financial results.</w:t>
      </w:r>
    </w:p>
    <w:p>
      <w:pPr>
        <w:spacing w:after="0" w:line="17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These laws and regulations, as well as any associated claims, inquiries, or investigations or any other government actions, have in the past led to, and may in the future lead to, unfavorable outcomes including increased compliance costs, delays or impediments in the development of new products, negative publicity and reputational harm, increased operating costs, diversion of management time and attention, and remedies that harm our business, including fines or demands or orders that we modify or cease existing business practices.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Legislation and regulation of online businesses, including privacy and data protection regimes, could create unexpected costs, subject us to enforcement actions for compliance failures, or cause us to change our technology platform or business model, which could have a material adverse effect on our business.</w:t>
      </w:r>
    </w:p>
    <w:p>
      <w:pPr>
        <w:spacing w:after="0" w:line="155" w:lineRule="exact"/>
        <w:rPr>
          <w:sz w:val="20"/>
          <w:szCs w:val="20"/>
          <w:color w:val="auto"/>
        </w:rPr>
      </w:pPr>
    </w:p>
    <w:p>
      <w:pPr>
        <w:jc w:val="both"/>
        <w:ind w:firstLine="299"/>
        <w:spacing w:after="0" w:line="263" w:lineRule="auto"/>
        <w:rPr>
          <w:sz w:val="20"/>
          <w:szCs w:val="20"/>
          <w:color w:val="auto"/>
        </w:rPr>
      </w:pPr>
      <w:r>
        <w:rPr>
          <w:rFonts w:ascii="Times New Roman" w:cs="Times New Roman" w:eastAsia="Times New Roman" w:hAnsi="Times New Roman"/>
          <w:sz w:val="16"/>
          <w:szCs w:val="16"/>
          <w:color w:val="auto"/>
        </w:rPr>
        <w:t>Government regulation could increase the costs of doing business online. U.S. and many international governments have enacted, or are considering enacting, legislation and regulation related to online advertising to which we are or may become subject, and we expect to see an increase in legislation and regulation related to digital advertising, the collection and use of Internet user data and unique device identifiers, such as IP address or unique mobile device identifiers, and other privacy and data protection legislation and regulation. The regulatory environment related to privacy and data protection is increasingly rigorous, with new and constantly changing requirements applicable to our business, and enforcement practices are likely to remain uncertain for the foreseeable future. Such legislation and regulation could affect the costs of doing business online, and could reduce the demand for our solutions or otherwise harm our business, financial condition, and results of operations.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 For example, a wide variety of provincial, state, national, and international laws and regulations apply to the collection, use, retention, protection, disclosure, transfer and other processing of personal data. While we generally have not collected data from Internet users that is traditionally considered to be personally identifiable data, such as name, email address, address, phone numbers, social security numbers, credit card numbers, financial, or health data, we typically do collect and store IP addresses, cookie IDs, and other device identifiers that are or may be considered personal data in some jurisdictions or otherwise may be the subject of legislation or regulation. Legislation or regulation that reduces the data we can collect may cause us to not be able to track advertising conversions as efficiently or target campaigns as effectively, which may negatively impact our revenue.</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299"/>
        <w:spacing w:after="0" w:line="246" w:lineRule="auto"/>
        <w:rPr>
          <w:sz w:val="20"/>
          <w:szCs w:val="20"/>
          <w:color w:val="auto"/>
        </w:rPr>
      </w:pPr>
      <w:r>
        <w:rPr>
          <w:rFonts w:ascii="Times New Roman" w:cs="Times New Roman" w:eastAsia="Times New Roman" w:hAnsi="Times New Roman"/>
          <w:sz w:val="17"/>
          <w:szCs w:val="17"/>
          <w:color w:val="auto"/>
        </w:rPr>
        <w:t>Evolving and changing definitions of personal data, within the EEA, the UK, Asia, the United States, and elsewhere, especially relating to classification of IP addresses, machine or device identifiers, and other information, have in the past and could in the future, cause us to change our business practices, expend significant costs to modify our data processing practices or policies, preoccupy management, divert resources from other initiatives and projects, or limit or inhibit our ability to operate or expand our business. Evolving data protection and privacy-related laws and regulations could embolden regulatory and public scrutiny, increase levels of enforcement, and pose risk of sanctions for noncompliance. While we currently take steps to avoid collecting personal data that would enable the direct identification of Internet users, we may inadvertently receive this information from Advertisers or advertising agencies or through the process of delivering our service. Additionally, while we take measures to protect the security of information that we collect, use, disclose and otherwise process in the operation of our business, and to offer certain privacy protections with respect to such information, such measures may not always be effective. Our advertising clients or digital property partners have imposed, or may in the future impose, new restrictions relating to the quickly evolving privacy and data protection laws and regulations with which we must adapt and comply. Our failure to comply with applicable laws and regulations, or to protect personal data, could result in enforcement or litigation action against us, including fines, sanctions, penalties, judgments, imprisonment of our officers and public censure, claims for damages by consumers and other affected individuals, obligations to notify regulators and affected individuals, damage to our reputation and loss of goodwill, any of which could have a material adverse impact on our business, financial condition and results of operations. Even the perception of privacy concerns, whether or not valid, could harm our reputation and inhibit adoption of our solutions by current and future clients and partners.</w:t>
      </w:r>
    </w:p>
    <w:p>
      <w:pPr>
        <w:spacing w:after="0" w:line="181"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For more information on the privacy and data protection laws and regulations to which we are subject, see the sections titled “Part I, Item 1—Business—“Privacy Regulation in the U.S.”, “Part I, Item 1—Business—“Privacy Regulation in Europe” and “Part I, Item 1—Business—“Privacy Regulation in the Asia-Pacific Region.”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Potential “Do Not Track” standards or government regulation could negatively impact our business by limiting our access to the user data that informs the advertising campaigns we run, and as a result could degrade our performance for our digital properties and Advertisers.</w:t>
      </w:r>
    </w:p>
    <w:p>
      <w:pPr>
        <w:spacing w:after="0" w:line="155" w:lineRule="exact"/>
        <w:rPr>
          <w:sz w:val="20"/>
          <w:szCs w:val="20"/>
          <w:color w:val="auto"/>
        </w:rPr>
      </w:pPr>
    </w:p>
    <w:p>
      <w:pPr>
        <w:jc w:val="both"/>
        <w:ind w:firstLine="368"/>
        <w:spacing w:after="0" w:line="246" w:lineRule="auto"/>
        <w:rPr>
          <w:sz w:val="20"/>
          <w:szCs w:val="20"/>
          <w:color w:val="auto"/>
        </w:rPr>
      </w:pPr>
      <w:r>
        <w:rPr>
          <w:rFonts w:ascii="Times New Roman" w:cs="Times New Roman" w:eastAsia="Times New Roman" w:hAnsi="Times New Roman"/>
          <w:sz w:val="17"/>
          <w:szCs w:val="17"/>
          <w:color w:val="auto"/>
        </w:rPr>
        <w:t>As the use of cookies has received ongoing media attention in recent years, some government regulators and privacy advocates have suggested creating a “Do Not Track” standard that would allow Internet users to express a preference, independent of cookie settings in their web browser, not to have their website browsing recorded. All the major Internet browsers have implemented some version of a “Do Not Track” setting. However, there is limited guidance, consensus and industry standards regarding the definition of “tracking,” what message is conveyed by a “Do Not Track” setting and how to respond to a “Do Not Track” preference. We could face competing policy standards, or standards that put our business model at a competitive disadvantage to other companies that collect data from Internet users, standards that reduce the effectiveness of our solutions, or standards that require us to make costly changes to our solutions. For example, the FTC has stated that it will pursue a legislative solution if the industry cannot agree upon a standard. “Do Not Track” has seen renewed emphasis from proponents of the CCPA, which, in certain circumstances, requires browser-based or similar “do not sell” signals. If a standard is imposed by international federal or state legislation, or agreed upon by standard setting groups, that requires us to recognize a “Do Not Track” signal and prohibits us from using data as we currently do, then that could hinder growth of advertising and content production on the web generally, and limit the quality and amount of data we are able to store and use, which would cause us to change our business practices and adversely affect our business.</w:t>
      </w:r>
    </w:p>
    <w:p>
      <w:pPr>
        <w:spacing w:after="0" w:line="185" w:lineRule="exact"/>
        <w:rPr>
          <w:sz w:val="20"/>
          <w:szCs w:val="20"/>
          <w:color w:val="auto"/>
        </w:rPr>
      </w:pPr>
    </w:p>
    <w:p>
      <w:pPr>
        <w:jc w:val="both"/>
        <w:ind w:firstLine="388"/>
        <w:spacing w:after="0" w:line="249" w:lineRule="auto"/>
        <w:rPr>
          <w:sz w:val="20"/>
          <w:szCs w:val="20"/>
          <w:color w:val="auto"/>
        </w:rPr>
      </w:pPr>
      <w:r>
        <w:rPr>
          <w:rFonts w:ascii="Times New Roman" w:cs="Times New Roman" w:eastAsia="Times New Roman" w:hAnsi="Times New Roman"/>
          <w:sz w:val="17"/>
          <w:szCs w:val="17"/>
          <w:color w:val="auto"/>
        </w:rPr>
        <w:t>On May 16, 2023, the EU Interactive Advertising Bureau (IAB), a digital marketing trade association, released an updated version of the IAB Transparency &amp; Consent Framework, or TCF, to reflect updated regulator guidance and decisions. While Taboola is a registered vendor on the latest version of the TCF, the TCF remains under review by European courts after the IAB appealed a February 2022 decision by the Belgian data protection authority that the TCF violates the GDPR. The TCF is currently a key tool in the EU ad tech ecosystem for passing on consent and “do not sell” signals, and in turn, facilitating compliance with the GDPR. If the TCF is found to be unlawful under the GDPR, the ad tech industry will need to determine new mechanisms for GDPR compliance, which could affect our ability to serve targeted ads and consequently impact our revenue.</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User growth and engagement depends upon effective interoperation with devices, platforms and standards set by third parties across the entire ad tech ecosystem that we do not control.</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Technology companies in the Internet browsers and operating systems spaces have announced intentions to discontinue the use of cookies, and to develop alternative methods and mechanisms for tracking users. The most commonly used Internet browsers allow users to modify their browser settings to block first-party cookies (placed directly by the media partner or website owner that the user intends to interact with) or third-party cookies, and some browsers block third-party cookies by default. For example, Apple previously released an update to its Safari browser that limits the use of third-party cookies, which reduces our ability to provide the most relevant ads to our users and impacts monetization, and also released changes to iOS, requiring users to voluntarily choose (opt-in) to permit app developers to track them across applications and websites, that limit our ability to target and measure ads effectively. In addition , Google has announced its intention to disable the use of third-party cookies across its Google Chrome web browser. Based on public announcements from Google, the phase out will be in effect for all users in the second half of 2024 subject to regulatory compliance. This change may force many businesses to reevaluate their marketing strategies.</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Furthermore, mobile devices using Android and iOS operating systems limit the ability of cookies to track users while they are using applications other than their web browser on the device. As a consequence, fewer of our cookies or media partners’ cookies may be set in browsers or be accessible in mobile devices, which can adversely affect our business.</w:t>
      </w:r>
    </w:p>
    <w:p>
      <w:pPr>
        <w:spacing w:after="0" w:line="171" w:lineRule="exact"/>
        <w:rPr>
          <w:sz w:val="20"/>
          <w:szCs w:val="20"/>
          <w:color w:val="auto"/>
        </w:rPr>
      </w:pPr>
    </w:p>
    <w:p>
      <w:pPr>
        <w:jc w:val="both"/>
        <w:ind w:firstLine="332"/>
        <w:spacing w:after="0" w:line="268" w:lineRule="auto"/>
        <w:rPr>
          <w:sz w:val="20"/>
          <w:szCs w:val="20"/>
          <w:color w:val="auto"/>
        </w:rPr>
      </w:pPr>
      <w:r>
        <w:rPr>
          <w:rFonts w:ascii="Times New Roman" w:cs="Times New Roman" w:eastAsia="Times New Roman" w:hAnsi="Times New Roman"/>
          <w:sz w:val="16"/>
          <w:szCs w:val="16"/>
          <w:color w:val="auto"/>
        </w:rPr>
        <w:t>As technology companies in such sectors replace cookies, it is possible that such companies may rely on proprietary algorithms or statistical methods to track users without cookies, or may utilize log-in credentials entered by users into other web properties owned by these companies, such as their email services, to track web usage, including usage across multiple devices. Alternatively, such companies may build different and potentially proprietary user tracking methods into their widely-used web browsers. Although we believe we are well positioned to adapt and continue to provide key data insights to our media partners without cookies, this transition could be more disruptive, slower, or more expensive than we currently anticipate, and could materially affect the accuracy of our recommendations and ads and thus our ability to serve our Advertisers, including through our data marketplace product, adversely affecting our business, results of operations, and financial condition.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Potential regulation or oversight over native advertising disclosure standards could negatively impact our business by affecting click through rates, which in turn affects the profitability of our digital properties and Advertisers.</w:t>
      </w:r>
    </w:p>
    <w:p>
      <w:pPr>
        <w:spacing w:after="0" w:line="155" w:lineRule="exact"/>
        <w:rPr>
          <w:sz w:val="20"/>
          <w:szCs w:val="20"/>
          <w:color w:val="auto"/>
        </w:rPr>
      </w:pPr>
    </w:p>
    <w:p>
      <w:pPr>
        <w:jc w:val="both"/>
        <w:ind w:firstLine="373"/>
        <w:spacing w:after="0" w:line="247" w:lineRule="auto"/>
        <w:rPr>
          <w:sz w:val="20"/>
          <w:szCs w:val="20"/>
          <w:color w:val="auto"/>
        </w:rPr>
      </w:pPr>
      <w:r>
        <w:rPr>
          <w:rFonts w:ascii="Times New Roman" w:cs="Times New Roman" w:eastAsia="Times New Roman" w:hAnsi="Times New Roman"/>
          <w:sz w:val="17"/>
          <w:szCs w:val="17"/>
          <w:color w:val="auto"/>
        </w:rPr>
        <w:t>We are subject to complex and changing advertising regulations in many jurisdictions in which we operate, including regulatory and self-regulatory requirements to comply with native advertising regulations in connection with our native advertising offering. For example, in the United States, the Federal Trade Commission requires that all online advertising meet certain principles, including the clear and conspicuous disclosure of advertisements. If we, or our advertisers, make mistakes in implementing this varied and evolving guidance, or our commitments with respect to these principles, we could be subject to negative publicity, government investigation, government or private litigation, or investigation by self-regulatory bodies such as the Interactive Advertising Bureau (IAB), the National Advertising Division (NAD) as well as the Advertising Standards Authority (ASA) in the UK or other accountability groups. Any such action against us could be costly and time consuming and may require us to change our business practices, cause us to divert management’s attention and our resources and be damaging to our reputation and our business. Moreover, additional or different disclosures may lead to a reduction in user engagement, which could have an adverse effect on our business, results of operations, and financial condition.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We are a multinational organization faced with complex and changing advertising regulation in many jurisdictions in which we operate, and we are obligated to comply with such advertising regulations in connection with the advertising we distribute on behalf of our Advertiser clients. If we fail to comply with these advertising regulations we or our Advertisers could be subject to liability or forced to reduce or suspend operations until we are able to comply, which could reduce our revenues.</w:t>
      </w:r>
    </w:p>
    <w:p>
      <w:pPr>
        <w:spacing w:after="0" w:line="172"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are subject to complex and changing advertising regulations in many jurisdictions in which we operate, and we are obligated to comply with such advertising regulations in connection with the advertising we distribute on behalf of our Advertiser clients. For example, much of the federal oversight on digital advertising in the U.S. currently comes from the FTC, which has primarily relied upon Section 5 of the Federal Trade Commission Act, which prohibits companies from engaging in “unfair” or “deceptive” acts or practices in or affecting commerce, including alleged violations of representations concerning privacy and data security protections and acts that allegedly violate individuals’ privacy and data protection interests. If we or our Advertiser clients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alter our business strategy, which would negatively affect our business, financial condition and results of operations.</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are subject to litigation, administrative inquiries and similar governmental procedures, which may be extremely costly to defend, could result in substantial judgment or settlement costs or subject us to other remedies. Litigation and other disputes can also divert management’s attention from our operations and hurt our reputation.</w:t>
      </w:r>
    </w:p>
    <w:p>
      <w:pPr>
        <w:spacing w:after="0" w:line="168"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or government investigations, including, but not limited to, actions relating to breach of contract, intellectual property infringement, competition law or other issues. Claims may be expensive to defend, may divert management’s time away from our operations, and may affect the availability and premiums of our liability insurance coverage, regardless of whether they are meritorious or ultimately lead to a judgment against us. We cannot assure you we will be able to successfully defend or resolve any current or future litigation matters, in which case those litigation matters could have a material and adverse effect on our business, financial condition, operating results, cash flows, reputation and prospects.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a multinational organization faced with increasingly complex tax issues in many jurisdictions, and we could be obligated to pay additional taxes in various jurisdictions as a result of new taxes and related laws, which may materially affect our business and results of operations.</w:t>
      </w:r>
    </w:p>
    <w:p>
      <w:pPr>
        <w:spacing w:after="0" w:line="155"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As a multinational organization, operating in multiple jurisdictions, including Brazil, China, European Union, India, Israel, Japan, South Korea, Taiwan, Thailand, Turkey, the United Kingdom and the United States, among others, we may be subject to taxation in several jurisdictions around the world with increasingly complex tax laws, the application of which may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as internet commerce and globalization continue to evolve, increasing regulation by government authorities becomes more likely. Our business could be negatively impacted by the application of existing laws and regulations or the enactment of new laws applicable to digital advertising. The cost to comply with such laws or regulations could be significant, and we may be unable to pass along those costs to our clients in the form of increased fees, which may negatively affect our business and results of operation. We are subject to regular review and audit by Israeli, U.S. and other foreign tax authorities. Although we believe our tax estimates are reasonable, the authorities in these jurisdictions could review our tax returns and impose additional taxes, interest and penalties, and the authorities could claim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and settlement is made.</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expose us to greater than anticipated tax liabilities, which could harm our financial condition and results of operations, and increase the costs our clients would have to pay for our products.</w:t>
      </w:r>
    </w:p>
    <w:p>
      <w:pPr>
        <w:spacing w:after="0" w:line="155"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There is heightened scrutiny by fiscal authorities in many jurisdictions on the potential taxation of digital services, including but not limited to, online advertising, search engine and e-commerce businesses (referred to as DST or alike). The Organization for Economic Co-operation and Development (OECD) has issued guidelines, referred to as the Base Erosion and Profit Shifting project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digital services including online advertising, search engine and e-commerce businesses,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As there has been a lack of consensus among the key members, particularly the United States, several jurisdictions legislated digital tax provisions in an uncoordinated and unilateral manner that could result in greater or even double taxation that companies may not have sufficient means to remedy. For example, a number of jurisdictions, including the U.K., France, Italy, Spain, Austria, Turkey, India and other countries have already adopted or have formally proposed legislation to affect the taxation of digital services based on differing criteria and metrics.</w:t>
      </w:r>
    </w:p>
    <w:p>
      <w:pPr>
        <w:spacing w:after="0" w:line="356"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 taxation by multiple jurisdictions of digital services including online advertising and e-commerce could increase our tax burdens and compliance obligations as well as our costs of doing business internationally and our worldwide effective tax rate which may lead to adverse impact on our financial position and results of operations.</w:t>
      </w:r>
    </w:p>
    <w:p>
      <w:pPr>
        <w:spacing w:after="0" w:line="171"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Further, the taxation by multiple jurisdictions of digital businesses could subject us to exposure to withholding, sales, value added taxes (VAT), levies, and/or other taxes, including transaction taxes on our past and future transactions in such jurisdictions where we currently or in the future may be required to report taxable transactions. We are currently subject to and in the future may become subject to additional compliance requirements for certain of these taxes. A successful assertion by one or more U.S. states or foreign countries or change of law requiring us to pay or collect taxes where we presently do not do so, or to pay or collect more taxes in a jurisdiction in which we currently do pay or collect some taxes, could result in substantial liabilities, including taxes on past sales, as well as interest and penalties. Any such assertion could also create significant administrative burdens for us, discourage potential customers from subscribing to our platform due to the incremental cost of any such sales or other related taxes, or otherwise harm our business. Changes in our exposure to withholding, sales, VAT, levies and/or other taxes could have an adverse impact on our financial condition in the future.</w:t>
      </w:r>
    </w:p>
    <w:p>
      <w:pPr>
        <w:spacing w:after="0" w:line="182"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In addition, in October 2021, the OECD released an outline that describes the conceptual agreement between 136 countries on fundamental reforms to international tax rules. The outline provides for two primary “Pillars.” Pillar One is aimed to apply to the largest multinational corporations and replace DST, though the time of its introduction is still unknown. As the Pillar Two model, which provides for a global minimum corporate tax rate of 15%, has partially taken effect in some, but not all, countries for the taxable year beginning on January 1, 2024, with some additional provisions taking effect in 2025, there is still uncertainty as to how the Pillar Two model will be applied evenly during this transition period. While Pillar One is not expected to apply to us, Pillar Two could increase our effective tax rate and adversely affect our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effective tax rate may vary significantly depending on our stock price.</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The tax effects of the accounting for share-based compensation may significantly impact our effective tax rate from period to period. In periods in which our stock price is higher than the grant price of the share-based compensation vesting in that period, we will recognize excess tax benefits that will decrease our effective tax rate, while in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 which we do not control, and a decline in our stock price could significantly increase our effective tax rate and adversely affect our financial results.</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Israeli tax benefits we currently receive require us to meet several conditions and may be terminated or reduced in the future, which would likely increase our taxes, possibly with a retroactive effect.</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Some of our operations in Israel, referred to as “Benefited Enterprise” for 2018 and 2019 and “Preferred Technological Enterprise” commencing with 2020 (in case of taxable income position) carry certain tax benefits under the Law for the Encouragement of Capital Investments, 5719-1959, or the Investment Law. In order to be eligible for tax benefits under the Investment Law, our Benefited/Preferred Technological Enterprises must comply with various conditions set forth in the Investment Law, as well as periodic reporting obligations. If we do not meet the requirements for maintaining these benefits or if our assumptions regarding the key elements affecting our tax rates are rejected by the Israeli tax authorities, they may be reduced or canceled and the relevant operations would be subject to Israeli corporate tax at the standard rate, which is 23% in 2018 and thereafter.</w:t>
      </w:r>
    </w:p>
    <w:p>
      <w:pPr>
        <w:spacing w:after="0" w:line="17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In addition to being subject to the standard corporate tax rate, we could be required to refund any tax benefits we have already received, plus interest and penalties thereon under this program or similar programs we have utilized in the past. Even if we continue to meet the relevant requirements, the tax benefits our current “Preferred Technological Enterprise” receive may not be continued in the future at their current levels or at all. If these tax benefits were reduced or eliminated, the amount of taxes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If the Israeli government discontinues or modifies these programs and potential tax benefits, our business, financial condition and results of operations could be adversely affected.</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299"/>
        <w:spacing w:after="0" w:line="250" w:lineRule="auto"/>
        <w:rPr>
          <w:sz w:val="20"/>
          <w:szCs w:val="20"/>
          <w:color w:val="auto"/>
        </w:rPr>
      </w:pPr>
      <w:r>
        <w:rPr>
          <w:rFonts w:ascii="Times New Roman" w:cs="Times New Roman" w:eastAsia="Times New Roman" w:hAnsi="Times New Roman"/>
          <w:sz w:val="17"/>
          <w:szCs w:val="17"/>
          <w:color w:val="auto"/>
        </w:rPr>
        <w:t>On November 15, 2021, the Encouragement of Capital Investments Law was amended in order, inter alia, to encourage companies to voluntarily elect for an immediate payment of corporate tax on previously tax-exempted earnings which were earned pursuant to Approved and Benefited Enterprises (the “Amendment”). The Amendment provides a reduced corporate tax payment on Exempt Earnings accumulated until December 31, 2020 that were not yet distributed as a dividend, all subject to certain qualifying terms and conditions. The Company implemented the Amendment and as a result, paid the reduced corporate income tax subject to the dividend distribution in an amount of approximately $4.3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pricing rules may adversely affect our corporate income tax expense.</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Many of the jurisdictions in which we conduct business have detailed transfer pricing rules, which require contemporaneous documentation establishing that all transactions with non-resident related parties be priced using arm’s length pricing principles. The tax authorities in these jurisdictions could challenge our related party transfer pricing policies and as a consequence the tax treatment of corresponding expenses and income. International transfer pricing is an area of taxation that depends heavily on the underlying facts and circumstances and generally involves a significant degree of judgment. If any of these tax authorities were to be successful in challenging our transfer pricing policies, we may be liable for additional corporate income tax, and penalties and interest related thereto, which may have a significant impact on our results of operations and financial condition.</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We are also subject to the U.S. Foreign Corrupt Practices Act of 1977, as amended, the U.S. domestic bribery statute contained in 18 U.S.C. § 201, the U.S. Travel Act, the USA PATRIOT Act, the United Kingdom Bribery Act 2010, the Proceeds of Crime Act 2002, Chapter 9 (sub-chapter 5) of the Israeli Penal Law, 1977, the Israeli Prohibition on Money Laundering Law —2000 and possibly other anti-bribery and anti-money laundering laws in countries outside of the United States in which we conduct our activities. Compliance with these laws has been the subject of increasing focus and activity by regulatory authorities, both in the United States and elsewhere, in recent years. Anti-corruption laws are interpreted broadly and prohibit companies and their employees and third-party intermediaries from authorizing, promising, offering, providing, soliciting or accepting, directly or indirectly, improper payments or benefits to or from any person whether in the public or private sector. Although we endeavor to conduct our business in accordance with applicable laws and regulations, we cannot guarantee compliance.</w:t>
      </w:r>
    </w:p>
    <w:p>
      <w:pPr>
        <w:spacing w:after="0" w:line="180"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Noncompliance with anti-corruption, anti-money laundering, export control,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results of operations and financial condition.</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Although we do not believe that we were a “passive foreign investment company,” or a PFIC, for U.S. federal income tax purposes for 2023, if we are a PFIC in 2024 or in any future year, a U.S. investor in our Ordinary shares or Warrants may be subject to adverse U.S. federal income tax consequences.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Under the Internal Revenue Code of 1986, as amended, or the Code, we will be classified as a PFIC for any taxable year in which, either (i) at least 75% of our gross income in a taxable year, including our pro rata share of the gross income of any corporation in which we are considered to own at least 25% of the shares by value, is passive income or (ii) at least 50% of our assets in a taxable year (ordinarily determined based on fair market value and averaged quarterly over the year), including our pro rata share of the assets of any corporation in which we are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 The Company believes that it was not a PFIC for U.S. federal income tax purposes for its 2023 taxable year and it does not expect to become one in the foreseeable future. However, PFIC status is determined annually and depends on the composition of a company’s income and assets and the fair market value of its assets and no assurance can be given that we were not a PFIC in 2023, or as to whether we will be a PFIC in 2024 or for any future taxable years.</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If we are a PFIC for any taxable year during which a U.S. investor holds our Ordinary shares or Warrants, we would continue to be treated as a PFIC with respect to that U.S. investor for all succeeding years during which the U.S. investor holds our Ordinary shares or Warrants, even if we ceased to meet the threshold requirements for PFIC status, unless certain exceptions apply. Such a U.S. investor may be subject to adverse U.S. federal income tax consequences, including (i) the treatment of all or a portion of any gain on the disposition of our Ordinary shares or Warrants as ordinary income (and therefore ineligible for the preferential rates that apply to capital gains with respect to some U.S. investors), (ii) the application of a deferred interest charge on such gain and the receipt of certain dividends on our Ordinary shares, (iii) the ineligibility to claim the preferential tax rate afforded to certain non-corporate U.S. investors on “qualified dividend income” with respect to dividends on our Ordinary shares and (iv) compliance with certain reporting requirements.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Taboola or its respective directors and officers outside the United States, or to assert U.S. securities law claims outside of the United States.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A number of Taboola directors and executive officers are not residents of the United States, and the majority of Taboola’s assets and the assets of these persons are located outside the United States. As a result, it may be difficult or impossible for investors to effect service of process upon Taboola within the United States or other jurisdictions, including judgments predicated upon the civil liability provisions of the federal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 and Technology</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and proprietary rights may be difficult to enforce, particularly because in many instances we rely on trade secrets rather than patents or similar registered legal protections. This could enable others to copy or use aspects of our platform without compensating us, which could erode our competitive advantages and harm our business.</w:t>
      </w:r>
    </w:p>
    <w:p>
      <w:pPr>
        <w:spacing w:after="0" w:line="168"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Our success depends, in part, on our ability to protect proprietary methods and technologies that we develop under the intellectual property laws of Israel, the United States and other countries, so that we can prevent others from using our intellectual property and proprietary information. If we fail to protect our intellectual property and proprietary rights adequately, our competitors might gain access to our technology and proprietary information, and our business could be adversely affected. We rely on trademark, copyright, trade secret, patent and confidentiality procedures and contractual provisions to protect our proprietary methods and technologies.</w:t>
      </w:r>
    </w:p>
    <w:p>
      <w:pPr>
        <w:spacing w:after="0" w:line="176"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Unauthorized parties may attempt to copy aspects of our technology or obtain and use information we regard as proprietary. We generally enter into confidentiality and/or license agreements with our employees, consultants, vendors and Advertisers, and generally limit access to and distribution of our proprietary information. However, any steps taken by us may not prevent infringement, misappropriation or other violation of our intellectual property, technology and proprietary information. Policing unauthorized use of our technology is difficult. In addition, the laws of some foreign countries may not be as protective of intellectual property and proprietary rights as those of the U.S, and mechanisms for enforcement of our intellectual property and proprietary rights in such countries may be inadequate. From time to time, legal action by us may be necessary to enforce our intellectual property and proprietary rights, to protect our trade secrets, to determine the validity and scope of the intellectual property and proprietary rights of others, or to defend against claims of infringement, misappropriation or other violation. Although we generally rely on trade secret laws to protect our intellectual property, we may encounter difficulties enforcing our rights where we lack patent protection. Such litigation could result in substantial costs and the diversion of limited resources and could negatively affect our business, financial condition and results of operations. If we are unable to protect our intellectual property and proprietary rights, including aspects of our technology platform, we may find ourselves at a competitive disadvantage to others who have not incurred the same level of expense, time and effort to create and protect their intellectual property.</w:t>
      </w:r>
    </w:p>
    <w:p>
      <w:pPr>
        <w:spacing w:after="0" w:line="356"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55"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Third parties may assert claims of infringement, misappropriation or other violation of intellectual property rights, including in proprietary technology, against us or against our digital properties or Advertisers for which we may be held liable or have an indemnification obligation. Our risk of third-party claims may be increased to the extent we rely on unaffiliated persons or firms, over whom we have less control than we would have over our own employees, to develop code. Any claim of infringement, misappropriation or other violation of intellectual property rights by a third party, even those without merit, could cause us to incur substantial costs defending against the claim and could distract our management from operating our business.</w:t>
      </w:r>
    </w:p>
    <w:p>
      <w:pPr>
        <w:spacing w:after="0" w:line="176"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 Alternatively, we may be required to develop non-infringing technology,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claims against us resulting from the actions of our Advertisers or digital properties could damage our reputation and be costly to defend.</w:t>
      </w:r>
    </w:p>
    <w:p>
      <w:pPr>
        <w:spacing w:after="0" w:line="207" w:lineRule="exact"/>
        <w:rPr>
          <w:sz w:val="20"/>
          <w:szCs w:val="20"/>
          <w:color w:val="auto"/>
        </w:rPr>
      </w:pPr>
    </w:p>
    <w:p>
      <w:pPr>
        <w:jc w:val="both"/>
        <w:ind w:firstLine="332"/>
        <w:spacing w:after="0" w:line="265" w:lineRule="auto"/>
        <w:rPr>
          <w:sz w:val="20"/>
          <w:szCs w:val="20"/>
          <w:color w:val="auto"/>
        </w:rPr>
      </w:pPr>
      <w:r>
        <w:rPr>
          <w:rFonts w:ascii="Times New Roman" w:cs="Times New Roman" w:eastAsia="Times New Roman" w:hAnsi="Times New Roman"/>
          <w:sz w:val="16"/>
          <w:szCs w:val="16"/>
          <w:color w:val="auto"/>
        </w:rPr>
        <w:t>We receive representations from Advertisers that the content we place on their behalf does not infringe on any third-party rights. We also rely on representations from our digital properties that their content does not infringe on any third-party rights and that they maintain adequate privacy policies that allow us to place pixels on their properties and collect data from users that visit those websites to aid in delivering our solutions. However, we do not independently verify whether we are permitted to deliver advertising to our digital properties’ Internet users or that the content we deliver is legally permitted. If any of our Advertisers’ or digital properties’ representations are untrue and our Advertisers or digital properties do not abide by foreign, federal, state or local laws or regulations governing their content or privacy practices, we could become subject to legal claims against us, we could be exposed to potential liability (for which we may or may not be indemnified by our Advertisers or digital properties), and our reputation could be damaged. Even in those instances where our Advertisers and digital properties do indemnify us, it is possible these entities may not be willing or able to cover the claims and we will be responsible for the cost of litigation or required to pay substantial damages.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Indemnity provisions in various agreements potentially expose us to substantial liability for intellectual property infringement and other losses.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agreements with digital properties, Advertiser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products, services, or other contractual obligations. The term of these indemnity provisions generally survives termination or expiration of the applicable agreement. Large indemnity payments would harm our business, financial condition and results of operations.</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solution relies on third-party open-source software components, and failure to comply with the terms of the underlying open-source software licenses could restrict our ability to sell our platform.</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Our platform, including our computational infrastructure, relies on software licensed to us by third-party authors under “open-source” licenses. The use of open-source software may entail greater risks than the use of third-party commercial software, as open-source licensors generally do not provide warranties, indemnities or other contractual protections regarding infringement claims or the quality of the code. Some open-source licenses contain requirements that we make available source code for modifications or derivative works of the open-source code on unfavorable terms or at no cost. If we combine our proprietary software with open-source software in a certain manner, we could, under certain open-source licenses, be required to release the source code of our proprietary software to the public. This would allow our competitors to create similar solutions with less development effort and time and ultimately put us at a competitive disadvantage.</w:t>
      </w:r>
    </w:p>
    <w:p>
      <w:pPr>
        <w:spacing w:after="0" w:line="17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Although we monitor our use of open-source software to avoid subjecting our products to conditions we do not intend, the terms of many open-source licenses have not been interpreted by United States courts, and there is a risk that these licenses could be construed in a way that could impose unanticipated conditions or restrictions on our ability to commercialize our services. Moreover, we cannot guarantee our processes for controlling our use of open-source software will be effective. If we face claims from third parties seeking to enforce the terms of an open-source software license, or if we are held to have breached the terms of an open-source software license, we could be required to seek licenses from third parties to continue operating our platform on terms that are not economically feasible, to re-engineer our platform or the supporting computational infrastructure to discontinue use of certain code, or to make generally available, in source code form, portions of our proprietary code, any of which could adversely affect our business, financial condition and results of operations.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cybersecurity breaches, attacks or threats, or other outages or disruptions of our services, including scheduled or unscheduled downtime, which could harm our brand and reputation and negatively impact our revenue and results of operations.</w:t>
      </w:r>
    </w:p>
    <w:p>
      <w:pPr>
        <w:spacing w:after="0" w:line="155"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As we grow our business, we expect to continue to invest in technology services, hardware and software, including data centers, network services, storage and database technologies. Creating the appropriate support for our technology platform, including large-scale serving infrastructure and big data transmission, storage and computation infrastructure, is expensive and complex, and our execution can result in inefficiencies or operational failures and increased vulnerability to cybersecurity breaches, attacks and threats which, in turn, could diminish the quality of our services and our performance for our digital properties and our Advertisers. Cyberbreaches, attacks and threats could include denial-of-service attacks impacting service availability (including the ability to deliver ads) and reliability; the exploitation of software vulnerabilities in Internet facing applications; phishing attacks or social engineering attacks (such as tricking company employees into releasing control of their systems to a hacker); or the introduction of computer viruses, software bugs, ransomware or malware into our systems, including with a view to steal, access, modify, destroy or disclose personal, confidential, sensitive or proprietary data. To date, we have not identified cybersecurity incidents that resulted in a material adverse impact to our business or operations, but there can be no guarantee we will not experience such an impact in the future. Cybersecurity breaches, attacks and threats of increasing sophistication may be difficult to detect and could result in the theft of our intellectual property and our data or our digital properties’ or Advertisers’ data, including our or our digital properties’ or Advertisers’ personal data. In addition, we are vulnerable to unintentional errors as well as malicious actions by persons with authorized access to our systems that exceed the scope of their access rights, or unintentionally or intentionally alter parameters or otherwise interfere with the intended operations of our platform.</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62" w:lineRule="auto"/>
        <w:rPr>
          <w:sz w:val="20"/>
          <w:szCs w:val="20"/>
          <w:color w:val="auto"/>
        </w:rPr>
      </w:pPr>
      <w:r>
        <w:rPr>
          <w:rFonts w:ascii="Times New Roman" w:cs="Times New Roman" w:eastAsia="Times New Roman" w:hAnsi="Times New Roman"/>
          <w:sz w:val="16"/>
          <w:szCs w:val="16"/>
          <w:color w:val="auto"/>
        </w:rPr>
        <w:t>A cybersecurity breach or attack, or a technology glitch, with respect to our systems, may cause a catastrophic effect where a large number of digital properties will stop using our service in a short period of time. While we take measures to protect the security of the systems and information used in the operation of our business, and to implement certain privacy protections with respect to such information, such measures may not always be effective. The steps we take to increase the reliability, integrity and security of our systems as they scale may be expensive and may not prevent system failures, unintended vulnerabilities or other cybersecurity incidents, including those resulting from the increasing number of persons with access to our systems, complex interactions within our technology platform and the increasing number of connections with third party partners and vendors’ technology. Furthermore, because the methods of cyber-attack and deception change frequently, are increasingly complex and sophisticated, and can originate from a wide variety of sources, including traditional computer hackers, organized crime groups, nation-state actors and nation-state supported actors. Despite our reasonable efforts to ensure the integrity of our systems, we may not be able to anticipate, detect, appropriately react and respond to, or implement effective preventative measures against, all cybersecurity incidents. Additionally, due to the Russia-Ukraine conflict, there have been publicized threats to increase cyber-attack activity against the critical infrastructure of any nation or organization that retaliates against Russia for its invasion of Ukraine. Any such increase in such attacks on our third-party service providers or other systems could adversely affect our network systems or other operations. In addition to our own systems, we use third-party vendors to store, transmit and otherwise process certain of our personal, confidential, sensitive or proprietary data on our behalf. Due to applicable laws and regulations or contractual obligations, we may be held responsible for any cybersecurity incident attributed to our service providers as they relate to the information we share with them. Although we typically require contractual commitments from these service providers to implement and use reasonable security measures, we cannot control third parties and cannot guarantee a security breach will not occur in their systems.</w:t>
      </w:r>
    </w:p>
    <w:p>
      <w:pPr>
        <w:spacing w:after="0" w:line="173"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adverse effect on our results of operations, financial condition and cash flow. Operational errors or failures or successful cyber-attacks, media reports about such an incident, whether accurate or not, or our failure to make adequate or timely disclosures to the public or law enforcement agencies following any such event, whether due to delayed discovery or a failure to follow existing protocols, could result in violation of applicable privacy and data security laws and regulations, notification obligations, damage to our reputation, loss of current and new digital properties or Advertisers and other partners and clients, the disclosure of personal, confidential, sensitive or proprietary data, interruptions to our operations and distraction to our management, and significant legal, regulatory and financial liabilities and lost revenues, which could harm our business.</w:t>
      </w:r>
    </w:p>
    <w:p>
      <w:pPr>
        <w:spacing w:after="0" w:line="180"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While we currently maintain cybersecurity insurance, such insurance may not be sufficient in type or amount to cover us against claims related to breaches, failures or other cybersecurity-related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Defects, errors or failures in our technology platform, including our software and systems, could adversely affect our business, operating results and growth prospects.</w:t>
      </w:r>
    </w:p>
    <w:p>
      <w:pPr>
        <w:spacing w:after="0" w:line="155" w:lineRule="exact"/>
        <w:rPr>
          <w:sz w:val="20"/>
          <w:szCs w:val="20"/>
          <w:color w:val="auto"/>
        </w:rPr>
      </w:pPr>
    </w:p>
    <w:p>
      <w:pPr>
        <w:jc w:val="both"/>
        <w:ind w:firstLine="332"/>
        <w:spacing w:after="0" w:line="262" w:lineRule="auto"/>
        <w:rPr>
          <w:sz w:val="20"/>
          <w:szCs w:val="20"/>
          <w:color w:val="auto"/>
        </w:rPr>
      </w:pPr>
      <w:r>
        <w:rPr>
          <w:rFonts w:ascii="Times New Roman" w:cs="Times New Roman" w:eastAsia="Times New Roman" w:hAnsi="Times New Roman"/>
          <w:sz w:val="16"/>
          <w:szCs w:val="16"/>
          <w:color w:val="auto"/>
        </w:rPr>
        <w:t>We depend upon the sustained and uninterrupted performance of our technology platform to operate fundamental aspects of our business. If our technology platform cannot scale to meet demand, or if there are defects or errors in our execution of any of these functions on our platform, then our business could be harmed. Our software and systems are complex and may contain defects or errors, or may experience failures when implemented or when new functionality is released, as we may modify, enhance, upgrade and implement new software, systems, procedures and controls to reflect changes in our business, technological advancements and changing industry trends. Undetected defects, errors and failures may occur, especially when new versions or updates are made. Despite testing by us, defects, errors or bugs in our software have in the past, and may in the future, not be found until the software is in our live operating environment. Any defects, errors, failures or other similar performance problems or disruptions in our software or systems could materially and adversely affect our business, financial condition and results of operations. Defects, errors, failures or other similar performance problems or disruptions, whether in connection with day-to-day operations or otherwise, could damage our clients’ businesses and result in negative publicity, damage to our brand and reputation, loss of or delay in market acceptance of our solutions, increased costs or loss of revenue, loss of competitive position or claims by Advertisers for losses sustained by them. In such an event, we may be required or choose to expend additional resources to help mitigate any problems resulting from defects, errors or failures in our software or systems. Alleviating problems resulting from defects, errors or failures in our software or systems could require significant expenditures of capital and other resources and could cause interruptions, delays or the cessation of our business, any of which would adversely impact our financial position, results of operations and growth prospects. In addition, if we experience any defects, errors, failures or other performance problems, our partners could seek to terminate or elect not to renew their contracts,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financial condition and results of operations. Additionally, our software utilizes open-source software and any defects or errors in such open-source software could materially and adversely affect our business, financial condition and results of operations.</w:t>
      </w:r>
    </w:p>
    <w:p>
      <w:pPr>
        <w:spacing w:after="0" w:line="34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service providers for many aspects of our business, and any disruption of service experienced by such third-party service providers or our failure to manage and maintain existing relationships or identify other high-quality, third-party service providers could harm our business, results of operations and growth prospects.</w:t>
      </w:r>
    </w:p>
    <w:p>
      <w:pPr>
        <w:spacing w:after="0" w:line="168"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We rely on a variety of third-party service providers in connection with the operation of our solutions. Any performance issues, errors, bugs, defects or failures with respect to third-party software or services could result in performance issues, errors, bugs, defects or failures with respect to our solutions, which could materially and adversely affect our business, financial condition and results of operations. Many of our third-party service providers attempt to impose limitations on their liability for such performance issues, errors, bugs, defects or failures, and if enforceable, we may have additional liability to our clients or to other third parties that could harm our reputation and increase our operating costs. Additionally, in the future, we might need to license other software or services to enhance our solutions and meet evolving client demands and requirements, which may not be available to us on commercially reasonable terms or at all. Any limitations in our ability to use or obtain third-party software or services could significantly increase our expenses and otherwise result in delays, a reduction in functionality, or performance issues, errors, bugs, defects or failures with respect to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errors, bugs or defects. Any failure to do so could adversely affect our ability to deliver effective solutions to our clients and adversely affect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has limited experience managing a public company.</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require significant attention from our management and could divert their attention away from the day-to-day management of our business, which could adversely affect our business, financial condition and results of operations.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provide management’s assessment on the effectiveness of our internal control over financial reporting.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168"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As a public company, we have significant requirements for enhanced financial reporting and internal controls. The process of designing, implementing, testing and maintaining effective internal controls is a continuous effort that requires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maintain a continuous reporting and improvement process for internal control over financial reporting.</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Pursuant to Section 404(a) of the Sarbanes-Oxley Act, we are required to file a report with the SEC by our management on, among other things, the effectiveness of our internal control over financial reporting. This assessment is required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404(b), we are required to include in the annual reports that we file with the SEC an attestation report on our internal control over financial reporting issued by our independent registered public accounting firm. It is possible in the future that our internal control over financial reporting will not be effective because it cannot detect or prevent material errors at a reasonable level of assurance.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180"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Furthermore, we may, during the course of our annual testing of our internal controls or during the related testing by our independent registered public accounting firm, identify deficiencies which would have to be remediated to satisfy the SEC rules for certification of our internal controls over financial reporting. As a consequence, we may have to disclose in periodic reports we file with the SEC significant deficiencies or material weaknesses in our system of internal controls. The existence of a material weakness would preclude management from concluding that our internal controls over financial reporting are effective, and would preclude our independent auditors from issuing an unqualified opinion that our internal controls over financial reporting are effective. In addition, disclosures of this type in our SEC reports could cause investors to lose confidence in the accuracy and completeness of our financial reporting and may negatively affect the trading price of our Ordinary shares, and we could be subject to sanctions or investigations by regulatory authorities. Moreover, effective internal controls are necessary to produce reliable financial reports and to prevent fraud. If we have deficiencies in our disclosure controls and procedures or internal controls over financial reporting, it could negatively impact our business, results of operations and reputation.</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The risks associated with non-compliance may make it more difficult for us to attract and retain qualified directors and may increase costs of director and officer liability insurance.</w:t>
      </w:r>
    </w:p>
    <w:p>
      <w:pPr>
        <w:spacing w:after="0" w:line="17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jc w:val="both"/>
        <w:ind w:firstLine="332"/>
        <w:spacing w:after="0" w:line="265" w:lineRule="auto"/>
        <w:rPr>
          <w:sz w:val="20"/>
          <w:szCs w:val="20"/>
          <w:color w:val="auto"/>
        </w:rPr>
      </w:pPr>
      <w:r>
        <w:rPr>
          <w:rFonts w:ascii="Times New Roman" w:cs="Times New Roman" w:eastAsia="Times New Roman" w:hAnsi="Times New Roman"/>
          <w:sz w:val="16"/>
          <w:szCs w:val="16"/>
          <w:color w:val="auto"/>
        </w:rPr>
        <w:t>We are required to comply with the SEC’s rules implementing Sections 302 and 404 of the Sarbanes-Oxley Act, which requires management to certify financial and other information in our annual reports and provide an annual management report on the effectiveness of control over financial reporting. In 2022, we were required to make our first annual assessment of our internal control over financial reporting pursuant to Section 404(a). In addition, pursuant to Section 404(b), we are required to include in the annual reports that we file with the SEC an attestation report on our internal control over financial reporting issued by our independent registered public accounting firm. To achieve compliance with Section 404, we engaged in a process to document and evaluate our internal control over financial reporting, which is both costly and challenging. To maintain compliance,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litigation including shareholder suits or investigations by the stock exchange on which our securities are listed, the SEC or other regulatory authorities, which could require additional financial and management resources.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Ordinary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share price may be volatile, and you may lose all or part of your investment.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market price of our Ordinary shares could be highly volatile and may fluctuate substantially as a result of many factors, including:</w:t>
      </w:r>
    </w:p>
    <w:p>
      <w:pPr>
        <w:spacing w:after="0" w:line="203" w:lineRule="exact"/>
        <w:rPr>
          <w:sz w:val="20"/>
          <w:szCs w:val="20"/>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variance in our financial performance from the expectations of market analysts or others;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business developments, changes in significant customers, acquisitions or expansion plans;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 of Ordinary shares or other securities in the future;</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our industry;</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personnel;</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Ordinary shares;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estimation of the future size and growth rate of our markets; and</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03"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Ordinary shares may not be sustained to provide adequate liquidity.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could be negatively affected by future issuances or sales of our Ordinary shares.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As of December 31, 2023, we have 295,670,620 Ordinary shares outstanding. Sales by us or our shareholders of a substantial number of Ordinary shares, the issuance of Ordinary shares as consideration for acquisitions, or the perception that these sales might occur, could cause the market price of our Ordinary shares to decline or could impair our ability to raise capital through a future sale of, or pay for acquisitions using, our equity securities.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If any of our large shareholders or members of our management were to sell substantial amounts of our Ordinary shares and/or Warrants in the public markets, or the market perceives that such sales may occur, this could have the effect of increasing the volatility in, and put significant downward pressure on, the trading price of our Ordinary shares and/or Warrants. Any such volatility or decrease in the trading price of our Ordinary shares and/or Warrants could also adversely affect our ability to raise capital through an issue of equity securities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any dividends in the foreseeable future.</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have never declared or paid any dividends on our Ordinary shares. We do not anticipate paying any dividends in the foreseeable future. We currently intend to retain future earnings, if any, to finance operations and expand our business.</w:t>
      </w:r>
    </w:p>
    <w:p>
      <w:pPr>
        <w:spacing w:after="0" w:line="15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board of directors has sole discretion over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In addition, the Israeli Companies Law, 5759-1999, or Companies Law, imposes restrictions on our ability to declare and pay dividends. Payment of dividends may also be subject to Israeli withholding taxes.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to publish research or reports about our business, or if they issue an adverse or misleading opinion regarding our stock, our stock price and trading volume could decline.</w:t>
      </w:r>
    </w:p>
    <w:p>
      <w:pPr>
        <w:spacing w:after="0" w:line="155"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6"/>
          <w:szCs w:val="16"/>
          <w:color w:val="auto"/>
        </w:rPr>
        <w:t>The trading market for our Ordinary shares is influenced by the research and reports that industry or securities analysts publish about us or our business. If any of the analysts who cover us issue an adverse or misleading opinion regarding us, our business model, our intellectual property or our share performance, or if our results of operations fail to meet the expectations of analysts, our share price would likely decline. If one or more of these analysts cease coverage of our Company or fail to publish reports on us regularly, our visibility in the financial markets could decrease, which in turn could cause our Ordinary Share price or trading volume to decline.</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Ordinary shares or other equity securities without your approval, which would dilute your ownership interests and may depress the market price of our Ordinary shares.</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may issue additional Ordinary shares or other equity securities in the future in connection with, among other things, future capital raising and transactions and future acquisitions, without your approval in many circumstances. Such issuance of additional Ordinary shares or other equity securities would have the following effects:</w:t>
      </w:r>
    </w:p>
    <w:p>
      <w:pPr>
        <w:spacing w:after="0" w:line="171" w:lineRule="exact"/>
        <w:rPr>
          <w:sz w:val="20"/>
          <w:szCs w:val="20"/>
          <w:color w:val="auto"/>
        </w:rPr>
      </w:pPr>
    </w:p>
    <w:p>
      <w:pPr>
        <w:ind w:left="740" w:hanging="292"/>
        <w:spacing w:after="0"/>
        <w:tabs>
          <w:tab w:leader="none" w:pos="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shareholders’ proportionate ownership interest in Taboola may decrease;</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available per share, including for payment of dividends in the future, may decrease;</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voting strength of each previously outstanding ordinary share may be diminished; and</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Ordinary shares may decline.</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redeem your unexpired Warrants prior to their exercise at a time that is disadvantageous to you, thereby making your Warrants worth less.</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Under the terms of the public Warrants, we may exercise the redemption right even if we are unable to register or qualify the underlying securities for sale under all applicable state securities laws. Redemption of the outstanding Warrants could force holders (i) to exercise the Warrants and pay the exercise price therefor at a time when it may be disadvantageous to do so, (ii) to sell the Warrants at the then-current market price when the holder might otherwise wish to hold its Warrants or (iii) to accept the nominal redemption price which, at the time the outstanding Warrants are called for redemption, is likely to be substantially less than the market value of the Warrants. The Warrants exchanged for ION warrants that were issued in a private placement, as part of the Business Combination, are not expected to be redeemable by Taboola so long as they are held by the Sponsors or their permitted transferees.</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our Warrants received by holders of ION warrants in the Business Combination will be in the money at the time they become exercisable or otherwise, and they may expire worthless.</w:t>
      </w:r>
    </w:p>
    <w:p>
      <w:pPr>
        <w:spacing w:after="0" w:line="155"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exercise price of our Warrants issued in exchange for the outstanding ION warrants is $11.50 per ordinary share. There can be no assurance that our Warrants will be in the money following the time they become exercisable and prior to their expiration, and as such, the Warrants may expire worthless.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Incorporation and Location in Israel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in Israel, including the war in Israel, could have a material adverse effect on our business and operations.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are incorporated under the laws of the State of Israel, and our principal research and development facilities, including our major data centers, are located in Israel. Accordingly, political, economic and military conditions in Israel directly affect our business. Since the State of Israel was established in 1948, a number of armed conflicts have occurred between Israel and its Arab neighbors.</w:t>
      </w:r>
    </w:p>
    <w:p>
      <w:pPr>
        <w:spacing w:after="0" w:line="171"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As has been widely publicly reported, in October 2023 war was declared in Israel. Although we are a company formed under the laws of the State of Israel and have a significant presence there, we are a global company with operations in multiple countries. We maintain a business continuity plan and have taken the steps designed to maintain our operations in light of the war in Israel. As of the date of this Annual Report, our operations have not been materially adversely affected by the war.</w:t>
      </w:r>
    </w:p>
    <w:p>
      <w:pPr>
        <w:spacing w:after="0" w:line="152" w:lineRule="exact"/>
        <w:rPr>
          <w:sz w:val="20"/>
          <w:szCs w:val="20"/>
          <w:color w:val="auto"/>
        </w:rPr>
      </w:pPr>
    </w:p>
    <w:p>
      <w:pPr>
        <w:jc w:val="both"/>
        <w:ind w:firstLine="378"/>
        <w:spacing w:after="0" w:line="248" w:lineRule="auto"/>
        <w:rPr>
          <w:sz w:val="20"/>
          <w:szCs w:val="20"/>
          <w:color w:val="auto"/>
        </w:rPr>
      </w:pPr>
      <w:r>
        <w:rPr>
          <w:rFonts w:ascii="Times New Roman" w:cs="Times New Roman" w:eastAsia="Times New Roman" w:hAnsi="Times New Roman"/>
          <w:sz w:val="17"/>
          <w:szCs w:val="17"/>
          <w:color w:val="auto"/>
        </w:rPr>
        <w:t>We cannot predict the duration or severity of the war in Israel or how it will evolve, including any possible escalation or expansion of the war or other hostilities with other countries or groups, any of which could exacerbate geopolitical tensions and have economic implications. In connection with the war in Israel, several hundred thousand Israeli military reservists were called to immediate service. Certain of our employees and consultants in Israel have been called, and additional ones may be called, for service. Although some military reservists have since been released, they may be called up for additional reserve duty, depending on developments in the war and those persons may be absent for an extended period of time. In addition, due to the war or other hostilities our facilities could be damaged and our operations could be otherwise disrupted, which can impact our ability to deliver products and services in a timely manner to meet our contractual obligations towards customers. Any of the foregoing and related risks and uncertainties could have a material adverse effect on our business and operations.</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Further, the State of Israel and Israeli companies have been from time to time subjected to economic boycotts.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Any hostilities involving Israel or the interruption or curtailment of trade between Israel and its present trading partners, or significant downturn in the economic or financial condition of Israel, could adversely affect our operations and product development, and could cause our sales to decrease.</w:t>
      </w:r>
    </w:p>
    <w:p>
      <w:pPr>
        <w:spacing w:after="0" w:line="176" w:lineRule="exact"/>
        <w:rPr>
          <w:sz w:val="20"/>
          <w:szCs w:val="20"/>
          <w:color w:val="auto"/>
        </w:rPr>
      </w:pPr>
    </w:p>
    <w:p>
      <w:pPr>
        <w:jc w:val="both"/>
        <w:ind w:firstLine="409"/>
        <w:spacing w:after="0" w:line="249" w:lineRule="auto"/>
        <w:rPr>
          <w:sz w:val="20"/>
          <w:szCs w:val="20"/>
          <w:color w:val="auto"/>
        </w:rPr>
      </w:pPr>
      <w:r>
        <w:rPr>
          <w:rFonts w:ascii="Times New Roman" w:cs="Times New Roman" w:eastAsia="Times New Roman" w:hAnsi="Times New Roman"/>
          <w:sz w:val="17"/>
          <w:szCs w:val="17"/>
          <w:color w:val="auto"/>
        </w:rPr>
        <w:t>Prior to the outbreak of war in October 2023, the Israeli government pursued extensive changes to Israel’s judicial system. In response to the foregoing developments, many individuals, organizations and institutions, within and outside of Israel, have voiced concerns over the potential negative impacts of such changes and the controversy surrounding them on the business and financial environment in Israel. Such negative impacts may include, among others, a downgrade in Israel’s sovereign credit rating, increased interest rates, currency fluctuations, inflation, civil unrest and volatility in securities markets, which could adversely affect the conditions in which we operate in Israel and potentially deter foreign investors and organizations from investing or transacting business in Israel. If any of the foregoing risks were to materialize, it may have an adverse effect on our business, our results of operations and our ability to raise additional funds.</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Investors’ rights and responsibilities as our shareholders will be governed by Israeli law, which may differ in some respects from the rights and responsibilities of shareholders of non-Israeli companies.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were incorporated under Israeli law and the rights and responsibilities of our shareholders are governed by our articles of association and Israeli law.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corporations.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71" w:lineRule="exact"/>
        <w:rPr>
          <w:sz w:val="20"/>
          <w:szCs w:val="20"/>
          <w:color w:val="auto"/>
        </w:rPr>
      </w:pPr>
    </w:p>
    <w:p>
      <w:pPr>
        <w:ind w:left="740" w:hanging="292"/>
        <w:spacing w:after="0" w:line="269" w:lineRule="auto"/>
        <w:tabs>
          <w:tab w:leader="none" w:pos="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Israeli corporate law regulates mergers and requires that a tender offer be effected when more than a specified percentage of shares in a company are purchased;</w:t>
      </w:r>
    </w:p>
    <w:p>
      <w:pPr>
        <w:spacing w:after="0" w:line="159" w:lineRule="exact"/>
        <w:rPr>
          <w:rFonts w:ascii="Times New Roman" w:cs="Times New Roman" w:eastAsia="Times New Roman" w:hAnsi="Times New Roman"/>
          <w:sz w:val="17"/>
          <w:szCs w:val="17"/>
          <w:color w:val="auto"/>
        </w:rPr>
      </w:pPr>
    </w:p>
    <w:p>
      <w:pPr>
        <w:ind w:left="740" w:hanging="292"/>
        <w:spacing w:after="0" w:line="269" w:lineRule="auto"/>
        <w:tabs>
          <w:tab w:leader="none" w:pos="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Israeli corporate law requires special approvals for certain transactions involving directors, officers or significant shareholders and regulates other matters that may be relevant to these types of transactions;</w:t>
      </w:r>
    </w:p>
    <w:p>
      <w:pPr>
        <w:spacing w:after="0" w:line="159" w:lineRule="exact"/>
        <w:rPr>
          <w:rFonts w:ascii="Times New Roman" w:cs="Times New Roman" w:eastAsia="Times New Roman" w:hAnsi="Times New Roman"/>
          <w:sz w:val="17"/>
          <w:szCs w:val="17"/>
          <w:color w:val="auto"/>
        </w:rPr>
      </w:pPr>
    </w:p>
    <w:p>
      <w:pPr>
        <w:ind w:left="740" w:hanging="292"/>
        <w:spacing w:after="0" w:line="269" w:lineRule="auto"/>
        <w:tabs>
          <w:tab w:leader="none" w:pos="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Israeli corporate law does not provide for shareholder action by written consent for public companies, thereby requiring all shareholder actions to be taken at a general meeting of shareholders;</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740" w:hanging="292"/>
        <w:spacing w:after="0"/>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articles of association divide our directors into three classes, each of which is elected once every three years;</w:t>
      </w:r>
    </w:p>
    <w:p>
      <w:pPr>
        <w:spacing w:after="0" w:line="202" w:lineRule="exact"/>
        <w:rPr>
          <w:rFonts w:ascii="Times New Roman" w:cs="Times New Roman" w:eastAsia="Times New Roman" w:hAnsi="Times New Roman"/>
          <w:sz w:val="17"/>
          <w:szCs w:val="17"/>
          <w:color w:val="auto"/>
        </w:rPr>
      </w:pPr>
    </w:p>
    <w:p>
      <w:pPr>
        <w:ind w:left="740" w:hanging="292"/>
        <w:spacing w:after="0" w:line="269"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articles of association generally requires that 33⅓% of our outstanding shares entitled to vote to be present in person or by proxy to constitute a quorum;</w:t>
      </w:r>
    </w:p>
    <w:p>
      <w:pPr>
        <w:spacing w:after="0" w:line="159" w:lineRule="exact"/>
        <w:rPr>
          <w:rFonts w:ascii="Times New Roman" w:cs="Times New Roman" w:eastAsia="Times New Roman" w:hAnsi="Times New Roman"/>
          <w:sz w:val="17"/>
          <w:szCs w:val="17"/>
          <w:color w:val="auto"/>
        </w:rPr>
      </w:pPr>
    </w:p>
    <w:p>
      <w:pPr>
        <w:jc w:val="both"/>
        <w:ind w:left="740" w:hanging="292"/>
        <w:spacing w:after="0" w:line="248"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and the provisions relating to the election and removal of members of our board of directors and empowering our board of directors to fill vacancies on the board, require a vote of the holders of 65% of our outstanding Ordinary shares entitled to vote at a general meeting;</w:t>
      </w:r>
    </w:p>
    <w:p>
      <w:pPr>
        <w:spacing w:after="0" w:line="178" w:lineRule="exact"/>
        <w:rPr>
          <w:rFonts w:ascii="Times New Roman" w:cs="Times New Roman" w:eastAsia="Times New Roman" w:hAnsi="Times New Roman"/>
          <w:sz w:val="17"/>
          <w:szCs w:val="17"/>
          <w:color w:val="auto"/>
        </w:rPr>
      </w:pPr>
    </w:p>
    <w:p>
      <w:pPr>
        <w:ind w:left="740" w:hanging="292"/>
        <w:spacing w:after="0" w:line="269"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articles of association do not permit a director to be removed except by a vote of the holders of at least 65% of our outstanding shares entitled to vote at a general meeting of shareholders; and</w:t>
      </w:r>
    </w:p>
    <w:p>
      <w:pPr>
        <w:spacing w:after="0" w:line="159"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articles of association provide that director vacancies may be filled by our board of directors.</w:t>
      </w:r>
    </w:p>
    <w:p>
      <w:pPr>
        <w:spacing w:after="0" w:line="203"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articles of association provide that unless we consent otherwise, the competent courts of Tel Aviv, Israel shall be the sole and exclusive forum for substantially all disputes between Taboola and its shareholders under the Companies Law and the Israeli Securities Law, which could limit its shareholders ability to brings claims and proceedings against, as well as obtain favorable judicial forum for disputes with Taboola, its directors, officers and other employees.</w:t>
      </w:r>
    </w:p>
    <w:p>
      <w:pPr>
        <w:spacing w:after="0" w:line="172"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Unless we agree otherwise, the competent courts of Tel Aviv, Israel shall be the exclusive forum for (i) any derivative action or proceeding brought on behalf of Taboola, (ii) any action asserting a claim of breach of fiduciary duty owed by any our director, officer or other employee to Taboola or our shareholders, or (iii) any action asserting a claim arising pursuant to any provision of the Companies Law or the Israeli Securities Law, 1968, or Israeli Securities Law. Such exclusive forum provision in our amended and restated articles of association will not relieve Taboola of its duties to comply with federal securities laws and the rules and regulations thereunder, and our shareholders will not be deemed to have waived Taboola’s compliance with these laws, rules and regulations. This exclusive forum provision may limit a shareholders’ ability to bring a claim in a judicial forum of its choosing for disputes with Taboola or its directors or other employees which may discourage lawsuits against Taboola, its directors, officers and employees. The foregoing exclusive forum provision is intended to apply to claims arising under Israeli Law and would not apply to claims for which the federal courts of the United States would have exclusive jurisdiction, whether by law or pursuant to our amended and restated articles of association, including claims under the Securities Act for which there is a separate exclusive forum provision in our amended and restated articles of association.</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the exchange rates of foreign currencies could result in currency transaction losses that negatively impact our financial results.</w:t>
      </w:r>
    </w:p>
    <w:p>
      <w:pPr>
        <w:spacing w:after="0" w:line="207" w:lineRule="exact"/>
        <w:rPr>
          <w:sz w:val="20"/>
          <w:szCs w:val="20"/>
          <w:color w:val="auto"/>
        </w:rPr>
      </w:pPr>
    </w:p>
    <w:p>
      <w:pPr>
        <w:jc w:val="both"/>
        <w:ind w:firstLine="332"/>
        <w:spacing w:after="0" w:line="265" w:lineRule="auto"/>
        <w:rPr>
          <w:sz w:val="20"/>
          <w:szCs w:val="20"/>
          <w:color w:val="auto"/>
        </w:rPr>
      </w:pPr>
      <w:r>
        <w:rPr>
          <w:rFonts w:ascii="Times New Roman" w:cs="Times New Roman" w:eastAsia="Times New Roman" w:hAnsi="Times New Roman"/>
          <w:sz w:val="16"/>
          <w:szCs w:val="16"/>
          <w:color w:val="auto"/>
        </w:rPr>
        <w:t>We currently have sales denominated in currencies other than the US dollar. In addition, we incur a portion of our operating expenses in Brazilian Reals, British pounds, Euro, Israeli shekels, Japanese Yen and Thai baht, among others. Any fluctuation in the exchange rates of these foreign currencies could negatively impact our business, financial condition and results of operations. In 2022, we instituted a foreign currency cash flow hedging program to address possible exposure arising from expected expenses to be paid in NIS. We hedged a portion of our anticipated NIS denominated payroll of Israeli employees for a period of one to twelve months with forward contracts and other derivative instruments. In the future we may pursue additional currency hedging, and may modify or terminate those arrangements from time to time. We intend to enter into these transactions only to hedge underlying risk reasonably related to our business and not for speculative purposes. There can be no assurance that any such activities will be effective or beneficial to us in whole or in part for several reasons including lack of experience, costs or illiquid markets. In addition, it is difficult to predict the effect hedging activities would have on our results of operations, and hedging activities can themselves result in losses.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In periods of economic uncertainty, businesses may delay or reduce their spending on advertising, we are exposed to the credit risk of some of our clients and customers as well as increased cost of operation in Israel, any of which could materially harm our business</w:t>
      </w:r>
      <w:r>
        <w:rPr>
          <w:rFonts w:ascii="Times New Roman" w:cs="Times New Roman" w:eastAsia="Times New Roman" w:hAnsi="Times New Roman"/>
          <w:sz w:val="17"/>
          <w:szCs w:val="17"/>
          <w:color w:val="333333"/>
          <w:highlight w:val="white"/>
        </w:rPr>
        <w:t>.</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Inflation, which persisted throughout 2023, has adversely affected us by increasing the costs of equipment and labor needed to operate our business and could continue to adversely affect us in future periods. Unstable inflation conditions make it difficult for us and our clients to accurately forecast and plan future business activities, and could cause our clients to reduce or delay their advertising spending with us. Historically, economic downturns, including conditions such as inflation, recessions, or other changes in economic conditions have resulted in overall reductions in advertising spending, and businesses may curtail spending both on advertising in general and on solutions such as ours. We cannot predict the timing, strength or duration of any economic slowdown or recovery. Any macroeconomic deterioration in the future could impair our revenue and results of operations.</w:t>
      </w:r>
    </w:p>
    <w:p>
      <w:pPr>
        <w:spacing w:after="0" w:line="17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exposure to credit risks relating to our financing activities may increase if our customers are adversely affected by periods of economic uncertainty, including inflation, recession, pandemic, or other changes in economic conditions, or a global economic downturn. These may significantly impact our operating results and financial condition</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Historically, credit losses with respect to accounts receivable have generally not been significant. However, we do not require collateral from Advertisers and our normal practice is to allow a period of time before an Advertiser is required to pay us for our services. In addition, although we may seek to reduce the credit exposures of our accounts receivable by credit limits and credit insurance for certain customers, there can be no assurance that any of our efforts to mitigate credit risks will be successful.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downturns and political and market conditions beyond our control could adversely affect our business, financial condition and results of operations.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business depends on the overall demand for advertising and on the economic health of our current and prospective Advertisers. Economic downturns or instability in political or market conditions may cause current or new Advertisers to reduce their advertising budgets. Adverse economic conditions and general uncertainty about economic recovery are likely to affect our business prospects. This could expose us to increased credit risk on Advertiser insertion orders, which, in turn, could negatively impact our business, financial condition and results of operations.</w:t>
      </w:r>
    </w:p>
    <w:p>
      <w:pPr>
        <w:spacing w:after="0" w:line="345"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In addition, continued geopolitical turmoil in many parts of the world have, and may continue to, put pressure on global economic conditions, which could lead to reduced spending on advertising. The Russian invasion of Ukraine has significantly amplified existing geopolitical tensions among Russia, Ukraine, Europe, the West and China. We cannot predict how the war in Ukraine will evolve, but any escalation or expansion of the conflict into other countries, particularly in Europe, would exacerbate geopolitical tensions and could lead to political and/or economic response from the U.S., the E.U. and other countries, which may adversely impact economic conditions. In particular, Russia’s military incursion and the resulting sanctions have and could continue to adversely affect global energy and financial markets and thus could adversely impact our operations and the price of our Ordinary shares. The extent and duration of the military action, the response thereto, including resulting sanctions, and resulting future market disruptions, are impossible to predict, but could be significant. Additionally, any such disruptions, resulting sanctions or other actions (including cyberattacks) may magnify the impact of other risk factors discussed in this Annual Report.</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growth, and such capital might not be available on terms acceptable to us, if at all. This could hamper our growth and adversely affect our business.</w:t>
      </w:r>
    </w:p>
    <w:p>
      <w:pPr>
        <w:spacing w:after="0" w:line="15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our existing shareholders.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could be adversely affected.</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the risk of natural disasters, political events, war, terrorism and the emergence of another pandemic, each of which could disrupt our business and adversely affect our results of operations.</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Events beyond our control could have an adverse effect on our business, financial condition, results of operations and cash flows. Disruption to our platform resulting from natural disasters, political events, war, terrorism, pandemics or other reasons could impair our ability to continue to provide uninterrupted platform service to our Advertisers and digital properties. For example, Russia’s invasion of Ukraine, and the responses taken and which may be taken by the U.S., NATO, other countries, multinational companies and others have created global security concerns that could have a lasting adverse impact on regional and global economies, and in turn, may lead to reduced spending on advertising and adversely affect our results of operations. Similarly, disruptions in the operations of our key third-parties, such as data centers, servers or other technology providers, could have a material adverse effect on our business.</w:t>
      </w:r>
    </w:p>
    <w:p>
      <w:pPr>
        <w:spacing w:after="0" w:line="17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While we have disaster recovery arrangements in place, they have not been tested under actual disasters or similar events and may not effectively permit us to continue to provide our platform. If any of these events were to occur to our business, our business, results of operations, or financial condition could be adversely affected.</w:t>
      </w:r>
    </w:p>
    <w:p>
      <w:pPr>
        <w:spacing w:after="0" w:line="341"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Expansion of current and new partners and clients in our existing international markets is important to our long-term success, and our limited experience in operating our business in certain locations increases the risk that our international operations will not be successful.</w:t>
      </w:r>
    </w:p>
    <w:p>
      <w:pPr>
        <w:spacing w:after="0" w:line="15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As of December 31, 2023, we have offices in Israel, the United States, the United Kingdom, Brazil, Turkey, Thailand, India, Japan, China, South Korea, Taiwan, Australia, Mexico, Germany, Spain, France, Italy, and Hungary. Expansion into new international markets requires additional management attention and resources in order to tailor our solutions to the unique aspects of each country. In addition, we face the following additional risks associated with our expansion into international locations:</w:t>
      </w:r>
    </w:p>
    <w:p>
      <w:pPr>
        <w:spacing w:after="0" w:line="174" w:lineRule="exact"/>
        <w:rPr>
          <w:sz w:val="20"/>
          <w:szCs w:val="20"/>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caused by distance, language and cultural differences;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in some countries;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and higher levels of payment fraud;</w:t>
      </w:r>
    </w:p>
    <w:p>
      <w:pPr>
        <w:spacing w:after="0" w:line="202" w:lineRule="exact"/>
        <w:rPr>
          <w:rFonts w:ascii="Times New Roman" w:cs="Times New Roman" w:eastAsia="Times New Roman" w:hAnsi="Times New Roman"/>
          <w:sz w:val="17"/>
          <w:szCs w:val="17"/>
          <w:color w:val="auto"/>
        </w:rPr>
      </w:pPr>
    </w:p>
    <w:p>
      <w:pPr>
        <w:ind w:left="740" w:hanging="292"/>
        <w:spacing w:after="0" w:line="269"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foreign laws and regulations, including laws and regulations with respect to privacy, data protection, consumer protection, spam and content, and the risk of penalties to our users and individual members of management if our practices are deemed to be out of compliance;</w:t>
      </w:r>
    </w:p>
    <w:p>
      <w:pPr>
        <w:spacing w:after="0" w:line="159"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unique or different market dynamics or business practices;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or inflation;</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and export restrictions;</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and</w:t>
      </w:r>
    </w:p>
    <w:p>
      <w:pPr>
        <w:spacing w:after="0" w:line="202" w:lineRule="exact"/>
        <w:rPr>
          <w:rFonts w:ascii="Times New Roman" w:cs="Times New Roman" w:eastAsia="Times New Roman" w:hAnsi="Times New Roman"/>
          <w:sz w:val="17"/>
          <w:szCs w:val="17"/>
          <w:color w:val="auto"/>
        </w:rPr>
      </w:pPr>
    </w:p>
    <w:p>
      <w:pPr>
        <w:ind w:left="740" w:hanging="29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associated with doing business internationally.</w:t>
      </w:r>
    </w:p>
    <w:p>
      <w:pPr>
        <w:spacing w:after="0" w:line="203" w:lineRule="exact"/>
        <w:rPr>
          <w:sz w:val="20"/>
          <w:szCs w:val="20"/>
          <w:color w:val="auto"/>
        </w:rPr>
      </w:pPr>
    </w:p>
    <w:p>
      <w:pPr>
        <w:ind w:firstLine="332"/>
        <w:spacing w:after="0" w:line="269" w:lineRule="auto"/>
        <w:rPr>
          <w:sz w:val="20"/>
          <w:szCs w:val="20"/>
          <w:color w:val="auto"/>
        </w:rPr>
      </w:pPr>
      <w:r>
        <w:rPr>
          <w:rFonts w:ascii="Times New Roman" w:cs="Times New Roman" w:eastAsia="Times New Roman" w:hAnsi="Times New Roman"/>
          <w:sz w:val="17"/>
          <w:szCs w:val="17"/>
          <w:color w:val="auto"/>
        </w:rPr>
        <w:t>These risks could harm our international expansion efforts, which could have a materially adverse effect on our business, financial condition or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1B:UNRESOLVED STAFF COMMENTS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1C:CYBERSECURITY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w:t>
      </w:r>
    </w:p>
    <w:p>
      <w:pPr>
        <w:spacing w:after="0" w:line="207" w:lineRule="exact"/>
        <w:rPr>
          <w:sz w:val="20"/>
          <w:szCs w:val="20"/>
          <w:color w:val="auto"/>
        </w:rPr>
      </w:pPr>
    </w:p>
    <w:p>
      <w:pPr>
        <w:ind w:firstLine="299"/>
        <w:spacing w:after="0" w:line="269" w:lineRule="auto"/>
        <w:rPr>
          <w:sz w:val="20"/>
          <w:szCs w:val="20"/>
          <w:color w:val="auto"/>
        </w:rPr>
      </w:pPr>
      <w:r>
        <w:rPr>
          <w:rFonts w:ascii="Times New Roman" w:cs="Times New Roman" w:eastAsia="Times New Roman" w:hAnsi="Times New Roman"/>
          <w:sz w:val="17"/>
          <w:szCs w:val="17"/>
          <w:color w:val="auto"/>
        </w:rPr>
        <w:t>At Taboola, cybersecurity risk management is an integral part of our overall enterprise risk management program. We have developed and implemented a cybersecurity risk management program intended to protect the confidentiality, integrity, and availability of our critical systems and information.</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299"/>
        <w:spacing w:after="0" w:line="247" w:lineRule="auto"/>
        <w:rPr>
          <w:sz w:val="20"/>
          <w:szCs w:val="20"/>
          <w:color w:val="auto"/>
        </w:rPr>
      </w:pPr>
      <w:r>
        <w:rPr>
          <w:rFonts w:ascii="Times New Roman" w:cs="Times New Roman" w:eastAsia="Times New Roman" w:hAnsi="Times New Roman"/>
          <w:sz w:val="17"/>
          <w:szCs w:val="17"/>
          <w:color w:val="auto"/>
        </w:rPr>
        <w:t>Our cybersecurity risk management program is based on ISO 27001 standards, which provide a framework and guidelines for implementing and managing an information security system, handling cybersecurity threats and incidents, including threats and incidents relevant to our business, and facilitates coordination across different departments of our Company. Since 2019, Taboola has held an ISO 27001 certification which is audited annually.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as appropriate, of material risks from cybersecurity threats and incidents. As part of this framework, we’ve incorporated third-party service provider cyber qualification processes and supply chain risk management. Our cybersecurity team regularly engages external cybersecurity consultants for risk assessment, security testing and system enhancements. In addition, we provide employees annual cybersecurity training and also provide cybersecurity training for new hires.</w:t>
      </w:r>
    </w:p>
    <w:p>
      <w:pPr>
        <w:spacing w:after="0" w:line="182" w:lineRule="exact"/>
        <w:rPr>
          <w:sz w:val="20"/>
          <w:szCs w:val="20"/>
          <w:color w:val="auto"/>
        </w:rPr>
      </w:pPr>
    </w:p>
    <w:p>
      <w:pPr>
        <w:jc w:val="both"/>
        <w:ind w:firstLine="299"/>
        <w:spacing w:after="0" w:line="256" w:lineRule="auto"/>
        <w:rPr>
          <w:sz w:val="20"/>
          <w:szCs w:val="20"/>
          <w:color w:val="auto"/>
        </w:rPr>
      </w:pPr>
      <w:r>
        <w:rPr>
          <w:rFonts w:ascii="Times New Roman" w:cs="Times New Roman" w:eastAsia="Times New Roman" w:hAnsi="Times New Roman"/>
          <w:sz w:val="17"/>
          <w:szCs w:val="17"/>
          <w:color w:val="auto"/>
        </w:rPr>
        <w:t>Our board of directors has overall oversight responsibility for our risk management and is charged with oversight of our cybersecurity risk management program. The board of directors is responsible for ensuring that management has processes in place designed to identify and evaluate cybersecurity risks to which the Company is exposed and implement processes and programs to manage cybersecurity risks and mitigate cybersecurity incidents.</w:t>
      </w:r>
    </w:p>
    <w:p>
      <w:pPr>
        <w:spacing w:after="0" w:line="171" w:lineRule="exact"/>
        <w:rPr>
          <w:sz w:val="20"/>
          <w:szCs w:val="20"/>
          <w:color w:val="auto"/>
        </w:rPr>
      </w:pPr>
    </w:p>
    <w:p>
      <w:pPr>
        <w:jc w:val="both"/>
        <w:ind w:firstLine="299"/>
        <w:spacing w:after="0" w:line="247"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Vice President, Information Technology &amp; Cybersecurity, or VP Cybersecurity, who together with our cybersecurity team, monitors the prevention, detection, mitigation, and remediation of cybersecurity incidents. Our VP Cybersecurity and members of the cyber security team hold multiple industry recognized cyber security certifications and together have decades of experience, including industry, military and government cyber experience. The Company’s VP Cybersecurity updates the board of directors on the Company’s cybersecurity programs, material cybersecurity risks and mitigation strategies and provides cyber security reports at least annually that cover, among other topics, third-party assessments of the Company’s cybersecurity programs, developments in cybersecurity and updates to the Company’s cybersecurity programs and mitigation strategies.</w:t>
      </w:r>
    </w:p>
    <w:p>
      <w:pPr>
        <w:spacing w:after="0" w:line="182" w:lineRule="exact"/>
        <w:rPr>
          <w:sz w:val="20"/>
          <w:szCs w:val="20"/>
          <w:color w:val="auto"/>
        </w:rPr>
      </w:pPr>
    </w:p>
    <w:p>
      <w:pPr>
        <w:jc w:val="both"/>
        <w:ind w:firstLine="299"/>
        <w:spacing w:after="0" w:line="256" w:lineRule="auto"/>
        <w:rPr>
          <w:sz w:val="20"/>
          <w:szCs w:val="20"/>
          <w:color w:val="auto"/>
        </w:rPr>
      </w:pPr>
      <w:r>
        <w:rPr>
          <w:rFonts w:ascii="Times New Roman" w:cs="Times New Roman" w:eastAsia="Times New Roman" w:hAnsi="Times New Roman"/>
          <w:sz w:val="17"/>
          <w:szCs w:val="17"/>
          <w:color w:val="auto"/>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any undetected cybersecurity incidents. For more information about these risks, refer to Part 1,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07" w:lineRule="exact"/>
        <w:rPr>
          <w:sz w:val="20"/>
          <w:szCs w:val="20"/>
          <w:color w:val="auto"/>
        </w:rPr>
      </w:pPr>
    </w:p>
    <w:p>
      <w:pPr>
        <w:jc w:val="both"/>
        <w:ind w:firstLine="299"/>
        <w:spacing w:after="0" w:line="252" w:lineRule="auto"/>
        <w:rPr>
          <w:sz w:val="20"/>
          <w:szCs w:val="20"/>
          <w:color w:val="auto"/>
        </w:rPr>
      </w:pPr>
      <w:r>
        <w:rPr>
          <w:rFonts w:ascii="Times New Roman" w:cs="Times New Roman" w:eastAsia="Times New Roman" w:hAnsi="Times New Roman"/>
          <w:sz w:val="17"/>
          <w:szCs w:val="17"/>
          <w:color w:val="auto"/>
        </w:rPr>
        <w:t>Our corporate headquarters is in New York City and our core research and development team is in Tel Aviv. We maintain offices in major cities around the world to serve our geographically diverse client base. Additionally, we operate data centers in the United States, Israel, Hong Kong, Singapore and Netherlands and have twelve data centers which are operated under collocation agreements with nine third-party data center providers. Certain of our real property and other leases are further described in Notes 9, 12, 18 and 20 of Notes to Consolidated Financial Statements elsewhere in this Annual Report.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lease all of our facilities. We do not own any real property. We believe our current facilities are adequate to meet our immediate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3" w:lineRule="exact"/>
        <w:rPr>
          <w:sz w:val="20"/>
          <w:szCs w:val="20"/>
          <w:color w:val="auto"/>
        </w:rPr>
      </w:pPr>
    </w:p>
    <w:p>
      <w:pPr>
        <w:ind w:left="740" w:right="420" w:hanging="746"/>
        <w:spacing w:after="0" w:line="274"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Registrants Ordinary shares and Warrants</w:t>
      </w:r>
    </w:p>
    <w:p>
      <w:pPr>
        <w:spacing w:after="0" w:line="207" w:lineRule="exact"/>
        <w:rPr>
          <w:sz w:val="20"/>
          <w:szCs w:val="20"/>
          <w:color w:val="auto"/>
        </w:rPr>
      </w:pPr>
    </w:p>
    <w:p>
      <w:pPr>
        <w:jc w:val="both"/>
        <w:ind w:firstLine="299"/>
        <w:spacing w:after="0" w:line="269" w:lineRule="auto"/>
        <w:rPr>
          <w:sz w:val="20"/>
          <w:szCs w:val="20"/>
          <w:color w:val="auto"/>
        </w:rPr>
      </w:pPr>
      <w:r>
        <w:rPr>
          <w:rFonts w:ascii="Times New Roman" w:cs="Times New Roman" w:eastAsia="Times New Roman" w:hAnsi="Times New Roman"/>
          <w:sz w:val="17"/>
          <w:szCs w:val="17"/>
          <w:color w:val="auto"/>
        </w:rPr>
        <w:t>Our Ordinary shares and Warrants began trading on the Nasdaq Global Market under the symbols “TBLA” and “TBLAW,” respectively, on June 30, 2021. Prior to this, no public market existed for our Ordinary shares.</w:t>
      </w:r>
    </w:p>
    <w:p>
      <w:pPr>
        <w:spacing w:after="0" w:line="159"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Based on a review of the information provided to us by our transfer agent, as of February 22, 2024, there were 329 registered holders of our Ordinary shares. The number of registered holders does not represent the actual number of beneficial owners of our Ordinary shares because the shares of Ordinary shares are frequently held in “street name” by securities dealers and others for the benefit of individual owners who have the right to vote and/or dispositive power with respect to their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and payment of dividends may be subject to Israeli withholding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information about Ordinary shares repurchased pursuant to our Buyback Program for the three months ended December 31, 2023:</w:t>
      </w:r>
    </w:p>
    <w:p>
      <w:pPr>
        <w:sectPr>
          <w:pgSz w:w="11900" w:h="16838" w:orient="portrait"/>
          <w:cols w:equalWidth="0" w:num="1">
            <w:col w:w="11240"/>
          </w:cols>
          <w:pgMar w:left="320" w:top="118" w:right="3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(c) Total Number</w:t>
            </w:r>
          </w:p>
        </w:tc>
        <w:tc>
          <w:tcPr>
            <w:tcW w:w="0" w:type="dxa"/>
            <w:vAlign w:val="bottom"/>
          </w:tcPr>
          <w:p>
            <w:pPr>
              <w:spacing w:after="0"/>
              <w:rPr>
                <w:sz w:val="1"/>
                <w:szCs w:val="1"/>
                <w:color w:val="auto"/>
              </w:rPr>
            </w:pPr>
          </w:p>
        </w:tc>
      </w:tr>
      <w:tr>
        <w:trPr>
          <w:trHeight w:val="220"/>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w:t>
            </w: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of Shares</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(a) Total</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Purchased as Part</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Price Paid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of Publicly</w:t>
            </w:r>
          </w:p>
        </w:tc>
        <w:tc>
          <w:tcPr>
            <w:tcW w:w="0" w:type="dxa"/>
            <w:vAlign w:val="bottom"/>
          </w:tcPr>
          <w:p>
            <w:pPr>
              <w:spacing w:after="0"/>
              <w:rPr>
                <w:sz w:val="1"/>
                <w:szCs w:val="1"/>
                <w:color w:val="auto"/>
              </w:rPr>
            </w:pPr>
          </w:p>
        </w:tc>
      </w:tr>
      <w:tr>
        <w:trPr>
          <w:trHeight w:val="199"/>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Announced</w:t>
            </w:r>
          </w:p>
        </w:tc>
        <w:tc>
          <w:tcPr>
            <w:tcW w:w="0" w:type="dxa"/>
            <w:vAlign w:val="bottom"/>
          </w:tcPr>
          <w:p>
            <w:pPr>
              <w:spacing w:after="0"/>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Purchased</w:t>
            </w:r>
          </w:p>
        </w:tc>
        <w:tc>
          <w:tcPr>
            <w:tcW w:w="14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7"/>
                <w:szCs w:val="17"/>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Program</w:t>
            </w:r>
          </w:p>
        </w:tc>
        <w:tc>
          <w:tcPr>
            <w:tcW w:w="0" w:type="dxa"/>
            <w:vAlign w:val="bottom"/>
          </w:tcPr>
          <w:p>
            <w:pPr>
              <w:spacing w:after="0"/>
              <w:rPr>
                <w:sz w:val="1"/>
                <w:szCs w:val="1"/>
                <w:color w:val="auto"/>
              </w:rPr>
            </w:pPr>
          </w:p>
        </w:tc>
      </w:tr>
      <w:tr>
        <w:trPr>
          <w:trHeight w:val="183"/>
        </w:trPr>
        <w:tc>
          <w:tcPr>
            <w:tcW w:w="544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October 1 - October 31, 2023</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2,951,932</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3.69</w:t>
            </w:r>
          </w:p>
        </w:tc>
        <w:tc>
          <w:tcPr>
            <w:tcW w:w="220" w:type="dxa"/>
            <w:vAlign w:val="bottom"/>
          </w:tcPr>
          <w:p>
            <w:pPr>
              <w:spacing w:after="0"/>
              <w:rPr>
                <w:sz w:val="15"/>
                <w:szCs w:val="15"/>
                <w:color w:val="auto"/>
              </w:rPr>
            </w:pPr>
          </w:p>
        </w:tc>
        <w:tc>
          <w:tcPr>
            <w:tcW w:w="12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2,951,932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November 1 - November 30, 2023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2,795,492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2,795,492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December 1 - December 31, 2023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2,820,132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2,820,132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43115" cy="126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7143115" cy="126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178562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200" w:right="240" w:hanging="62"/>
        <w:spacing w:after="0" w:line="273" w:lineRule="auto"/>
        <w:tabs>
          <w:tab w:leader="none" w:pos="39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Approximate Dollar Value of</w:t>
      </w:r>
    </w:p>
    <w:p>
      <w:pPr>
        <w:jc w:val="both"/>
        <w:ind w:right="100" w:firstLine="9"/>
        <w:spacing w:after="0" w:line="254" w:lineRule="auto"/>
        <w:rPr>
          <w:sz w:val="20"/>
          <w:szCs w:val="20"/>
          <w:color w:val="auto"/>
        </w:rPr>
      </w:pPr>
      <w:r>
        <w:rPr>
          <w:rFonts w:ascii="Times New Roman" w:cs="Times New Roman" w:eastAsia="Times New Roman" w:hAnsi="Times New Roman"/>
          <w:sz w:val="16"/>
          <w:szCs w:val="16"/>
          <w:b w:val="1"/>
          <w:bCs w:val="1"/>
          <w:color w:val="auto"/>
        </w:rPr>
        <w:t>Shares that May Yet Be Purchased Under the Plan or Program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92456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4560" cy="15875"/>
                    </a:xfrm>
                    <a:prstGeom prst="rect">
                      <a:avLst/>
                    </a:prstGeom>
                    <a:noFill/>
                  </pic:spPr>
                </pic:pic>
              </a:graphicData>
            </a:graphic>
          </wp:anchor>
        </w:drawing>
      </w:r>
    </w:p>
    <w:p>
      <w:pPr>
        <w:ind w:left="800" w:hanging="799"/>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6,102,530</w:t>
      </w:r>
    </w:p>
    <w:p>
      <w:pPr>
        <w:spacing w:after="0" w:line="32" w:lineRule="exact"/>
        <w:rPr>
          <w:sz w:val="20"/>
          <w:szCs w:val="20"/>
          <w:color w:val="auto"/>
        </w:rPr>
      </w:pPr>
    </w:p>
    <w:p>
      <w:pPr>
        <w:ind w:left="720" w:hanging="719"/>
        <w:spacing w:after="0"/>
        <w:tabs>
          <w:tab w:leader="none" w:pos="7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35,451,079</w:t>
      </w:r>
    </w:p>
    <w:p>
      <w:pPr>
        <w:spacing w:after="0" w:line="15" w:lineRule="exact"/>
        <w:rPr>
          <w:rFonts w:ascii="Times New Roman" w:cs="Times New Roman" w:eastAsia="Times New Roman" w:hAnsi="Times New Roman"/>
          <w:sz w:val="16"/>
          <w:szCs w:val="16"/>
          <w:color w:val="auto"/>
        </w:rPr>
      </w:pPr>
    </w:p>
    <w:p>
      <w:pPr>
        <w:ind w:left="720" w:hanging="719"/>
        <w:spacing w:after="0"/>
        <w:tabs>
          <w:tab w:leader="none" w:pos="7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24,853,884</w:t>
      </w:r>
    </w:p>
    <w:p>
      <w:pPr>
        <w:spacing w:after="0" w:line="215" w:lineRule="exact"/>
        <w:rPr>
          <w:sz w:val="20"/>
          <w:szCs w:val="20"/>
          <w:color w:val="auto"/>
        </w:rPr>
      </w:pPr>
    </w:p>
    <w:p>
      <w:pPr>
        <w:sectPr>
          <w:pgSz w:w="11900" w:h="16838" w:orient="portrait"/>
          <w:cols w:equalWidth="0" w:num="2">
            <w:col w:w="9460" w:space="220"/>
            <w:col w:w="1560"/>
          </w:cols>
          <w:pgMar w:left="320" w:top="118" w:right="339" w:bottom="1440" w:gutter="0" w:footer="0" w:header="0"/>
          <w:type w:val="continuous"/>
        </w:sectPr>
      </w:pPr>
    </w:p>
    <w:p>
      <w:pPr>
        <w:spacing w:after="0" w:line="181" w:lineRule="exact"/>
        <w:rPr>
          <w:sz w:val="20"/>
          <w:szCs w:val="20"/>
          <w:color w:val="auto"/>
        </w:rPr>
      </w:pPr>
    </w:p>
    <w:p>
      <w:pPr>
        <w:ind w:left="300" w:hanging="300"/>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broker and transaction fees.</w:t>
      </w:r>
    </w:p>
    <w:p>
      <w:pPr>
        <w:spacing w:after="0" w:line="20" w:lineRule="exact"/>
        <w:rPr>
          <w:rFonts w:ascii="Times New Roman" w:cs="Times New Roman" w:eastAsia="Times New Roman" w:hAnsi="Times New Roman"/>
          <w:sz w:val="17"/>
          <w:szCs w:val="17"/>
          <w:color w:val="auto"/>
        </w:rPr>
      </w:pPr>
    </w:p>
    <w:p>
      <w:pPr>
        <w:jc w:val="both"/>
        <w:ind w:left="300" w:hanging="300"/>
        <w:spacing w:after="0" w:line="262" w:lineRule="auto"/>
        <w:tabs>
          <w:tab w:leader="none" w:pos="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10, 2023, the Company announced a share buyback program for the repurchase of up to $40.0 million of our outstanding Ordinary shares, with no expiration date (the “Buyback Program”). On November 7, 2023, the Board authorized up to an additional $40.0 million of buybacks under the Buyback Program. Subsequent to December 31, 2023, in February 2024, our board of directors authorized up to $100.0 million for use under the Buyback Program, including any remaining authority from the November 2023 board of directors authorization, subject to obtaining any required Israeli court approvals. The Buyback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Return Performance Presentation</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This performance graph shall not be deemed “soliciting material” or to be “filed” with the Securities and Exchange Commission, or the SEC, for purposes of Section 18 of the Exchange Act, or otherwise subject to the liabilities under that Section, and shall not be deemed to be incorporated by reference into any of our filings under the Securities Act.</w:t>
      </w:r>
    </w:p>
    <w:p>
      <w:pPr>
        <w:spacing w:after="0" w:line="168" w:lineRule="exact"/>
        <w:rPr>
          <w:sz w:val="20"/>
          <w:szCs w:val="20"/>
          <w:color w:val="auto"/>
        </w:rPr>
      </w:pPr>
    </w:p>
    <w:p>
      <w:pPr>
        <w:jc w:val="both"/>
        <w:ind w:firstLine="373"/>
        <w:spacing w:after="0" w:line="273" w:lineRule="auto"/>
        <w:rPr>
          <w:sz w:val="20"/>
          <w:szCs w:val="20"/>
          <w:color w:val="auto"/>
        </w:rPr>
      </w:pPr>
      <w:r>
        <w:rPr>
          <w:rFonts w:ascii="Times New Roman" w:cs="Times New Roman" w:eastAsia="Times New Roman" w:hAnsi="Times New Roman"/>
          <w:sz w:val="16"/>
          <w:szCs w:val="16"/>
          <w:color w:val="auto"/>
        </w:rPr>
        <w:t>The graph below compares the cumulative total shareholder return on our Ordinary shares from June 30, 2021 (the date our Ordinary shares commenced trading on the NASDAQ) through December 31, 2023 with the cumulative total return on the NASDAQ Composite Index and S&amp;P SmallCap 600 Communication Services Index. All values assume a $100 initial investment and data for the NASDAQ Composite Index and S&amp;P SmallCap 600 Communication Services Index assume reinvestment of dividends. The comparisons are based on historical data and are not indicative of, nor intended to forecast, the future performance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111125</wp:posOffset>
            </wp:positionV>
            <wp:extent cx="5151755" cy="2117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175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Taboola’s audited consolidated financial statements and the related notes appearing elsewhere in this Annual Report. Some of the information contained in this discussion and analysis is set forth elsewhere in this Annual Report, including information with respect to Taboola’s plans and strategy for Taboola’s business, and includes forward-looking statements that involve risks and uncertainties. As a result of many factors, including those factors set forth in the section titled “Risk Factors” and “Cautionary Note Regarding Forward-Looking Statements,”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spacing w:after="0" w:line="171"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74"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6"/>
          <w:szCs w:val="16"/>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156" w:lineRule="exact"/>
        <w:rPr>
          <w:sz w:val="20"/>
          <w:szCs w:val="20"/>
          <w:color w:val="auto"/>
        </w:rPr>
      </w:pPr>
    </w:p>
    <w:p>
      <w:pPr>
        <w:jc w:val="both"/>
        <w:ind w:firstLine="384"/>
        <w:spacing w:after="0" w:line="271" w:lineRule="auto"/>
        <w:rPr>
          <w:sz w:val="20"/>
          <w:szCs w:val="20"/>
          <w:color w:val="auto"/>
        </w:rPr>
      </w:pPr>
      <w:r>
        <w:rPr>
          <w:rFonts w:ascii="Times New Roman" w:cs="Times New Roman" w:eastAsia="Times New Roman" w:hAnsi="Times New Roman"/>
          <w:sz w:val="17"/>
          <w:szCs w:val="17"/>
          <w:color w:val="auto"/>
        </w:rPr>
        <w:t xml:space="preserve">For more information about ex-TAC Gross Profit, Adjusted EBITDA and Non-GAAP Net Income, see </w:t>
      </w:r>
      <w:r>
        <w:rPr>
          <w:rFonts w:ascii="Times New Roman" w:cs="Times New Roman" w:eastAsia="Times New Roman" w:hAnsi="Times New Roman"/>
          <w:sz w:val="17"/>
          <w:szCs w:val="17"/>
          <w:i w:val="1"/>
          <w:iCs w:val="1"/>
          <w:color w:val="auto"/>
        </w:rPr>
        <w:t>“Operating and Financial Review and Prospects —Non-GAAP Financial Measures.”</w:t>
      </w:r>
    </w:p>
    <w:p>
      <w:pPr>
        <w:spacing w:after="0" w:line="156"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7"/>
          <w:szCs w:val="17"/>
          <w:color w:val="auto"/>
        </w:rPr>
        <w:t>For more information about ex-TAC Gross Profit, Adjusted EBITDA and Non-GAAP Net Income, see “</w:t>
      </w:r>
      <w:r>
        <w:rPr>
          <w:rFonts w:ascii="Times New Roman" w:cs="Times New Roman" w:eastAsia="Times New Roman" w:hAnsi="Times New Roman"/>
          <w:sz w:val="17"/>
          <w:szCs w:val="17"/>
          <w:i w:val="1"/>
          <w:iCs w:val="1"/>
          <w:color w:val="auto"/>
        </w:rPr>
        <w:t>Management’s Business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 Non-GAAP Financial Measures.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Accomplishments and Growth Initiatives</w:t>
      </w:r>
    </w:p>
    <w:p>
      <w:pPr>
        <w:spacing w:after="0" w:line="207" w:lineRule="exact"/>
        <w:rPr>
          <w:sz w:val="20"/>
          <w:szCs w:val="20"/>
          <w:color w:val="auto"/>
        </w:rPr>
      </w:pPr>
    </w:p>
    <w:p>
      <w:pPr>
        <w:jc w:val="both"/>
        <w:ind w:firstLine="299"/>
        <w:spacing w:after="0" w:line="256" w:lineRule="auto"/>
        <w:rPr>
          <w:sz w:val="20"/>
          <w:szCs w:val="20"/>
          <w:color w:val="auto"/>
        </w:rPr>
      </w:pPr>
      <w:r>
        <w:rPr>
          <w:rFonts w:ascii="Times New Roman" w:cs="Times New Roman" w:eastAsia="Times New Roman" w:hAnsi="Times New Roman"/>
          <w:sz w:val="17"/>
          <w:szCs w:val="17"/>
          <w:color w:val="auto"/>
        </w:rPr>
        <w:t>2023 was an investment year for Taboola’s growth. We successfully launched Maximize Conversions, our first offering in our AI-bidding technology suite that should significantly improve advertiser success and yield on our platform; successfully onboarded Yahoo’s global native supply onto the Taboola network; and launched technology that advances our eCommerce, Taboola News and Header Bidder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Developments and Growth Initiatives</w:t>
      </w:r>
    </w:p>
    <w:p>
      <w:pPr>
        <w:spacing w:after="0" w:line="207" w:lineRule="exact"/>
        <w:rPr>
          <w:sz w:val="20"/>
          <w:szCs w:val="20"/>
          <w:color w:val="auto"/>
        </w:rPr>
      </w:pPr>
    </w:p>
    <w:p>
      <w:pPr>
        <w:jc w:val="both"/>
        <w:ind w:firstLine="299"/>
        <w:spacing w:after="0" w:line="269" w:lineRule="auto"/>
        <w:rPr>
          <w:sz w:val="20"/>
          <w:szCs w:val="20"/>
          <w:color w:val="auto"/>
        </w:rPr>
      </w:pPr>
      <w:r>
        <w:rPr>
          <w:rFonts w:ascii="Times New Roman" w:cs="Times New Roman" w:eastAsia="Times New Roman" w:hAnsi="Times New Roman"/>
          <w:sz w:val="17"/>
          <w:szCs w:val="17"/>
          <w:color w:val="auto"/>
        </w:rPr>
        <w:t>Notable new and renewed publisher wins in 2023 included Gannett, Time, Nexstar Media, Barstool Sports, G/O Media, Cambium Media, Futura, Disney, Unidad Editorial, BBC, One India, The Print, Bangkok Post, A360 Media, Postmedia, NDTV, and Cox Media.</w:t>
      </w:r>
    </w:p>
    <w:p>
      <w:pPr>
        <w:spacing w:after="0" w:line="159" w:lineRule="exact"/>
        <w:rPr>
          <w:sz w:val="20"/>
          <w:szCs w:val="20"/>
          <w:color w:val="auto"/>
        </w:rPr>
      </w:pPr>
    </w:p>
    <w:p>
      <w:pPr>
        <w:jc w:val="both"/>
        <w:ind w:firstLine="299"/>
        <w:spacing w:after="0" w:line="273" w:lineRule="auto"/>
        <w:rPr>
          <w:sz w:val="20"/>
          <w:szCs w:val="20"/>
          <w:color w:val="auto"/>
        </w:rPr>
      </w:pPr>
      <w:r>
        <w:rPr>
          <w:rFonts w:ascii="Times New Roman" w:cs="Times New Roman" w:eastAsia="Times New Roman" w:hAnsi="Times New Roman"/>
          <w:sz w:val="16"/>
          <w:szCs w:val="16"/>
          <w:color w:val="auto"/>
        </w:rPr>
        <w:t>Taboola News had a spectacular growth year in 2023, where revenue grew to over $100 million. In Q3, we also rolled out a new partnership with realme, the world’s fastest-growing smartphone brand. Under the partnership, realme is using Taboola News to power recommendations within all devices for audiences in Europe, and Southeast Asia. In 2023, we introduced new features to our Generative AI technology, called Taboola Generative AI Admaker, which allows advertisers to edit existing creative automatically, instead of just creating images from scratch. As of now, around 30% of ad creatives from self service advertisers are made with our Gen AI.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and Trends Affecting our Performance</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believe that our performance and future success depend on several factors that present significant opportunities for us but also pose risks and challenges, including those discussed below and those referred to in Part I, Item 1A,</w:t>
      </w:r>
      <w:r>
        <w:rPr>
          <w:rFonts w:ascii="Times New Roman" w:cs="Times New Roman" w:eastAsia="Times New Roman" w:hAnsi="Times New Roman"/>
          <w:sz w:val="17"/>
          <w:szCs w:val="17"/>
          <w:i w:val="1"/>
          <w:iCs w:val="1"/>
          <w:color w:val="auto"/>
        </w:rPr>
        <w:t>“Risk Factors.”</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Macroeconomic Conditions</w:t>
      </w:r>
    </w:p>
    <w:p>
      <w:pPr>
        <w:spacing w:after="0" w:line="207" w:lineRule="exact"/>
        <w:rPr>
          <w:sz w:val="20"/>
          <w:szCs w:val="20"/>
          <w:color w:val="auto"/>
        </w:rPr>
      </w:pPr>
    </w:p>
    <w:p>
      <w:pPr>
        <w:jc w:val="both"/>
        <w:ind w:firstLine="373"/>
        <w:spacing w:after="0" w:line="250" w:lineRule="auto"/>
        <w:rPr>
          <w:sz w:val="20"/>
          <w:szCs w:val="20"/>
          <w:color w:val="auto"/>
        </w:rPr>
      </w:pPr>
      <w:r>
        <w:rPr>
          <w:rFonts w:ascii="Times New Roman" w:cs="Times New Roman" w:eastAsia="Times New Roman" w:hAnsi="Times New Roman"/>
          <w:sz w:val="17"/>
          <w:szCs w:val="17"/>
          <w:color w:val="auto"/>
        </w:rPr>
        <w:t>Global economic and geopolitical conditions have been increasingly volatile due to factors such as inflation, rising interest rates, supply chain disruptions and the wars in Israel and Ukraine. The economic uncertainty resulting from these factors negatively impacted advertising demand and our yields in 2022 in particular. Further, the impacts of inflation, which persisted throughout 2023, has increased the costs of equipment and labor needed to operate our business. These factors negatively impacted our business in 2022 and 2023, leading to a lower revenue and Adjusted EBITDA run rate entering 2024. These factors appear to have stabilized in 2023 and we do not currently project additional impact from them in 2024, though we continue to monitor macroeconomic conditions closely.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Maintaining and Growing Our Digital Property Partners</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12,000, 15,000 and 16,000 digital property partners in the fourth quarter of 2023, 2022 and 2021, respectively. In 2023,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10% from Q4 2021 to Q4 2023, demonstrating that the decrease in the number of digital property partners in our network was driven by smaller digital property partners and more than offset by the addition of larger digital property partners.</w:t>
      </w:r>
    </w:p>
    <w:p>
      <w:pPr>
        <w:spacing w:after="0" w:line="180"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Growing Our Advertiser Client Base</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have a large network of Advertisers, across multiple verticals. We had approximately 17,000, 18,000 and 15,000 Advertiser clients working with us directly, or through advertising agencies, worldwide during the fourth quarters of 2023, 2022 and 2021, respectively. The decline from 2022 to 2023 was primarily driven by a channel partner that had a large number of small advertisers that they reduced in 2023.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Improving Network Yield</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and Research &amp; Development</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Managing Seasonality</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Privacy Trends and Government Regulation</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and Operating Metrics</w:t>
      </w:r>
    </w:p>
    <w:p>
      <w:pPr>
        <w:spacing w:after="0" w:line="207" w:lineRule="exact"/>
        <w:rPr>
          <w:sz w:val="20"/>
          <w:szCs w:val="20"/>
          <w:color w:val="auto"/>
        </w:rPr>
      </w:pPr>
    </w:p>
    <w:p>
      <w:pPr>
        <w:ind w:firstLine="332"/>
        <w:spacing w:after="0" w:line="269" w:lineRule="auto"/>
        <w:rPr>
          <w:sz w:val="20"/>
          <w:szCs w:val="20"/>
          <w:color w:val="auto"/>
        </w:rPr>
      </w:pPr>
      <w:r>
        <w:rPr>
          <w:rFonts w:ascii="Times New Roman" w:cs="Times New Roman" w:eastAsia="Times New Roman" w:hAnsi="Times New Roman"/>
          <w:sz w:val="17"/>
          <w:szCs w:val="17"/>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4"/>
        </w:trPr>
        <w:tc>
          <w:tcPr>
            <w:tcW w:w="5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4"/>
        </w:trPr>
        <w:tc>
          <w:tcPr>
            <w:tcW w:w="5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7"/>
                <w:szCs w:val="17"/>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1,439,685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1,401,150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1,378,458</w:t>
            </w:r>
          </w:p>
        </w:tc>
        <w:tc>
          <w:tcPr>
            <w:tcW w:w="200" w:type="dxa"/>
            <w:vAlign w:val="bottom"/>
            <w:shd w:val="clear" w:color="auto" w:fill="CCEEFF"/>
          </w:tcPr>
          <w:p>
            <w:pPr>
              <w:spacing w:after="0"/>
              <w:rPr>
                <w:sz w:val="17"/>
                <w:szCs w:val="17"/>
                <w:color w:val="auto"/>
              </w:rPr>
            </w:pP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425,558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464,253</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441,071</w:t>
            </w: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7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(82,040)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(11,975)</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(24,948)</w:t>
            </w: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EPS diluted (1)</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(0.05)</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(0.26)</w:t>
            </w: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net loss to gross profit</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Cash flow provided by operating activities</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84,373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53,484</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63,521</w:t>
            </w: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short-term deposits and investments</w:t>
            </w:r>
          </w:p>
        </w:tc>
        <w:tc>
          <w:tcPr>
            <w:tcW w:w="17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181,833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262,807</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319,319</w:t>
            </w:r>
          </w:p>
        </w:tc>
      </w:tr>
      <w:tr>
        <w:trPr>
          <w:trHeight w:val="199"/>
        </w:trPr>
        <w:tc>
          <w:tcPr>
            <w:tcW w:w="5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Non-GAAP Financial Data (2)</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535,819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569,642</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518,863</w:t>
            </w: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7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98,677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156,676</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179,464</w:t>
            </w: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Non-GAAP Net Income (3)</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32,580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91,382</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113,586</w:t>
            </w: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Adjusted EBITDA to ex-TAC Gross Profit</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Free Cash Flow</w:t>
            </w:r>
          </w:p>
        </w:tc>
        <w:tc>
          <w:tcPr>
            <w:tcW w:w="17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18,570</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562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345" w:lineRule="exact"/>
        <w:rPr>
          <w:sz w:val="20"/>
          <w:szCs w:val="20"/>
          <w:color w:val="auto"/>
        </w:rPr>
      </w:pPr>
    </w:p>
    <w:p>
      <w:pPr>
        <w:ind w:left="520" w:hanging="371"/>
        <w:spacing w:after="0" w:line="254"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shares used in the computation of the diluted EPS for the year ended December 31, 2023 includes 45,198,702 Non-voting Ordinary shares.</w:t>
      </w:r>
    </w:p>
    <w:p>
      <w:pPr>
        <w:spacing w:after="0" w:line="1"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“Non-GAAP Financial Measures” below for an explanation and reconciliation to GAAP metrics.</w:t>
      </w:r>
    </w:p>
    <w:p>
      <w:pPr>
        <w:spacing w:after="0" w:line="3"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 ended December 31, 2021 has been adjusted to include the impact of foreign currency exchange rates to be consistent with current period presentation.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174"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31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ex-TAC Gross Profit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calculate ex-TAC Gross Profit as gross profit adjusted to add back other cost of revenues.</w:t>
      </w:r>
    </w:p>
    <w:p>
      <w:pPr>
        <w:spacing w:after="0" w:line="203"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Limitations on the use of ex-TAC Gross Profit include the following:</w:t>
      </w:r>
    </w:p>
    <w:p>
      <w:pPr>
        <w:spacing w:after="0" w:line="203" w:lineRule="exact"/>
        <w:rPr>
          <w:sz w:val="20"/>
          <w:szCs w:val="20"/>
          <w:color w:val="auto"/>
        </w:rPr>
      </w:pPr>
    </w:p>
    <w:p>
      <w:pPr>
        <w:ind w:left="600" w:hanging="302"/>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Traffic acquisition cost is a significant component of our cost of revenues but is not the only component; and</w:t>
      </w:r>
    </w:p>
    <w:p>
      <w:pPr>
        <w:spacing w:after="0" w:line="20" w:lineRule="exact"/>
        <w:rPr>
          <w:rFonts w:ascii="Times New Roman" w:cs="Times New Roman" w:eastAsia="Times New Roman" w:hAnsi="Times New Roman"/>
          <w:sz w:val="17"/>
          <w:szCs w:val="17"/>
          <w:color w:val="auto"/>
        </w:rPr>
      </w:pPr>
    </w:p>
    <w:p>
      <w:pPr>
        <w:ind w:left="600" w:hanging="302"/>
        <w:spacing w:after="0" w:line="248"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ex-TAC Gross Profit is not comparable to our gross profit and by definition ex-TAC Gross Profit presented for any period will be higher than our gross profit for that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revenues and gross profit to ex-TAC Gross Profit: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0"/>
              </w:rPr>
              <w:t>(dollars 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1,439,685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1,401,150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1,378,458</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Traffic acquisition cost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903,866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831,508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859,595</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cost of revenues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110,261</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105,389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464,253</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441,071</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back: Other cost of revenues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110,261</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105,389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569,642</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518,863</w:t>
            </w:r>
          </w:p>
        </w:tc>
      </w:tr>
      <w:tr>
        <w:trPr>
          <w:trHeight w:val="25"/>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Ratio of Adjusted EBITDA to ex-TAC Gross Profit</w:t>
      </w:r>
    </w:p>
    <w:p>
      <w:pPr>
        <w:spacing w:after="0" w:line="207"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spacing w:after="0" w:line="171"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Limitations on the use of Adjusted EBITDA include the following:</w:t>
      </w:r>
    </w:p>
    <w:p>
      <w:pPr>
        <w:spacing w:after="0" w:line="203" w:lineRule="exact"/>
        <w:rPr>
          <w:sz w:val="20"/>
          <w:szCs w:val="20"/>
          <w:color w:val="auto"/>
        </w:rPr>
      </w:pPr>
    </w:p>
    <w:p>
      <w:pPr>
        <w:ind w:left="600" w:hanging="302"/>
        <w:spacing w:after="0" w:line="269"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600" w:hanging="302"/>
        <w:spacing w:after="0" w:line="25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excludes share-based compensation expense, which has been, and will continue to be for the foreseeable future, a significant recurring expense for our business and an important part of our compensation strategy;</w:t>
      </w:r>
    </w:p>
    <w:p>
      <w:pPr>
        <w:spacing w:after="0" w:line="1" w:lineRule="exact"/>
        <w:rPr>
          <w:rFonts w:ascii="Times New Roman" w:cs="Times New Roman" w:eastAsia="Times New Roman" w:hAnsi="Times New Roman"/>
          <w:sz w:val="17"/>
          <w:szCs w:val="17"/>
          <w:color w:val="auto"/>
        </w:rPr>
      </w:pPr>
    </w:p>
    <w:p>
      <w:pPr>
        <w:jc w:val="both"/>
        <w:ind w:left="600" w:hanging="302"/>
        <w:spacing w:after="0" w:line="24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p>
      <w:pPr>
        <w:spacing w:after="0" w:line="1" w:lineRule="exact"/>
        <w:rPr>
          <w:rFonts w:ascii="Times New Roman" w:cs="Times New Roman" w:eastAsia="Times New Roman" w:hAnsi="Times New Roman"/>
          <w:sz w:val="17"/>
          <w:szCs w:val="17"/>
          <w:color w:val="auto"/>
        </w:rPr>
      </w:pPr>
    </w:p>
    <w:p>
      <w:pPr>
        <w:ind w:left="600" w:hanging="302"/>
        <w:spacing w:after="0" w:line="248"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net income (loss) to Adjusted EBITDA: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86"/>
              </w:rPr>
              <w:t>(dollars 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(11,975)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expenses,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(9,213)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(11,293)</w:t>
            </w: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7,523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22,976</w:t>
            </w: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91,221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53,111</w:t>
            </w: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 (1)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53,749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63,830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124,235</w:t>
            </w: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expenses (2)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3,383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Holdback compensation expenses (3)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3,722</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M&amp;A and other costs (4)</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98,677</w:t>
            </w:r>
          </w:p>
        </w:tc>
        <w:tc>
          <w:tcPr>
            <w:tcW w:w="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156,676</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179,464</w:t>
            </w:r>
          </w:p>
        </w:tc>
      </w:tr>
      <w:tr>
        <w:trPr>
          <w:trHeight w:val="25"/>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24968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6820" cy="15875"/>
                    </a:xfrm>
                    <a:prstGeom prst="rect">
                      <a:avLst/>
                    </a:prstGeom>
                    <a:noFill/>
                  </pic:spPr>
                </pic:pic>
              </a:graphicData>
            </a:graphic>
          </wp:anchor>
        </w:drawing>
      </w:r>
    </w:p>
    <w:p>
      <w:pPr>
        <w:spacing w:after="0" w:line="362" w:lineRule="exact"/>
        <w:rPr>
          <w:sz w:val="20"/>
          <w:szCs w:val="20"/>
          <w:color w:val="auto"/>
        </w:rPr>
      </w:pPr>
    </w:p>
    <w:p>
      <w:pPr>
        <w:ind w:left="520" w:hanging="371"/>
        <w:spacing w:after="0"/>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a substantial majority is share-based compensation expenses related to going public.</w:t>
      </w:r>
    </w:p>
    <w:p>
      <w:pPr>
        <w:spacing w:after="0" w:line="20"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Company’s cost restructuring program implemented in September 2022.</w:t>
      </w:r>
    </w:p>
    <w:p>
      <w:pPr>
        <w:spacing w:after="0" w:line="3"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share-based compensation due to holdback of Ordinary shares issuable under compensatory arrangements relating to Connexity acquisition.</w:t>
      </w:r>
    </w:p>
    <w:p>
      <w:pPr>
        <w:spacing w:after="0" w:line="3" w:lineRule="exact"/>
        <w:rPr>
          <w:rFonts w:ascii="Times New Roman" w:cs="Times New Roman" w:eastAsia="Times New Roman" w:hAnsi="Times New Roman"/>
          <w:sz w:val="17"/>
          <w:szCs w:val="17"/>
          <w:color w:val="auto"/>
        </w:rPr>
      </w:pPr>
    </w:p>
    <w:p>
      <w:pPr>
        <w:ind w:left="520" w:hanging="371"/>
        <w:spacing w:after="0" w:line="248"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relates to the acquisition of ION Acquisition Corp. 1 Ltd., the acquisition of Connexity and going public, and for 2023, includes one-time costs related to the Commercial agreement.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calculate Ratio of Adjusted EBITDA to ex-TAC Gross Profit as Adjusted EBITDA divided by ex-TAC Gross Profit.</w:t>
      </w:r>
    </w:p>
    <w:p>
      <w:pPr>
        <w:spacing w:after="0" w:line="203" w:lineRule="exact"/>
        <w:rPr>
          <w:sz w:val="20"/>
          <w:szCs w:val="20"/>
          <w:color w:val="auto"/>
        </w:rPr>
      </w:pPr>
    </w:p>
    <w:p>
      <w:pPr>
        <w:ind w:firstLine="332"/>
        <w:spacing w:after="0" w:line="269" w:lineRule="auto"/>
        <w:rPr>
          <w:sz w:val="20"/>
          <w:szCs w:val="20"/>
          <w:color w:val="auto"/>
        </w:rPr>
      </w:pPr>
      <w:r>
        <w:rPr>
          <w:rFonts w:ascii="Times New Roman" w:cs="Times New Roman" w:eastAsia="Times New Roman" w:hAnsi="Times New Roman"/>
          <w:sz w:val="17"/>
          <w:szCs w:val="17"/>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31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ratio of net income (loss) to gross profit and Ratio of Adjusted EBITDA to ex-TAC Gross Profit: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4"/>
        </w:trPr>
        <w:tc>
          <w:tcPr>
            <w:tcW w:w="7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4"/>
        </w:trPr>
        <w:tc>
          <w:tcPr>
            <w:tcW w:w="7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7"/>
                <w:szCs w:val="17"/>
                <w:color w:val="auto"/>
              </w:rPr>
            </w:pPr>
          </w:p>
        </w:tc>
      </w:tr>
      <w:tr>
        <w:trPr>
          <w:trHeight w:val="199"/>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4"/>
              </w:rPr>
              <w:t>(dollars in thousands)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425,558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464,253</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441,071</w:t>
            </w:r>
          </w:p>
        </w:tc>
      </w:tr>
      <w:tr>
        <w:trPr>
          <w:trHeight w:val="199"/>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(82,040)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(11,975)</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(24,948)</w:t>
            </w:r>
          </w:p>
        </w:tc>
      </w:tr>
      <w:tr>
        <w:trPr>
          <w:trHeight w:val="19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net loss to gross profit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99"/>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535,819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569,642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518,863</w:t>
            </w:r>
          </w:p>
        </w:tc>
      </w:tr>
      <w:tr>
        <w:trPr>
          <w:trHeight w:val="19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98,677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156,676</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179,464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Ratio of Adjusted EBITDA margin to ex-TAC Gross Profit</w:t>
            </w:r>
          </w:p>
        </w:tc>
        <w:tc>
          <w:tcPr>
            <w:tcW w:w="240" w:type="dxa"/>
            <w:vAlign w:val="bottom"/>
          </w:tcPr>
          <w:p>
            <w:pPr>
              <w:spacing w:after="0"/>
              <w:rPr>
                <w:sz w:val="18"/>
                <w:szCs w:val="18"/>
                <w:color w:val="auto"/>
              </w:rPr>
            </w:pPr>
          </w:p>
        </w:tc>
        <w:tc>
          <w:tcPr>
            <w:tcW w:w="11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34.6%</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Net Income (Loss)</w:t>
      </w:r>
    </w:p>
    <w:p>
      <w:pPr>
        <w:spacing w:after="0" w:line="207" w:lineRule="exact"/>
        <w:rPr>
          <w:sz w:val="20"/>
          <w:szCs w:val="20"/>
          <w:color w:val="auto"/>
        </w:rPr>
      </w:pPr>
    </w:p>
    <w:p>
      <w:pPr>
        <w:jc w:val="both"/>
        <w:ind w:firstLine="299"/>
        <w:spacing w:after="0" w:line="256" w:lineRule="auto"/>
        <w:rPr>
          <w:sz w:val="20"/>
          <w:szCs w:val="20"/>
          <w:color w:val="auto"/>
        </w:rPr>
      </w:pPr>
      <w:r>
        <w:rPr>
          <w:rFonts w:ascii="Times New Roman" w:cs="Times New Roman" w:eastAsia="Times New Roman" w:hAnsi="Times New Roman"/>
          <w:sz w:val="17"/>
          <w:szCs w:val="17"/>
          <w:color w:val="auto"/>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Limitations on the use of Non-GAAP Net Income (Loss) include the following:</w:t>
      </w:r>
    </w:p>
    <w:p>
      <w:pPr>
        <w:spacing w:after="0" w:line="203" w:lineRule="exact"/>
        <w:rPr>
          <w:sz w:val="20"/>
          <w:szCs w:val="20"/>
          <w:color w:val="auto"/>
        </w:rPr>
      </w:pPr>
    </w:p>
    <w:p>
      <w:pPr>
        <w:ind w:left="600" w:hanging="302"/>
        <w:spacing w:after="0" w:line="269"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excludes share-based compensation expense, which has been, and will continue to be for the foreseeable future, a significant recurring expense for our business and an important part of our compensation strategy;</w:t>
      </w:r>
    </w:p>
    <w:p>
      <w:pPr>
        <w:spacing w:after="0" w:line="159" w:lineRule="exact"/>
        <w:rPr>
          <w:rFonts w:ascii="Times New Roman" w:cs="Times New Roman" w:eastAsia="Times New Roman" w:hAnsi="Times New Roman"/>
          <w:sz w:val="17"/>
          <w:szCs w:val="17"/>
          <w:color w:val="auto"/>
        </w:rPr>
      </w:pPr>
    </w:p>
    <w:p>
      <w:pPr>
        <w:ind w:left="600" w:hanging="302"/>
        <w:spacing w:after="0" w:line="269"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will generally be more favorable than our net income (loss) for the same period due to the nature of the items being excluded from its calculation; and</w:t>
      </w:r>
    </w:p>
    <w:p>
      <w:pPr>
        <w:spacing w:after="0" w:line="159"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is a performance measure and should not be used as a measure of liquidity.</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8800" w:type="dxa"/>
            <w:vAlign w:val="bottom"/>
            <w:gridSpan w:val="6"/>
          </w:tcPr>
          <w:p>
            <w:pPr>
              <w:ind w:left="340"/>
              <w:spacing w:after="0"/>
              <w:rPr>
                <w:sz w:val="20"/>
                <w:szCs w:val="20"/>
                <w:color w:val="auto"/>
              </w:rPr>
            </w:pPr>
            <w:r>
              <w:rPr>
                <w:rFonts w:ascii="Times New Roman" w:cs="Times New Roman" w:eastAsia="Times New Roman" w:hAnsi="Times New Roman"/>
                <w:sz w:val="17"/>
                <w:szCs w:val="17"/>
                <w:color w:val="auto"/>
                <w:w w:val="99"/>
              </w:rPr>
              <w:t>The following table provides a reconciliation of net income (loss) to Non-GAAP Net Income (Loss) for the periods shown*:</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9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9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9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0"/>
              </w:rPr>
              <w:t>(dollars 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w w:val="96"/>
              </w:rPr>
              <w:t>(82,040)</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(11,975)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r>
      <w:tr>
        <w:trPr>
          <w:trHeight w:val="19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240" w:type="dxa"/>
            <w:vAlign w:val="bottom"/>
          </w:tcPr>
          <w:p>
            <w:pPr>
              <w:spacing w:after="0"/>
              <w:rPr>
                <w:sz w:val="17"/>
                <w:szCs w:val="17"/>
                <w:color w:val="auto"/>
              </w:rPr>
            </w:pPr>
          </w:p>
        </w:tc>
        <w:tc>
          <w:tcPr>
            <w:tcW w:w="88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4"/>
              </w:rPr>
              <w:t>63,888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63,557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23,007</w:t>
            </w:r>
          </w:p>
        </w:tc>
      </w:tr>
      <w:tr>
        <w:trPr>
          <w:trHeight w:val="19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 expenses (1)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7"/>
                <w:szCs w:val="17"/>
                <w:color w:val="auto"/>
                <w:w w:val="94"/>
              </w:rPr>
              <w:t>53,749</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63,830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124,235</w:t>
            </w:r>
          </w:p>
        </w:tc>
      </w:tr>
      <w:tr>
        <w:trPr>
          <w:trHeight w:val="19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Restructuring expenses (2)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3,383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Holdback compensation expenses (3)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7"/>
                <w:szCs w:val="17"/>
                <w:color w:val="auto"/>
                <w:w w:val="94"/>
              </w:rPr>
              <w:t>10,582</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11,091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3,722</w:t>
            </w:r>
          </w:p>
        </w:tc>
      </w:tr>
      <w:tr>
        <w:trPr>
          <w:trHeight w:val="19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M&amp;A and other costs (4)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11,661</w:t>
            </w:r>
          </w:p>
        </w:tc>
        <w:tc>
          <w:tcPr>
            <w:tcW w:w="100" w:type="dxa"/>
            <w:vAlign w:val="bottom"/>
          </w:tcPr>
          <w:p>
            <w:pPr>
              <w:spacing w:after="0"/>
              <w:rPr>
                <w:sz w:val="17"/>
                <w:szCs w:val="17"/>
                <w:color w:val="auto"/>
              </w:rPr>
            </w:pPr>
          </w:p>
        </w:tc>
      </w:tr>
      <w:tr>
        <w:trPr>
          <w:trHeight w:val="19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Revaluation of Warrants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(24,471)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(22,656)</w:t>
            </w:r>
          </w:p>
        </w:tc>
      </w:tr>
      <w:tr>
        <w:trPr>
          <w:trHeight w:val="19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Foreign currency exchange rate losses (gains) (5)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(1,377)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4,625</w:t>
            </w:r>
          </w:p>
        </w:tc>
      </w:tr>
      <w:tr>
        <w:trPr>
          <w:trHeight w:val="19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effects (6)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w w:val="96"/>
              </w:rPr>
              <w:t>(13,597)</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(13,472)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(6,060)</w:t>
            </w:r>
          </w:p>
        </w:tc>
      </w:tr>
      <w:tr>
        <w:trPr>
          <w:trHeight w:val="25"/>
        </w:trPr>
        <w:tc>
          <w:tcPr>
            <w:tcW w:w="9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Non-GAAP Net Income</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4"/>
              </w:rPr>
              <w:t>32,580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91,382</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113,586</w:t>
            </w:r>
          </w:p>
        </w:tc>
      </w:tr>
      <w:tr>
        <w:trPr>
          <w:trHeight w:val="25"/>
        </w:trPr>
        <w:tc>
          <w:tcPr>
            <w:tcW w:w="9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249682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6820" cy="15875"/>
                    </a:xfrm>
                    <a:prstGeom prst="rect">
                      <a:avLst/>
                    </a:prstGeom>
                    <a:noFill/>
                  </pic:spPr>
                </pic:pic>
              </a:graphicData>
            </a:graphic>
          </wp:anchor>
        </w:drawing>
      </w:r>
    </w:p>
    <w:p>
      <w:pPr>
        <w:spacing w:after="0" w:line="362" w:lineRule="exact"/>
        <w:rPr>
          <w:sz w:val="20"/>
          <w:szCs w:val="20"/>
          <w:color w:val="auto"/>
        </w:rPr>
      </w:pPr>
    </w:p>
    <w:p>
      <w:pPr>
        <w:ind w:left="520" w:hanging="371"/>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a substantial majority is share-based compensation expenses related to going public.</w:t>
      </w:r>
    </w:p>
    <w:p>
      <w:pPr>
        <w:spacing w:after="0" w:line="20"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Company’s cost restructuring program implemented in September 2022.</w:t>
      </w:r>
    </w:p>
    <w:p>
      <w:pPr>
        <w:spacing w:after="0" w:line="3"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share-based compensation due to holdback of Ordinary shares issuable under compensatory arrangements relating to Connexity acquisition.</w:t>
      </w:r>
    </w:p>
    <w:p>
      <w:pPr>
        <w:spacing w:after="0" w:line="3" w:lineRule="exact"/>
        <w:rPr>
          <w:rFonts w:ascii="Times New Roman" w:cs="Times New Roman" w:eastAsia="Times New Roman" w:hAnsi="Times New Roman"/>
          <w:sz w:val="17"/>
          <w:szCs w:val="17"/>
          <w:color w:val="auto"/>
        </w:rPr>
      </w:pPr>
    </w:p>
    <w:p>
      <w:pPr>
        <w:ind w:left="520" w:hanging="371"/>
        <w:spacing w:after="0" w:line="244"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relates to the acquisition of ION Acquisition Corp. 1 Ltd., the acquisition of Connexity and going public, and for 2023, includes one-time costs related to the Commercial agreement.</w:t>
      </w:r>
    </w:p>
    <w:p>
      <w:pPr>
        <w:ind w:left="520" w:hanging="371"/>
        <w:spacing w:after="0" w:line="244"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foreign currency exchange rate gains or losses related to the remeasurement of monetary assets and liabilities to the Company’s functional currency using exchange rates in effect at the end of the reporting period.</w:t>
      </w:r>
    </w:p>
    <w:p>
      <w:pPr>
        <w:jc w:val="both"/>
        <w:ind w:left="520" w:hanging="371"/>
        <w:spacing w:after="0" w:line="246"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includes non recurring GAAP tax expense of $4.4 million related to voluntary utilization of an Israeli tax program which provided an incentive for Israeli companies to release certain previously tax-exempted earnings at a reduced tax rate. See Note 17 of Notes to the Consolidated Financial Statements in this Annual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spacing w:after="0" w:line="32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Limitations on the use of Free Cash Flow include the following:</w:t>
      </w:r>
    </w:p>
    <w:p>
      <w:pPr>
        <w:spacing w:after="0" w:line="203" w:lineRule="exact"/>
        <w:rPr>
          <w:sz w:val="20"/>
          <w:szCs w:val="20"/>
          <w:color w:val="auto"/>
        </w:rPr>
      </w:pPr>
    </w:p>
    <w:p>
      <w:pPr>
        <w:ind w:left="600" w:hanging="302"/>
        <w:spacing w:after="0" w:line="254"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should not be inferred that the entire Free Cash Flow amount is available for discretionary expenditures. For example, cash is still required to satisfy other working capital needs, including short-term investment policy, restricted cash, repayment of loan.</w:t>
      </w:r>
    </w:p>
    <w:p>
      <w:pPr>
        <w:spacing w:after="0" w:line="1" w:lineRule="exact"/>
        <w:rPr>
          <w:rFonts w:ascii="Times New Roman" w:cs="Times New Roman" w:eastAsia="Times New Roman" w:hAnsi="Times New Roman"/>
          <w:sz w:val="17"/>
          <w:szCs w:val="17"/>
          <w:color w:val="auto"/>
        </w:rPr>
      </w:pPr>
    </w:p>
    <w:p>
      <w:pPr>
        <w:ind w:left="600" w:hanging="302"/>
        <w:spacing w:after="0" w:line="244"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 has limitations as an analytical tool, and it should not be considered in isolation or as a substitute for analysis of other GAAP financial measures, such as net cash provided by operating activities; and</w:t>
      </w:r>
    </w:p>
    <w:p>
      <w:pPr>
        <w:ind w:left="600" w:hanging="302"/>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metric does not reflect our future contractual commitments.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net cash provided by operating activities to Free Cash Flow: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86"/>
              </w:rPr>
              <w:t>(dollars 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7"/>
                <w:szCs w:val="17"/>
                <w:color w:val="auto"/>
                <w:w w:val="94"/>
              </w:rPr>
              <w:t>84,373</w:t>
            </w: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53,484</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63,521</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and equipment, including capitalized internal-use software</w:t>
            </w:r>
          </w:p>
        </w:tc>
        <w:tc>
          <w:tcPr>
            <w:tcW w:w="240" w:type="dxa"/>
            <w:vAlign w:val="bottom"/>
          </w:tcPr>
          <w:p>
            <w:pPr>
              <w:spacing w:after="0"/>
              <w:rPr>
                <w:sz w:val="17"/>
                <w:szCs w:val="17"/>
                <w:color w:val="auto"/>
              </w:rPr>
            </w:pPr>
          </w:p>
        </w:tc>
        <w:tc>
          <w:tcPr>
            <w:tcW w:w="940" w:type="dxa"/>
            <w:vAlign w:val="bottom"/>
            <w:gridSpan w:val="2"/>
          </w:tcPr>
          <w:p>
            <w:pPr>
              <w:jc w:val="center"/>
              <w:ind w:left="297"/>
              <w:spacing w:after="0"/>
              <w:rPr>
                <w:sz w:val="20"/>
                <w:szCs w:val="20"/>
                <w:color w:val="auto"/>
              </w:rPr>
            </w:pPr>
            <w:r>
              <w:rPr>
                <w:rFonts w:ascii="Times New Roman" w:cs="Times New Roman" w:eastAsia="Times New Roman" w:hAnsi="Times New Roman"/>
                <w:sz w:val="17"/>
                <w:szCs w:val="17"/>
                <w:color w:val="auto"/>
                <w:w w:val="96"/>
              </w:rPr>
              <w:t>(32,133)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(34,914)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(39,070)</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 Cash Flow</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7"/>
                <w:szCs w:val="17"/>
                <w:color w:val="auto"/>
                <w:w w:val="94"/>
              </w:rPr>
              <w:t>52,240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24,451</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cost of revenue primarily includes traffic acquisition cost and also includes other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Traffic acquisition cost</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cost of revenues</w:t>
      </w:r>
    </w:p>
    <w:p>
      <w:pPr>
        <w:spacing w:after="0" w:line="207"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income (expenses), net</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statutory corporate tax rate in Israel was 23% for 2023, 2022 and 2021, although we are entitled to certain tax benefits under Israeli law. See Note 17 of Notes to the Consolidated Financial Statements in this Annual Report.</w:t>
      </w:r>
    </w:p>
    <w:p>
      <w:pPr>
        <w:spacing w:after="0" w:line="159" w:lineRule="exact"/>
        <w:rPr>
          <w:sz w:val="20"/>
          <w:szCs w:val="20"/>
          <w:color w:val="auto"/>
        </w:rPr>
      </w:pPr>
    </w:p>
    <w:p>
      <w:pPr>
        <w:jc w:val="both"/>
        <w:ind w:firstLine="373"/>
        <w:spacing w:after="0" w:line="269" w:lineRule="auto"/>
        <w:rPr>
          <w:sz w:val="20"/>
          <w:szCs w:val="20"/>
          <w:color w:val="auto"/>
        </w:rPr>
      </w:pPr>
      <w:r>
        <w:rPr>
          <w:rFonts w:ascii="Times New Roman" w:cs="Times New Roman" w:eastAsia="Times New Roman" w:hAnsi="Times New Roman"/>
          <w:sz w:val="17"/>
          <w:szCs w:val="17"/>
          <w:color w:val="auto"/>
        </w:rPr>
        <w:t>Pursuant to the Israeli Law for Encouragement of Capital Investments-1959 (the “Investments Law”) and its various amendments, under which we have been granted “Privileged Enterprise” status, we were granted a tax exemption status for the years 2018 and 2019.</w:t>
      </w:r>
    </w:p>
    <w:p>
      <w:pPr>
        <w:spacing w:after="0" w:line="159" w:lineRule="exact"/>
        <w:rPr>
          <w:sz w:val="20"/>
          <w:szCs w:val="20"/>
          <w:color w:val="auto"/>
        </w:rPr>
      </w:pPr>
    </w:p>
    <w:p>
      <w:pPr>
        <w:jc w:val="both"/>
        <w:ind w:firstLine="373"/>
        <w:spacing w:after="0" w:line="250" w:lineRule="auto"/>
        <w:rPr>
          <w:sz w:val="20"/>
          <w:szCs w:val="20"/>
          <w:color w:val="auto"/>
        </w:rPr>
      </w:pPr>
      <w:r>
        <w:rPr>
          <w:rFonts w:ascii="Times New Roman" w:cs="Times New Roman" w:eastAsia="Times New Roman" w:hAnsi="Times New Roman"/>
          <w:sz w:val="17"/>
          <w:szCs w:val="17"/>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76" w:lineRule="exact"/>
        <w:rPr>
          <w:sz w:val="20"/>
          <w:szCs w:val="20"/>
          <w:color w:val="auto"/>
        </w:rPr>
      </w:pPr>
    </w:p>
    <w:p>
      <w:pPr>
        <w:jc w:val="both"/>
        <w:ind w:firstLine="299"/>
        <w:spacing w:after="0" w:line="269" w:lineRule="auto"/>
        <w:rPr>
          <w:sz w:val="20"/>
          <w:szCs w:val="20"/>
          <w:color w:val="auto"/>
        </w:rPr>
      </w:pPr>
      <w:r>
        <w:rPr>
          <w:rFonts w:ascii="Times New Roman" w:cs="Times New Roman" w:eastAsia="Times New Roman" w:hAnsi="Times New Roman"/>
          <w:sz w:val="17"/>
          <w:szCs w:val="17"/>
          <w:color w:val="auto"/>
        </w:rPr>
        <w:t>In the fourth quarter of 2021, the Company utilized a special program initiated by the Israeli Tax Authority allowing Israeli companies to voluntarily release tax-exempted earnings at a reduced tax rate which resulted in GAAP tax expense of $4.4 million.</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As of December 31, 2023, we have an accumulated tax loss carry-forward of approximately $64.1 million in Israel and $1.5 million federal tax in the U.S. Those tax losses can be offset indefinitely. Non-Israeli subsidiaries are taxed according to the tax laws in their respective jurisdictions.</w:t>
      </w:r>
    </w:p>
    <w:p>
      <w:pPr>
        <w:spacing w:after="0" w:line="15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 following section discusses our financial condition and results of operations for the year ended December 31, 2023 compared to the year ended December 31, 2022. For a discussion of our financial condition and results of operations for the year ended December 31, 2022 compared to the year ended December 31, 2021, refer to Part II, Item 7,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in our Annual Report of Form 10-K for the fiscal year ended December 31, 2022, filed with the Securities and Exchange Commission on March 13, 2023.</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consolidated statements of loss data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4"/>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4"/>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4"/>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2023 vs 2022</w:t>
            </w:r>
          </w:p>
        </w:tc>
      </w:tr>
      <w:tr>
        <w:trPr>
          <w:trHeight w:val="204"/>
        </w:trPr>
        <w:tc>
          <w:tcPr>
            <w:tcW w:w="59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Traffic acquisition cost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831,508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72,358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Other cost of revenues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105,389</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5"/>
        </w:trPr>
        <w:tc>
          <w:tcPr>
            <w:tcW w:w="5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cost of 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936,897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77,230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5"/>
        </w:trPr>
        <w:tc>
          <w:tcPr>
            <w:tcW w:w="5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4"/>
        </w:trPr>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464,253</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(38,695)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129,276</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246,803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101,839</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5"/>
        </w:trPr>
        <w:tc>
          <w:tcPr>
            <w:tcW w:w="5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5"/>
        </w:trPr>
        <w:tc>
          <w:tcPr>
            <w:tcW w:w="5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(63,737)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(13,665)</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(50,072)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366.4%</w:t>
            </w: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(expenses), net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(12,804)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9,213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(22,017)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r>
      <w:tr>
        <w:trPr>
          <w:trHeight w:val="25"/>
        </w:trPr>
        <w:tc>
          <w:tcPr>
            <w:tcW w:w="5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 expenses</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(76,541)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(4,452)</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(72,089)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1619.2%</w:t>
            </w: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(7,523)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5"/>
        </w:trPr>
        <w:tc>
          <w:tcPr>
            <w:tcW w:w="5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4"/>
        </w:trPr>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(82,040)</w:t>
            </w:r>
          </w:p>
        </w:tc>
        <w:tc>
          <w:tcPr>
            <w:tcW w:w="46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(11,975)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(70,065)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585.1%</w:t>
            </w:r>
          </w:p>
        </w:tc>
      </w:tr>
      <w:tr>
        <w:trPr>
          <w:trHeight w:val="525"/>
        </w:trPr>
        <w:tc>
          <w:tcPr>
            <w:tcW w:w="5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40"/>
        </w:trPr>
        <w:tc>
          <w:tcPr>
            <w:tcW w:w="5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2023 and 2022</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Revenues increased by $38.5 million, or 2.8%, for the year ended December 31, 2023 compared to the year ended December 31, 2022. New digital property partners contributed approximately $221.6 million of new Revenues on a 12-month run rate basis calculated based on their first full month on the network. Existing digital property partners, including the growth of new digital property partners (beyond the revenue contribution determined based on the run-rate revenue generated by the partners when they are first on-boarded) decreased by approximately $183.0 million. This decrease was primarily driven by a decline in advertiser rates during 2022, partially mitigated by growth in our Taboola News and eCommerce businesses.</w:t>
      </w:r>
    </w:p>
    <w:p>
      <w:pPr>
        <w:spacing w:after="0" w:line="176"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Cost of revenues increased by $77.2 million, or 8.2%, for the year ended December 31, 2023 compared to the year ended December 31, 2022. Most of the increase in Cost of revenues was driven by Traffic acquisition cost, which increased by $72.4 million, or 8.7%, for the year ended December 31, 2023 compared to the year ended December 31, 2022. The cost of guarantees (total payments due under guarantee arrangements in excess of amounts the Company would otherwise be required to pay under revenue sharing arrangements) as a percentage of traffic acquisition costs were approximately 19% and 10% for the years ended December 31, 2023 and December 31, 2022,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Gross profit decreased by $38.7 million, or 8.3%, for the year ended December 31, 2023 compared to the year ended December 31, 2022.</w:t>
      </w:r>
    </w:p>
    <w:p>
      <w:pPr>
        <w:spacing w:after="0" w:line="203"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Ex-TAC Gross Profit, a non-GAAP measure, decreased by $33.8 million, or 5.9%, for the year ended December 31, 2023 compared to the year ended December 31, 2022, primarily due to a decrease in ex-TAC Gross Profit from existing digital property partners principally caused by yield compression that occurred in 2022. This was partially offset by ex-TAC Gross Profit from new digital property partners on a 12-month run rate basis.</w:t>
      </w:r>
    </w:p>
    <w:p>
      <w:pPr>
        <w:spacing w:after="0" w:line="171"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Other cost of revenues increased by $4.9 million, or 4.6%, for the year ended December 31, 2023 compared to the year ended December 31, 2022, primarily attributed to $5.7 million in depreciation and amortization expenses, an increase of $1.3 million in related to other data and information system costs, offset by $1.9 million in employee related cost.</w:t>
      </w:r>
    </w:p>
    <w:p>
      <w:pPr>
        <w:spacing w:after="0" w:line="171"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Research and development expenses increased by $7.0 million, or 5.4%, for the year ended December 31, 2023 compared to the year ended December 31, 2022, primarily attributable to an increase of $4.9 million in employee and subcontractors related costs and an increase of $2.2 million in servers and software related cost.</w:t>
      </w:r>
    </w:p>
    <w:p>
      <w:pPr>
        <w:spacing w:after="0" w:line="13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Sales and marketing expenses decreased by $0.5 million, or 0.2%, for the year ended December 31, 2023 compared to the year ended December 31, 2022. The decrease is mainly attributed to a decrease of $6.2 million in share-based compensation expenses, decrease of $2.5 million in sales and marketing events costs and a decrease of $1.5 million in professional fees, partially offset by an increase of $8.6 million in employee and subcontractors related costs and an increase of $2.1 million in travel and rent expenses.</w:t>
      </w:r>
    </w:p>
    <w:p>
      <w:pPr>
        <w:spacing w:after="0" w:line="174"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General and administrative expenses increased by $4.9 million, or 4.8%, for the year ended December 31, 2023 compared to the year ended December 31, 2022, primarily attributed to an increase of $4.9 million in employee and subcontractor related costs, an increase of $2.3 million in credit losses, offset by $3.0 million in legal consultants expenses related to regulatory matters and insurance expenses.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Finance income (expenses), net decreased by $22.0 million for the year ended December 31, 2023 compared to the year ended December 31, 2022, mainly attributable to $23.8 million Warrants liability devaluation, recorded in the year ended December 31, 2022, partially offset by a decrease of $2.3 million in interest expenses.</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Income (loss) before income taxes decreased by $72.1 million, for the year ended December 31, 2023 compared to the year ended December 31, 2022, as a result of the factors described above.</w:t>
      </w:r>
    </w:p>
    <w:p>
      <w:pPr>
        <w:spacing w:after="0" w:line="159" w:lineRule="exact"/>
        <w:rPr>
          <w:sz w:val="20"/>
          <w:szCs w:val="20"/>
          <w:color w:val="auto"/>
        </w:rPr>
      </w:pPr>
    </w:p>
    <w:p>
      <w:pPr>
        <w:ind w:right="40" w:firstLine="332"/>
        <w:spacing w:after="0" w:line="269" w:lineRule="auto"/>
        <w:rPr>
          <w:sz w:val="20"/>
          <w:szCs w:val="20"/>
          <w:color w:val="auto"/>
        </w:rPr>
      </w:pPr>
      <w:r>
        <w:rPr>
          <w:rFonts w:ascii="Times New Roman" w:cs="Times New Roman" w:eastAsia="Times New Roman" w:hAnsi="Times New Roman"/>
          <w:sz w:val="17"/>
          <w:szCs w:val="17"/>
          <w:color w:val="auto"/>
        </w:rPr>
        <w:t>Tax expense decreased by $2.0 million, or 26.9%, for the year ended December 31, 2023 compared to the year ended December 31, 2022 primarily attributed to the decrease on our current income tax expenses.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We generated cash from operations for the years ended December 31, 2023, 2022, and 2021 of $84.4 million, $53.5 million, and $63.5 million, respectively.</w:t>
      </w:r>
    </w:p>
    <w:p>
      <w:pPr>
        <w:spacing w:after="0" w:line="17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174"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As of December 31, 2023 and 2022, we had $181.8 million and $262.8 million of cash, cash equivalents and short-term investments, respectively, and $5.7 million and $4.8 million in short and long-term restricted deposits, respectively, used, mainly,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U.S. government treasuries, commercial paper, corporate debt securities, and U.S. agency bonds.</w:t>
      </w:r>
    </w:p>
    <w:p>
      <w:pPr>
        <w:spacing w:after="0" w:line="176"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176"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December 31, 2023, we had no outstanding borrowings under the Revolving Facility.</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In the years ended December 31, 2023 and 2022 we voluntarily prepaid the principal amount of debt outstanding under our long-term loan of $79.3 million and $61.3 million, respectively. We will consider the repurchase and retirement of additional debt based on, among other factors, our working capital and capital expenditures needs, liquidity position and possible alternative uses of cash.</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December 31, 2023, the remaining future principal payments related to our long-term loan, following the prepayment, were $152.7 million.</w:t>
      </w:r>
    </w:p>
    <w:p>
      <w:pPr>
        <w:spacing w:after="0" w:line="203"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In May 2023, our board of directors authorized a share buyback program for the repurchase of up to $40.0 million of the Company’s outstanding Ordinary shares, with no expiration date (the “Buyback Program”). In November 2023, our board of directors authorized up to an additional $40.0 million of buybacks under the Buyback Program.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may be discontinued, modified or suspended at any time.</w:t>
      </w:r>
    </w:p>
    <w:p>
      <w:pPr>
        <w:spacing w:after="0" w:line="17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 Buyback Program commenced in June 2023 and during the year ended December 31, 2023, we repurchased 15.2 million Ordinary shares at an average price of $3.62 per share (excluding broker and transaction fees of $0.4 million). As of December 31, 2023 the Company had remaining authorization to repurchase shares up to an aggregate amount of $24.9 million, which has been mostly utilized subsequent to the balance sheet date.</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Subsequent to December 31, 2023, in February 2024, our board of directors authorized up to $100.0 million for use under the Buyback Program, including any remaining authority from the November 2023 board of directors authorization, subject to obtaining any required Israeli court approvals.</w:t>
      </w:r>
    </w:p>
    <w:p>
      <w:pPr>
        <w:spacing w:after="0" w:line="159" w:lineRule="exact"/>
        <w:rPr>
          <w:sz w:val="20"/>
          <w:szCs w:val="20"/>
          <w:color w:val="auto"/>
        </w:rPr>
      </w:pPr>
    </w:p>
    <w:p>
      <w:pPr>
        <w:jc w:val="both"/>
        <w:ind w:firstLine="383"/>
        <w:spacing w:after="0" w:line="269" w:lineRule="auto"/>
        <w:rPr>
          <w:sz w:val="20"/>
          <w:szCs w:val="20"/>
          <w:color w:val="auto"/>
        </w:rPr>
      </w:pPr>
      <w:r>
        <w:rPr>
          <w:rFonts w:ascii="Times New Roman" w:cs="Times New Roman" w:eastAsia="Times New Roman" w:hAnsi="Times New Roman"/>
          <w:sz w:val="17"/>
          <w:szCs w:val="17"/>
          <w:color w:val="auto"/>
        </w:rPr>
        <w:t>See Part II, Item 5. Market for Registrant’s Common Equity, Related Stockholder Matters and Issuer Purchases of Equity Securities and Note 15 of Notes to the Consolidated Financial Statements in this Annual report.</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Our future capital requirements and the adequacy of available funds will depend on many factors, including the risks and uncertainties set forth under Part I, Item 1A, “Risk Factors.”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73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86"/>
              </w:rPr>
              <w:t>(dollars 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84,373</w:t>
            </w: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53,484</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63,521</w:t>
            </w: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59,640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(139,561)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(620,460)</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(62,873)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631,127</w:t>
            </w: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Exchange rate differences on balances of cash and cash equivalents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(4,476)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2,320</w:t>
            </w:r>
          </w:p>
        </w:tc>
        <w:tc>
          <w:tcPr>
            <w:tcW w:w="0" w:type="dxa"/>
            <w:vAlign w:val="bottom"/>
          </w:tcPr>
          <w:p>
            <w:pPr>
              <w:spacing w:after="0"/>
              <w:rPr>
                <w:sz w:val="1"/>
                <w:szCs w:val="1"/>
                <w:color w:val="auto"/>
              </w:rPr>
            </w:pP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(153,426)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76,508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7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2023, Net cash provided by operating activities of $84.4 million was related to our net loss of $82.0 million adjusted by positive adjustments of non-cash charges of $161.7 million and net cash inflows of $4.7 million provided by changes in working capital.</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$161.7 million of non-cash charges primarily consisted of depreciation and amortization of $96.5 million and share-based compensation expense related to vested equity awards of $64.3 million.</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 $4.7 million increase in cash resulting from changes in working capital primarily consisted of a $36.6 million increase in trade payables, $25.2 million increase in accrued expenses and other current liabilities and other long-term liabilities and $5.9 million decrease in prepaid expenses and other current assets and long-term prepaid expenses, partially offset by a $49.6 million increase in trade receivables, net and $15.5 million decrease in deferred taxes, net.</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Net cash provided by operating activities of $53.5 million was related to our net loss of $12.0 million adjusted by positive adjustments of non-cash charges of $147.5 million and net cash outflows of $82.0 million provided by changes in working capital.</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The $147.5 million of non-cash charges primarily consisted of depreciation and amortization of $91.2 million and share-based compensation expense related to vested equity awards of $74.9 million, partially offset by $24.5 million of Warrants liability devaluation.</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 $82.0 million decrease in cash resulting from changes in working capital primarily consisted of a $21.9 million decrease in accrued expenses and other current liabilities and other long-term liabilities, $17.3 million decrease in deferred taxes, net, $16.8 million decrease in trade payables, $11.2 million increase in trade receivables and $10.8 million increase in prepaid expenses and other current assets and long-term prepaid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07"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2023, Net cash provided by investing activities was $59.6 million, primarily consisting of $114.5 million proceeds from maturities of short-term investments, partially offset by $32.1 million purchase of property and equipment, including capitalized internal-use software and $22.0 million purchase of short-term investments.</w:t>
      </w:r>
    </w:p>
    <w:p>
      <w:pPr>
        <w:spacing w:after="0" w:line="171"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2022, Net cash used for investing activities was $139.6 million, primarily consisting of $126.4 million purchase of short-term investments, $34.9 million purchase of property and equipment, including capitalized internal-use software and $8.0 million cash paid in connection with acquisitions, net of cash acquired, partially offset by $29.6 million proceeds from maturities of short-term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2023, Net cash used in financing activities was $134.6 million, primarily consisting of $82.3 million repayment of our long-term loan and $55.5 million repurchase of Ordinary shares, partially offset by $7.0 million received from exercised options and vested RSUs.</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2022, Net cash used in financing activities was $62.9 million, primarily consisting of $64.3 million repayment of our long-term loan and $5.8 million payments of tax withholdings for share-based compensation expenses partially offset by $8.4 million received from exercised options and vested RSUs.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07" w:lineRule="exact"/>
        <w:rPr>
          <w:sz w:val="20"/>
          <w:szCs w:val="20"/>
          <w:color w:val="auto"/>
        </w:rPr>
      </w:pPr>
    </w:p>
    <w:p>
      <w:pPr>
        <w:ind w:firstLine="332"/>
        <w:spacing w:after="0" w:line="269" w:lineRule="auto"/>
        <w:rPr>
          <w:sz w:val="20"/>
          <w:szCs w:val="20"/>
          <w:color w:val="auto"/>
        </w:rPr>
      </w:pPr>
      <w:r>
        <w:rPr>
          <w:rFonts w:ascii="Times New Roman" w:cs="Times New Roman" w:eastAsia="Times New Roman" w:hAnsi="Times New Roman"/>
          <w:sz w:val="17"/>
          <w:szCs w:val="17"/>
          <w:color w:val="auto"/>
        </w:rPr>
        <w:t>The following table discloses aggregate information about material contractual obligations and the periods in which they are due as of December 31, 2023. Future events could cause actual payments to differ from these estimates.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Contractual Obligations by Period</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100" w:type="dxa"/>
            <w:vAlign w:val="bottom"/>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Obligations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3,000</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3,000</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140,735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 (1)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17,926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14,454</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10,164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5,613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8,264</w:t>
            </w: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Non-cancellable purchase obligations (2)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49,472</w:t>
            </w:r>
          </w:p>
        </w:tc>
        <w:tc>
          <w:tcPr>
            <w:tcW w:w="2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23,122</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18,654</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13,252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146,348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8,264</w:t>
            </w:r>
          </w:p>
        </w:tc>
      </w:tr>
      <w:tr>
        <w:trPr>
          <w:trHeight w:val="25"/>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178562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362" w:lineRule="exact"/>
        <w:rPr>
          <w:sz w:val="20"/>
          <w:szCs w:val="20"/>
          <w:color w:val="auto"/>
        </w:rPr>
      </w:pPr>
    </w:p>
    <w:p>
      <w:pPr>
        <w:ind w:left="520" w:hanging="371"/>
        <w:spacing w:after="0"/>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future minimum lease commitments under non-cancellable operating lease agreements.</w:t>
      </w:r>
    </w:p>
    <w:p>
      <w:pPr>
        <w:spacing w:after="0" w:line="20" w:lineRule="exact"/>
        <w:rPr>
          <w:rFonts w:ascii="Times New Roman" w:cs="Times New Roman" w:eastAsia="Times New Roman" w:hAnsi="Times New Roman"/>
          <w:sz w:val="17"/>
          <w:szCs w:val="17"/>
          <w:color w:val="auto"/>
        </w:rPr>
      </w:pPr>
    </w:p>
    <w:p>
      <w:pPr>
        <w:ind w:left="520" w:hanging="371"/>
        <w:spacing w:after="0"/>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represents non-cancellable amounts for contractual commitments in respect of software and information technology.</w:t>
      </w:r>
    </w:p>
    <w:p>
      <w:pPr>
        <w:spacing w:after="0" w:line="186"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December 31, 2023. As of December 31, 2023, we have a provision related to unrecognized tax benefit liabilities totaling $8.2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Commercial Commitments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See the section titled “Summary of Significant Accounting Policies” in Note 2 of Notes to the Consolidated Financial Statements in this Annual Report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74"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critical accounting policies are those that materially affect our consolidated financial statements and involve difficult, subjective or complex judgments by management. A thorough understanding of these critical accounting policies is essential when reviewing our consolidated financial statements. We believe that the critical accounting policies listed below involve the most difficult management decisions because they require the use of significant estimates and assumptions as described above.</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Please see Note 2 of Notes to the Consolidated Financial Statements included in this Annual Report for a summary of significant accounting policies and the effect on our financial statements.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recognize revenues when we transfer control of promised services directly to our customers, which we collectively refer to as our Advertisers, in an amount that reflects the consideration to which we expect to be entitled to in exchange for those services.</w:t>
      </w:r>
    </w:p>
    <w:p>
      <w:pPr>
        <w:spacing w:after="0" w:line="159"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The determination of whether revenue should be reported gross of amounts billed to Advertisers (gross basis) or net of payments to digital properties partners (net basis) requires significant judgment and is based on management assessment of whether we are acting as the principal or an agent in the transaction. In this assessment, we consider if we obtain control of the specified goods or services before they are transferred to the customer, as well as other indicators such as the party primarily responsible for fulfillment, inventory risk, and discretion in establishing price. The assessment of whether we are considered the principal or the agent in a transaction could impact our revenue and cost of revenue recognized on the consolidated statements of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Internal-Use Software Development Costs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Costs incurred to develop internal-use software are capitalized and amortized over the estimated useful life of the software, which is generally three years. In accordance with ASC 350-40, “Internal-Use Software”, capitalization of costs to develop internal-use software begins when preliminary development efforts are successfully completed, we have committed project funding and it is probable that the project will be completed, and the software will be used as intended. Costs related to the design or maintenance of internal-use software are expensed as incurred.</w:t>
      </w:r>
    </w:p>
    <w:p>
      <w:pPr>
        <w:spacing w:after="0" w:line="174"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We periodically review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136"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When events or changes in circumstances require, we assess the likelihood of recovering the cost of internal-use software. If the net book value is not expected to be fully recoverable, internal-use software would be impaired to its fair value. Measurement of any impairment loss is based on the excess of the carrying value of the asset over the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recognize the cost of share-based awards granted to employees and directors based on the estimated grant-date fair value of the awards. We elected to recognize share-based compensation costs on a straight-line method for awards subject to graded vesting based only on a service condition and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For additional information regarding share-based compensation and the assumptions used for determining the fair value of Share options awards, refer to Note 2 and Note 15 of Notes to the Consolidated Financial Statements in this Annual Report.</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Accounting for business combinations requires us to make significant estimates and assumptions in determining the fair values of assets acquired and liabilities assumed, especially with respect to intangible assets. Critical estimates in valuing the acquired intangible assets include, but are not limited to, the appropriate valuation methodology and the prospective financial information underlying the valuation, e.g., projected revenues, revenues growth rates, operating margins including the appropriate weighted-average cost of capital. Although we believe the assumptions and estimates we have made in the past have been reasonable and appropriate, they are based, in part, on historical experience and information obtained from management of the acquired companies and are inherently uncertain.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Goodwill represents the excess of the aggregate fair value of the consideration transferred in a business combination over the fair value of the assets acquired, net of liabilities assumed. We determine the estimated fair values of assets acquired and liabilities assumed after review and consideration of relevant information including discounted cash flows, quoted market prices, and estimates made by management.</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Goodwill is not amortized, but is subject to impairment testing. We test goodwill for impairment as of December 31 of each year, or more frequently if events or changes in circumstances indicate that this asset may be impaired.</w:t>
      </w:r>
    </w:p>
    <w:p>
      <w:pPr>
        <w:spacing w:after="0" w:line="159"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For the purposes of impairment testing, we have determined that we have one reporting unit. When performing the annual goodwill impairment testing, we either conduct a qualitative assessment to determine whether it is more likely than not that the asset is impaired, or we elect to bypass this qualitative assessment and perform a quantitative test for impairment. Under the qualitative assessment, we consider both positive and negative factors, including macroeconomic conditions, industry events, financial performance and other changes, and make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 If a quantitative analysis is necessary, we compare the fair value of our reporting unit to our carrying value. We determine the estimated fair value based on a different approach including income approach (discounted cash flows) and market approach (EV to EBITDA). Market approach and income approach are common measures used to value businesses in our industry. 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178"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We assess the recoverability of our long-lived assets, whenever events or changes in circumstances indicate that their carrying value may not be recoverable, in accordance with ASC 360, “Property, Plant and Equipment”.</w:t>
      </w:r>
    </w:p>
    <w:p>
      <w:pPr>
        <w:spacing w:after="0" w:line="159"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Recoverability of a long-lived asset is measured by comparing the carrying value of the asset group to the projected undiscounted cash flows over their remaining lives. If the carrying value exceeds the projected undiscounted cash flows, an impairment loss is recognized. Impairment equals the amount by which the carrying value exceeds estimated fair value. An impairment loss is charged to consolidated statements of income (loss) in the period in which management determines such impairment.</w:t>
      </w:r>
    </w:p>
    <w:p>
      <w:pPr>
        <w:spacing w:after="0" w:line="32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The preparation of cash flow projections for use in any impairment indicators test or fair value analysis requires management to make critical estimates, judgments and assumptions with regards to estimated future cash flows, as they are, by their nature, subjective and actual results may differ materially from such estimates. Cash flow estimates are unpredictable and inherently uncertain, since they are based on the current regulatory, political and economic climates, recent operating information and projections. Such estimates could be negatively impacted by changes in federal, state or local regulations, economic downturns, competition, events affecting various forms of travel and access to our properties, and other factors. If our estimates of future cash flows are not met or if there are changes in significant assumptions and judgments used in the estimation process, we may have to record impairment charges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We are subject to income taxes in Israel, the U.S., and other foreign jurisdictions. Significant judgment is required in determining the provision for income taxes and income tax assets and liabilities, including evaluating uncertainties in the application of accounting principles and complex tax laws. We recognize and measure benefits for uncertain tax positions using a two-step approach. The first step is to determine whether it is more likely than not that a tax position will be sustained upon examination, including the resolution of any related appeals or litigation based on the technical merits of that position. The second step is to measure a tax position that meets the more-likely-than-not threshold to determine the amount of benefit to be recognized in the financial statements. We evaluate uncertain tax positions on a quarterly basis, based upon a number of factors, including changes in facts or circumstances, changes in tax law, correspondence with tax authorities during the course of audits, and effective settlement of audit issues.</w:t>
      </w:r>
    </w:p>
    <w:p>
      <w:pPr>
        <w:spacing w:after="0" w:line="17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Significant judgment is also required in determining any valuation allowance against deferred tax assets. In assessing whether it is more likely than not that some portion or all of the deferred tax assets will not be realized, we consider all available evidence, including projected future taxable income, tax planning strategies, and past operating results. In the event that we change our determination, we will adjust our valuation allowance with a corresponding impact to the provision for income taxes in the period in which such determination is made.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7A:QUANTITATIVE AND QUALITATIVE DISCLOSURES ABOUT MARKET RISK</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because of adverse changes in financial market prices and rates. Our market risk exposure is primarily a result of exposure resulting from potential changes in inflation, exchange rates or interest rates. We do not hold financial instruments for trading purposes. We are also subject to the credit risk of counterparties to our various commercial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07"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 10% increase or decrease of the NIS, Euro, British pound sterling, or the Japanese yen against the U.S. dollar would have impacted the consolidated statements of loss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Operating income (loss) impact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(dollars in thousands)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+10%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+10%</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7"/>
                <w:szCs w:val="17"/>
                <w:color w:val="auto"/>
              </w:rPr>
            </w:pPr>
          </w:p>
        </w:tc>
      </w:tr>
      <w:tr>
        <w:trPr>
          <w:trHeight w:val="19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NIS/USD</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7,542</w:t>
            </w:r>
          </w:p>
        </w:tc>
        <w:tc>
          <w:tcPr>
            <w:tcW w:w="100" w:type="dxa"/>
            <w:vAlign w:val="bottom"/>
            <w:shd w:val="clear" w:color="auto" w:fill="CCEEFF"/>
          </w:tcPr>
          <w:p>
            <w:pPr>
              <w:spacing w:after="0"/>
              <w:rPr>
                <w:sz w:val="17"/>
                <w:szCs w:val="17"/>
                <w:color w:val="auto"/>
              </w:rPr>
            </w:pPr>
          </w:p>
        </w:tc>
      </w:tr>
      <w:tr>
        <w:trPr>
          <w:trHeight w:val="199"/>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EUR/USD</w:t>
            </w:r>
          </w:p>
        </w:tc>
        <w:tc>
          <w:tcPr>
            <w:tcW w:w="15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923</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4,177</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(4,177)</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5,886</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(5,886)</w:t>
            </w:r>
          </w:p>
        </w:tc>
      </w:tr>
      <w:tr>
        <w:trPr>
          <w:trHeight w:val="19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GBP/USD</w:t>
            </w:r>
          </w:p>
        </w:tc>
        <w:tc>
          <w:tcPr>
            <w:tcW w:w="1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(663)</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(4,143)</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4,143</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(4,685)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4,685</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JPY/USD</w:t>
            </w:r>
          </w:p>
        </w:tc>
        <w:tc>
          <w:tcPr>
            <w:tcW w:w="15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997</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1,881</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(1,881)</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1,966</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(1,966)</w:t>
            </w:r>
          </w:p>
        </w:tc>
      </w:tr>
    </w:tbl>
    <w:p>
      <w:pPr>
        <w:spacing w:after="0" w:line="166"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spacing w:after="0" w:line="341"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Interest rate risk is the risk that the value or yield of fixed-income investments may decline if interest rates change.</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As of December 31, 2023, we had $152.7 million of outstanding borrowings under our long-term loan with a variable interest rate. See Liquidity and Capital Resources for information regarding our incremental revolving credit facility amendment.</w:t>
      </w:r>
    </w:p>
    <w:p>
      <w:pPr>
        <w:spacing w:after="0" w:line="15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07" w:lineRule="exact"/>
        <w:rPr>
          <w:sz w:val="20"/>
          <w:szCs w:val="20"/>
          <w:color w:val="auto"/>
        </w:rPr>
      </w:pPr>
    </w:p>
    <w:p>
      <w:pPr>
        <w:jc w:val="both"/>
        <w:ind w:firstLine="371"/>
        <w:spacing w:after="0" w:line="252"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0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during the years ended December 31, 2023, 2022 and 2021. We do not require collateral. Due to these factors, no additional credit risk beyond amounts provided for collection losses is believed by management to be probable in our accounts receivable. In addition, we try to reduce the credit exposures of our accounts receivable by credit limits and credit insurance for many of our customers. However, there can be no assurance that our efforts to identify potential credit risks will be successful.</w:t>
      </w:r>
    </w:p>
    <w:p>
      <w:pPr>
        <w:spacing w:after="0" w:line="176"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Our cash, cash equivalents and restricted deposits are invested in major banks mostly in the United States, United Kingdom and Israel. In the United States and United Kingdom, our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As of December 31, 2023, we maintained cash balances with U.S. and United Kingdom banks that significantly exceed FDIC and FSCS insurance limits and expect we will continue to do so. As of December 31, 2023, we have not experienced credit losses related to these balances. We regularly monitor bank financial strength and other factors in determining where to maintain cash deposits but may not be able to fully mitigate the risk of possible bank failures.</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Our short-term investments, which were $5.7 million as of December 31, 2023, are investments in marketable securities with high credit ratings as required by our investment policy and are not insured or guaranteed.</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171"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have provided a summary of our significant accounting policies, estimates and judgments in Note 2 of Notes to the Consolidated Financial Statements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40" w:type="dxa"/>
            <w:vAlign w:val="bottom"/>
            <w:gridSpan w:val="2"/>
          </w:tcPr>
          <w:p>
            <w:pPr>
              <w:ind w:left="114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880" w:type="dxa"/>
            <w:vAlign w:val="bottom"/>
          </w:tcPr>
          <w:p>
            <w:pPr>
              <w:spacing w:after="0"/>
              <w:rPr>
                <w:sz w:val="19"/>
                <w:szCs w:val="19"/>
                <w:color w:val="auto"/>
              </w:rPr>
            </w:pPr>
          </w:p>
        </w:tc>
      </w:tr>
      <w:tr>
        <w:trPr>
          <w:trHeight w:val="403"/>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99"/>
        </w:trPr>
        <w:tc>
          <w:tcPr>
            <w:tcW w:w="2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 xml:space="preserve">Reports of Independent Registered Public Accounting Firm </w:t>
            </w:r>
            <w:r>
              <w:rPr>
                <w:rFonts w:ascii="Times New Roman" w:cs="Times New Roman" w:eastAsia="Times New Roman" w:hAnsi="Times New Roman"/>
                <w:sz w:val="17"/>
                <w:szCs w:val="17"/>
                <w:b w:val="1"/>
                <w:bCs w:val="1"/>
                <w:color w:val="000000"/>
              </w:rPr>
              <w:t>(PCAOB ID: 1281)</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83</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Consolidated Balance Sheets</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85</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Consolidated Statements of Loss</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86</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Consolidated Statements of Comprehensive Loss</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87</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Consolidated Statements of Convertible Preferred shares and Shareholders’ Equity</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88</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1036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rPr>
              <w:t>Consolidated Statements of Cash Flows</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89</w:t>
            </w:r>
          </w:p>
        </w:tc>
      </w:tr>
      <w:tr>
        <w:trPr>
          <w:trHeight w:val="199"/>
        </w:trPr>
        <w:tc>
          <w:tcPr>
            <w:tcW w:w="2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4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179"/>
        </w:trPr>
        <w:tc>
          <w:tcPr>
            <w:tcW w:w="3380" w:type="dxa"/>
            <w:vAlign w:val="bottom"/>
            <w:tcBorders>
              <w:bottom w:val="single" w:sz="8" w:color="0000EE"/>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0000EE"/>
                <w:w w:val="98"/>
              </w:rPr>
              <w:t>Notes to the Consolidated Financial Statements</w:t>
            </w:r>
          </w:p>
        </w:tc>
        <w:tc>
          <w:tcPr>
            <w:tcW w:w="6980" w:type="dxa"/>
            <w:vAlign w:val="bottom"/>
            <w:tcBorders>
              <w:bottom w:val="single" w:sz="8" w:color="CCEEFF"/>
            </w:tcBorders>
            <w:gridSpan w:val="4"/>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3"/>
              </w:rPr>
              <w:t>91</w:t>
            </w:r>
          </w:p>
        </w:tc>
      </w:tr>
      <w:tr>
        <w:trPr>
          <w:trHeight w:val="398"/>
        </w:trPr>
        <w:tc>
          <w:tcPr>
            <w:tcW w:w="10360" w:type="dxa"/>
            <w:vAlign w:val="bottom"/>
            <w:gridSpan w:val="8"/>
          </w:tcPr>
          <w:p>
            <w:pPr>
              <w:ind w:left="4820"/>
              <w:spacing w:after="0"/>
              <w:rPr>
                <w:sz w:val="20"/>
                <w:szCs w:val="20"/>
                <w:color w:val="auto"/>
              </w:rPr>
            </w:pPr>
            <w:r>
              <w:rPr>
                <w:rFonts w:ascii="Times New Roman" w:cs="Times New Roman" w:eastAsia="Times New Roman" w:hAnsi="Times New Roman"/>
                <w:sz w:val="17"/>
                <w:szCs w:val="17"/>
                <w:b w:val="1"/>
                <w:bCs w:val="1"/>
                <w:color w:val="auto"/>
              </w:rPr>
              <w:t>- - - - - - - - - - - - - - - - -</w:t>
            </w:r>
          </w:p>
        </w:tc>
        <w:tc>
          <w:tcPr>
            <w:tcW w:w="880" w:type="dxa"/>
            <w:vAlign w:val="bottom"/>
          </w:tcPr>
          <w:p>
            <w:pPr>
              <w:spacing w:after="0"/>
              <w:rPr>
                <w:sz w:val="24"/>
                <w:szCs w:val="24"/>
                <w:color w:val="auto"/>
              </w:rPr>
            </w:pPr>
          </w:p>
        </w:tc>
      </w:tr>
    </w:tbl>
    <w:p>
      <w:pPr>
        <w:spacing w:after="0" w:line="35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ectPr>
          <w:pgSz w:w="11900" w:h="16838" w:orient="portrait"/>
          <w:cols w:equalWidth="0" w:num="1">
            <w:col w:w="11240"/>
          </w:cols>
          <w:pgMar w:left="320" w:top="118" w:right="339" w:bottom="0" w:gutter="0" w:footer="0" w:header="0"/>
        </w:sectPr>
      </w:pPr>
    </w:p>
    <w:p>
      <w:pPr>
        <w:spacing w:after="0" w:line="15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58825" cy="8769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58825" cy="876935"/>
                    </a:xfrm>
                    <a:prstGeom prst="rect">
                      <a:avLst/>
                    </a:prstGeom>
                    <a:noFill/>
                  </pic:spPr>
                </pic:pic>
              </a:graphicData>
            </a:graphic>
          </wp:anchor>
        </w:drawing>
      </w:r>
    </w:p>
    <w:p>
      <w:pPr>
        <w:ind w:left="5760"/>
        <w:spacing w:after="0" w:line="221" w:lineRule="auto"/>
        <w:rPr>
          <w:sz w:val="20"/>
          <w:szCs w:val="20"/>
          <w:color w:val="auto"/>
        </w:rPr>
      </w:pPr>
      <w:r>
        <w:rPr>
          <w:rFonts w:ascii="Times New Roman" w:cs="Times New Roman" w:eastAsia="Times New Roman" w:hAnsi="Times New Roman"/>
          <w:sz w:val="13"/>
          <w:szCs w:val="13"/>
          <w:color w:val="auto"/>
        </w:rPr>
        <w:t>144 Menachem Begin Road, Building A,</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Tel-Aviv 6492102, Israel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+972-3-6232525</w:t>
      </w:r>
    </w:p>
    <w:p>
      <w:pPr>
        <w:spacing w:after="0" w:line="221" w:lineRule="auto"/>
        <w:rPr>
          <w:sz w:val="20"/>
          <w:szCs w:val="20"/>
          <w:color w:val="auto"/>
        </w:rPr>
      </w:pPr>
      <w:r>
        <w:rPr>
          <w:rFonts w:ascii="Times New Roman" w:cs="Times New Roman" w:eastAsia="Times New Roman" w:hAnsi="Times New Roman"/>
          <w:sz w:val="13"/>
          <w:szCs w:val="13"/>
          <w:color w:val="auto"/>
        </w:rPr>
        <w:t>Fax: +972-3-5622555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ey.com</w:t>
      </w:r>
    </w:p>
    <w:p>
      <w:pPr>
        <w:spacing w:after="0" w:line="200" w:lineRule="exact"/>
        <w:rPr>
          <w:sz w:val="20"/>
          <w:szCs w:val="20"/>
          <w:color w:val="auto"/>
        </w:rPr>
      </w:pPr>
    </w:p>
    <w:p>
      <w:pPr>
        <w:sectPr>
          <w:pgSz w:w="11900" w:h="16838" w:orient="portrait"/>
          <w:cols w:equalWidth="0" w:num="2">
            <w:col w:w="8000" w:space="720"/>
            <w:col w:w="2520"/>
          </w:cols>
          <w:pgMar w:left="320" w:top="11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Taboola.com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7" w:lineRule="exact"/>
        <w:rPr>
          <w:sz w:val="20"/>
          <w:szCs w:val="20"/>
          <w:color w:val="auto"/>
        </w:rPr>
      </w:pPr>
    </w:p>
    <w:p>
      <w:pPr>
        <w:jc w:val="both"/>
        <w:ind w:firstLine="531"/>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Taboola.com Ltd. (the “Company”) as of December 31, 2023 and 2022, the related consolidated statements of loss, comprehensive loss, convertible preferred shares and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76"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7" w:lineRule="exact"/>
        <w:rPr>
          <w:sz w:val="20"/>
          <w:szCs w:val="20"/>
          <w:color w:val="auto"/>
        </w:rPr>
      </w:pPr>
    </w:p>
    <w:p>
      <w:pPr>
        <w:jc w:val="both"/>
        <w:ind w:firstLine="415"/>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415"/>
        <w:spacing w:after="0" w:line="24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7" w:lineRule="exact"/>
        <w:rPr>
          <w:sz w:val="20"/>
          <w:szCs w:val="20"/>
          <w:color w:val="auto"/>
        </w:rPr>
      </w:pPr>
    </w:p>
    <w:p>
      <w:pPr>
        <w:jc w:val="both"/>
        <w:ind w:firstLine="415"/>
        <w:spacing w:after="0" w:line="25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i w:val="1"/>
          <w:iCs w:val="1"/>
          <w:color w:val="auto"/>
        </w:rPr>
        <w:t>Revenue Recognition-principle versus agent</w:t>
      </w:r>
    </w:p>
    <w:p>
      <w:pPr>
        <w:sectPr>
          <w:pgSz w:w="11900" w:h="16838" w:orient="portrait"/>
          <w:cols w:equalWidth="0" w:num="1">
            <w:col w:w="11240"/>
          </w:cols>
          <w:pgMar w:left="320" w:top="118" w:right="33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As described in Note 2 to the consolidated financial statements, the Company follows the guidance provided in ASC 606, </w:t>
      </w:r>
      <w:r>
        <w:rPr>
          <w:rFonts w:ascii="Times New Roman" w:cs="Times New Roman" w:eastAsia="Times New Roman" w:hAnsi="Times New Roman"/>
          <w:sz w:val="16"/>
          <w:szCs w:val="16"/>
          <w:i w:val="1"/>
          <w:iCs w:val="1"/>
          <w:color w:val="auto"/>
        </w:rPr>
        <w:t>Revenue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Contracts with Customers</w:t>
      </w:r>
      <w:r>
        <w:rPr>
          <w:rFonts w:ascii="Times New Roman" w:cs="Times New Roman" w:eastAsia="Times New Roman" w:hAnsi="Times New Roman"/>
          <w:sz w:val="16"/>
          <w:szCs w:val="16"/>
          <w:color w:val="auto"/>
        </w:rPr>
        <w:t>, for determining whether the Company is the principal or an agent in arrangements with its customers.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depends on the facts and circumstances of each arrangement and, in some instances, involves significant judgment. The Company has determined that it acts as principal in the majority of its arrangements because it has the ability to control and direct the specified ad placements before they are transferred to the customers. The Company further concluded that (i) it is primarily responsible for fulfilling the promise to provide the service in the arrangement; and (ii) it has latitude in establishing the contract price with the advertisers. In addition, the Company has inventory risk on a portion of its multi-year agreement with digital properties. For those revenue arrangements where the Company acts as an agent, revenues are recognized on a net basis.</w:t>
      </w:r>
    </w:p>
    <w:p>
      <w:pPr>
        <w:spacing w:after="0" w:line="163" w:lineRule="exact"/>
        <w:rPr>
          <w:sz w:val="20"/>
          <w:szCs w:val="20"/>
          <w:color w:val="auto"/>
        </w:rPr>
      </w:pPr>
    </w:p>
    <w:p>
      <w:pPr>
        <w:sectPr>
          <w:pgSz w:w="11900" w:h="16838" w:orient="portrait"/>
          <w:cols w:equalWidth="0" w:num="2">
            <w:col w:w="1700" w:space="420"/>
            <w:col w:w="9120"/>
          </w:cols>
          <w:pgMar w:left="320" w:top="118" w:right="339" w:bottom="0" w:gutter="0" w:footer="0" w:header="0"/>
          <w:type w:val="continuous"/>
        </w:sectPr>
      </w:pPr>
    </w:p>
    <w:p>
      <w:pPr>
        <w:jc w:val="both"/>
        <w:ind w:left="2120"/>
        <w:spacing w:after="0" w:line="252" w:lineRule="auto"/>
        <w:rPr>
          <w:sz w:val="20"/>
          <w:szCs w:val="20"/>
          <w:color w:val="auto"/>
        </w:rPr>
      </w:pPr>
      <w:r>
        <w:rPr>
          <w:rFonts w:ascii="Times New Roman" w:cs="Times New Roman" w:eastAsia="Times New Roman" w:hAnsi="Times New Roman"/>
          <w:sz w:val="17"/>
          <w:szCs w:val="17"/>
          <w:color w:val="auto"/>
        </w:rPr>
        <w:t>Auditing the Company’s determination of whether revenue should be reported gross of amounts billed to advertisers (gross basis) or net of payments to digital properties partners (net basis) requires a high degree of auditor judgment due to the subjectivity in determining whether the Company is principal in its arrangements. These judgments have a significant impact on the presentation and disclosure of the Company’s revenue in its financial statements.</w:t>
      </w:r>
    </w:p>
    <w:p>
      <w:pPr>
        <w:sectPr>
          <w:pgSz w:w="11900" w:h="16838" w:orient="portrait"/>
          <w:cols w:equalWidth="0" w:num="1">
            <w:col w:w="11240"/>
          </w:cols>
          <w:pgMar w:left="320" w:top="118" w:right="339" w:bottom="0" w:gutter="0" w:footer="0" w:header="0"/>
          <w:type w:val="continuous"/>
        </w:sectPr>
      </w:pPr>
    </w:p>
    <w:p>
      <w:pPr>
        <w:spacing w:after="0" w:line="172"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audit procedures related to the Company’s revenue transactions included, among others, testing the design and operating effectiveness of management’s controls over the determination of principal versus agent recognition in its arrangements with advertisers and digital properties vendors for traffic acquisition, evaluating the Company’s assessment of the indicators of control over the promised service, which included determining whether the Company was primarily responsible for fulfilling the promised service, has discretion in establishing pricing and has inventory risk on a portion of its contracts with digital properties. We also reviewed on a sample basis, the arrangement terms, both with customers and digital properties vendors for traffic acquisition and assessed the impact of those terms and attributes on revenue presentation. In addition, we assessed the appropriateness of the related disclosures in the consolidated financial statements.</w:t>
      </w:r>
    </w:p>
    <w:p>
      <w:pPr>
        <w:spacing w:after="0" w:line="200" w:lineRule="exact"/>
        <w:rPr>
          <w:sz w:val="20"/>
          <w:szCs w:val="20"/>
          <w:color w:val="auto"/>
        </w:rPr>
      </w:pPr>
    </w:p>
    <w:p>
      <w:pPr>
        <w:sectPr>
          <w:pgSz w:w="11900" w:h="16838" w:orient="portrait"/>
          <w:cols w:equalWidth="0" w:num="2">
            <w:col w:w="1520" w:space="640"/>
            <w:col w:w="9080"/>
          </w:cols>
          <w:pgMar w:left="320" w:top="118" w:right="339" w:bottom="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Kost Forer Gabbay &amp; Kasierer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of EY Global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ectPr>
          <w:pgSz w:w="11900" w:h="16838" w:orient="portrait"/>
          <w:cols w:equalWidth="0" w:num="1">
            <w:col w:w="11240"/>
          </w:cols>
          <w:pgMar w:left="320" w:top="118" w:right="339" w:bottom="0" w:gutter="0" w:footer="0" w:header="0"/>
          <w:type w:val="continuous"/>
        </w:sectPr>
      </w:pPr>
    </w:p>
    <w:bookmarkStart w:id="84" w:name="page85"/>
    <w:bookmarkEnd w:id="84"/>
    <w:p>
      <w:pPr>
        <w:ind w:left="10000"/>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43815</wp:posOffset>
            </wp:positionV>
            <wp:extent cx="714311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120"/>
          </w:cols>
          <w:pgMar w:left="1440" w:top="1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ectPr>
          <w:pgSz w:w="11900" w:h="16838" w:orient="portrait"/>
          <w:cols w:equalWidth="0" w:num="1">
            <w:col w:w="11240"/>
          </w:cols>
          <w:pgMar w:left="320" w:top="118" w:right="339" w:bottom="1440" w:gutter="0" w:footer="0" w:header="0"/>
        </w:sectPr>
      </w:pPr>
    </w:p>
    <w:p>
      <w:pPr>
        <w:spacing w:after="0" w:line="15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58825" cy="8769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58825" cy="876935"/>
                    </a:xfrm>
                    <a:prstGeom prst="rect">
                      <a:avLst/>
                    </a:prstGeom>
                    <a:noFill/>
                  </pic:spPr>
                </pic:pic>
              </a:graphicData>
            </a:graphic>
          </wp:anchor>
        </w:drawing>
      </w:r>
    </w:p>
    <w:p>
      <w:pPr>
        <w:ind w:left="5760"/>
        <w:spacing w:after="0" w:line="221" w:lineRule="auto"/>
        <w:rPr>
          <w:sz w:val="20"/>
          <w:szCs w:val="20"/>
          <w:color w:val="auto"/>
        </w:rPr>
      </w:pPr>
      <w:r>
        <w:rPr>
          <w:rFonts w:ascii="Times New Roman" w:cs="Times New Roman" w:eastAsia="Times New Roman" w:hAnsi="Times New Roman"/>
          <w:sz w:val="13"/>
          <w:szCs w:val="13"/>
          <w:color w:val="auto"/>
        </w:rPr>
        <w:t>144 Menachem Begin Road, Building A,</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Tel-Aviv 6492102, Israel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+972-3-6232525</w:t>
      </w:r>
    </w:p>
    <w:p>
      <w:pPr>
        <w:spacing w:after="0" w:line="221" w:lineRule="auto"/>
        <w:rPr>
          <w:sz w:val="20"/>
          <w:szCs w:val="20"/>
          <w:color w:val="auto"/>
        </w:rPr>
      </w:pPr>
      <w:r>
        <w:rPr>
          <w:rFonts w:ascii="Times New Roman" w:cs="Times New Roman" w:eastAsia="Times New Roman" w:hAnsi="Times New Roman"/>
          <w:sz w:val="13"/>
          <w:szCs w:val="13"/>
          <w:color w:val="auto"/>
        </w:rPr>
        <w:t>Fax: +972-3-5622555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ey.com</w:t>
      </w:r>
    </w:p>
    <w:p>
      <w:pPr>
        <w:spacing w:after="0" w:line="200" w:lineRule="exact"/>
        <w:rPr>
          <w:sz w:val="20"/>
          <w:szCs w:val="20"/>
          <w:color w:val="auto"/>
        </w:rPr>
      </w:pPr>
    </w:p>
    <w:p>
      <w:pPr>
        <w:sectPr>
          <w:pgSz w:w="11900" w:h="16838" w:orient="portrait"/>
          <w:cols w:equalWidth="0" w:num="2">
            <w:col w:w="8000" w:space="720"/>
            <w:col w:w="25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Taboola.com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07" w:lineRule="exact"/>
        <w:rPr>
          <w:sz w:val="20"/>
          <w:szCs w:val="20"/>
          <w:color w:val="auto"/>
        </w:rPr>
      </w:pPr>
    </w:p>
    <w:p>
      <w:pPr>
        <w:jc w:val="both"/>
        <w:ind w:firstLine="614"/>
        <w:spacing w:after="0" w:line="252" w:lineRule="auto"/>
        <w:rPr>
          <w:sz w:val="20"/>
          <w:szCs w:val="20"/>
          <w:color w:val="auto"/>
        </w:rPr>
      </w:pPr>
      <w:r>
        <w:rPr>
          <w:rFonts w:ascii="Times New Roman" w:cs="Times New Roman" w:eastAsia="Times New Roman" w:hAnsi="Times New Roman"/>
          <w:sz w:val="17"/>
          <w:szCs w:val="17"/>
          <w:color w:val="auto"/>
        </w:rPr>
        <w:t>We have audited Taboola.com Ltd’s. internal control over financial reporting as of December 31, 2023, based on criteria established in Internal Control— Integrated Framework issued by the Committee of Sponsoring Organizations of the Treadway Commission (2013 framework), (the COSO criteria). In our opinion, Taboola.com Ltd. (the “Company”) maintained, in all material respects, effective internal control over financial reporting as of December 31, 2023, based on the COSO criteria.</w:t>
      </w:r>
    </w:p>
    <w:p>
      <w:pPr>
        <w:spacing w:after="0" w:line="174" w:lineRule="exact"/>
        <w:rPr>
          <w:sz w:val="20"/>
          <w:szCs w:val="20"/>
          <w:color w:val="auto"/>
        </w:rPr>
      </w:pPr>
    </w:p>
    <w:p>
      <w:pPr>
        <w:jc w:val="both"/>
        <w:ind w:firstLine="660"/>
        <w:spacing w:after="0" w:line="25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loss, comprehensive loss, convertible preferred shares and shareholders’ equity and cash flows for each of the three years in the period ended December 31, 2023, and the related notes and our report dated February 28, 2024, expressed an unqualified opinion thereon.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7" w:lineRule="exact"/>
        <w:rPr>
          <w:sz w:val="20"/>
          <w:szCs w:val="20"/>
          <w:color w:val="auto"/>
        </w:rPr>
      </w:pPr>
    </w:p>
    <w:p>
      <w:pPr>
        <w:jc w:val="both"/>
        <w:ind w:firstLine="651"/>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firstLine="601"/>
        <w:spacing w:after="0" w:line="269"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9"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07" w:lineRule="exact"/>
        <w:rPr>
          <w:sz w:val="20"/>
          <w:szCs w:val="20"/>
          <w:color w:val="auto"/>
        </w:rPr>
      </w:pPr>
    </w:p>
    <w:p>
      <w:pPr>
        <w:jc w:val="both"/>
        <w:ind w:firstLine="439"/>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ind w:firstLine="654"/>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Kost Forer Gabbay &amp; Kasierer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of EY Global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179"/>
        </w:trPr>
        <w:tc>
          <w:tcPr>
            <w:tcW w:w="8680" w:type="dxa"/>
            <w:vAlign w:val="bottom"/>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165,893</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96,914</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deposits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r>
      <w:tr>
        <w:trPr>
          <w:trHeight w:val="183"/>
        </w:trPr>
        <w:tc>
          <w:tcPr>
            <w:tcW w:w="868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Trade receivables (net of allowance for credit losses of $10,207 and $6,748 as of December 31, 2023 and 2022, respectively)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(Note 19)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256,708</w:t>
            </w:r>
          </w:p>
        </w:tc>
      </w:tr>
      <w:tr>
        <w:trPr>
          <w:trHeight w:val="204"/>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69,865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559,412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593,908</w:t>
            </w: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prepaid expenses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39,602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42,945</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agreement asset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deposits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4,059</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assets,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3,821</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61,746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66,846</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72,155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73,019</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189,156</w:t>
            </w:r>
          </w:p>
        </w:tc>
      </w:tr>
      <w:tr>
        <w:trPr>
          <w:trHeight w:val="204"/>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555,931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 non-current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1,148,390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935,715</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1,707,802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payables (Note 19)</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247,504</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operating lease liabilities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20,264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14,753</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118,689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102,965</w:t>
            </w: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loan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423,965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loan, net of current maturities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223,049</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49,450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57,928</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Warrants liability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6,756</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14,815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34,133</w:t>
            </w:r>
          </w:p>
        </w:tc>
      </w:tr>
      <w:tr>
        <w:trPr>
          <w:trHeight w:val="204"/>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326,866</w:t>
            </w: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18)</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868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7"/>
                <w:szCs w:val="17"/>
                <w:color w:val="auto"/>
              </w:rPr>
              <w:t>Ordinary shares with no par value- Authorized: 700,000,000 as of December 31, 2023 and 2022; 295,670,620</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254,133,863 shares issued and outstanding as of December 31, 2023 and 2022,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83"/>
        </w:trPr>
        <w:tc>
          <w:tcPr>
            <w:tcW w:w="868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w w:val="99"/>
              </w:rPr>
              <w:t>Non-voting Ordinary shares with no par value- Authorized: 46,000,000 as of December 31, 2023 and 2022; 45,198,702 and 0</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issued and outstanding as of December 31, 2023 and 2022,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Ordinary shares, at cost - 15,240,471 and 0 shares as of December 31, 2023 and 2022, respectively</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(55,513)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1,262,093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903,789</w:t>
            </w:r>
          </w:p>
        </w:tc>
      </w:tr>
      <w:tr>
        <w:trPr>
          <w:trHeight w:val="19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(834)</w:t>
            </w: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(150,460)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(68,420)</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1,057,062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834,535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1,707,802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1,529,623</w:t>
            </w:r>
          </w:p>
        </w:tc>
        <w:tc>
          <w:tcPr>
            <w:tcW w:w="100" w:type="dxa"/>
            <w:vAlign w:val="bottom"/>
          </w:tcPr>
          <w:p>
            <w:pPr>
              <w:spacing w:after="0"/>
              <w:rPr>
                <w:sz w:val="17"/>
                <w:szCs w:val="17"/>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(Note 19)</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1,439,685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1,401,150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1,378,458</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Traffic acquisition cost (Note 19)</w:t>
            </w:r>
          </w:p>
        </w:tc>
        <w:tc>
          <w:tcPr>
            <w:tcW w:w="2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831,508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859,595</w:t>
            </w:r>
          </w:p>
        </w:tc>
      </w:tr>
      <w:tr>
        <w:trPr>
          <w:trHeight w:val="204"/>
        </w:trPr>
        <w:tc>
          <w:tcPr>
            <w:tcW w:w="7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cost of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105,389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77,792</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 cost of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936,897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937,387</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464,253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441,071</w:t>
            </w:r>
          </w:p>
        </w:tc>
      </w:tr>
      <w:tr>
        <w:trPr>
          <w:trHeight w:val="199"/>
        </w:trPr>
        <w:tc>
          <w:tcPr>
            <w:tcW w:w="73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129,276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117,933</w:t>
            </w:r>
          </w:p>
        </w:tc>
      </w:tr>
      <w:tr>
        <w:trPr>
          <w:trHeight w:val="199"/>
        </w:trPr>
        <w:tc>
          <w:tcPr>
            <w:tcW w:w="7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246,803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206,089</w:t>
            </w:r>
          </w:p>
        </w:tc>
      </w:tr>
      <w:tr>
        <w:trPr>
          <w:trHeight w:val="204"/>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101,839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130,314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489,295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454,336</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(63,737)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(13,665)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(13,265)</w:t>
            </w:r>
          </w:p>
        </w:tc>
      </w:tr>
      <w:tr>
        <w:trPr>
          <w:trHeight w:val="20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(expenses), net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9,213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 expenses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(76,541)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(4,452)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(1,972)</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(5,499)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(7,523)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(22,976)</w:t>
            </w: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(24,948)</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Undistributed earnings allocated to participating securities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(11,944)</w:t>
            </w:r>
          </w:p>
        </w:tc>
      </w:tr>
      <w:tr>
        <w:trPr>
          <w:trHeight w:val="25"/>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Ordinary and Non-voting Ordinary shares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(82,040)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(11,975)</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(36,892)</w:t>
            </w: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attributable to Ordinary and Non-voting Ordinary shareholders, basic and diluted</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(0.26)</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(82,040)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(11,975)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gains (losses) on available-for-sale marketable securities,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gains (losses) on derivative instruments,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(80,264)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(12,809)</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r>
      <w:tr>
        <w:trPr>
          <w:trHeight w:val="25"/>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ind w:right="2980"/>
        <w:spacing w:after="0" w:line="304" w:lineRule="auto"/>
        <w:rPr>
          <w:sz w:val="20"/>
          <w:szCs w:val="20"/>
          <w:color w:val="auto"/>
        </w:rPr>
      </w:pPr>
      <w:r>
        <w:rPr>
          <w:rFonts w:ascii="Times New Roman" w:cs="Times New Roman" w:eastAsia="Times New Roman" w:hAnsi="Times New Roman"/>
          <w:sz w:val="17"/>
          <w:szCs w:val="17"/>
          <w:b w:val="1"/>
          <w:bCs w:val="1"/>
          <w:color w:val="auto"/>
        </w:rPr>
        <w:t>CONSOLIDATED STATEMENTS OF CONVERTIBLE PREFERRED SHARES AND SHAREHOLDERS’ EQUITY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311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spacing w:after="0"/>
              <w:rPr>
                <w:sz w:val="17"/>
                <w:szCs w:val="17"/>
                <w:color w:val="auto"/>
              </w:rPr>
            </w:pPr>
          </w:p>
        </w:tc>
        <w:tc>
          <w:tcPr>
            <w:tcW w:w="1860" w:type="dxa"/>
            <w:vAlign w:val="bottom"/>
            <w:gridSpan w:val="6"/>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Convertible Preferred</w:t>
            </w: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Treasury</w:t>
            </w:r>
          </w:p>
        </w:tc>
        <w:tc>
          <w:tcPr>
            <w:tcW w:w="4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4"/>
        </w:trPr>
        <w:tc>
          <w:tcPr>
            <w:tcW w:w="120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w w:val="97"/>
              </w:rPr>
              <w:t>Ordinary shares</w:t>
            </w:r>
          </w:p>
        </w:tc>
        <w:tc>
          <w:tcPr>
            <w:tcW w:w="200" w:type="dxa"/>
            <w:vAlign w:val="bottom"/>
          </w:tcPr>
          <w:p>
            <w:pPr>
              <w:spacing w:after="0"/>
              <w:rPr>
                <w:sz w:val="19"/>
                <w:szCs w:val="19"/>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Ordinary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2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19"/>
                <w:szCs w:val="19"/>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r>
      <w:tr>
        <w:trPr>
          <w:trHeight w:val="204"/>
        </w:trPr>
        <w:tc>
          <w:tcPr>
            <w:tcW w:w="120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7"/>
                <w:szCs w:val="17"/>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0"/>
              </w:rPr>
              <w:t>Amount</w:t>
            </w:r>
          </w:p>
        </w:tc>
        <w:tc>
          <w:tcPr>
            <w:tcW w:w="10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income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99"/>
        </w:trPr>
        <w:tc>
          <w:tcPr>
            <w:tcW w:w="1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12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121,472,152</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170,206</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41,357,049</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78,137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(31,497)</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46,640</w:t>
            </w:r>
          </w:p>
        </w:tc>
      </w:tr>
      <w:tr>
        <w:trPr>
          <w:trHeight w:val="199"/>
        </w:trPr>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Issuance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as part</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 the Merger</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PIPE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43,971,516</w:t>
            </w: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285,378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285,378</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Conversion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to</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(121,472,152)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(170,206)</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121,472,152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170,206</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170,206</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Issuance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related</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 business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combination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17,328,049</w:t>
            </w: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157,689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157,689</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Share-based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128,740</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128,740</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 and</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 RSUs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9,902,983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10,018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10,018</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Payments of tax</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withholding</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 share-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(6,152)</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(6,152)</w:t>
            </w: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(24,948)</w:t>
            </w:r>
          </w:p>
        </w:tc>
      </w:tr>
      <w:tr>
        <w:trPr>
          <w:trHeight w:val="179"/>
        </w:trPr>
        <w:tc>
          <w:tcPr>
            <w:tcW w:w="1200" w:type="dxa"/>
            <w:vAlign w:val="bottom"/>
            <w:tcBorders>
              <w:top w:val="single" w:sz="8" w:color="CCEEFF"/>
            </w:tcBorders>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234,031,749</w:t>
            </w:r>
          </w:p>
        </w:tc>
        <w:tc>
          <w:tcPr>
            <w:tcW w:w="1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824,016</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(56,445)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767,571</w:t>
            </w:r>
          </w:p>
        </w:tc>
      </w:tr>
      <w:tr>
        <w:trPr>
          <w:trHeight w:val="199"/>
        </w:trPr>
        <w:tc>
          <w:tcPr>
            <w:tcW w:w="1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Share-based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76,853</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76,853</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 and</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 RSUs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18,875,104</w:t>
            </w: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8,671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8,671</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Connexity</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Holdback</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1,227,010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Payments of tax</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withholding</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 share-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based</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Other</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comprehensive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w:t>
            </w: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(11,975)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(11,975)</w:t>
            </w:r>
          </w:p>
        </w:tc>
      </w:tr>
      <w:tr>
        <w:trPr>
          <w:trHeight w:val="179"/>
        </w:trPr>
        <w:tc>
          <w:tcPr>
            <w:tcW w:w="1200" w:type="dxa"/>
            <w:vAlign w:val="bottom"/>
            <w:tcBorders>
              <w:top w:val="single" w:sz="8" w:color="CCEEFF"/>
            </w:tcBorders>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254,133,863</w:t>
            </w:r>
          </w:p>
        </w:tc>
        <w:tc>
          <w:tcPr>
            <w:tcW w:w="1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903,789</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(68,420)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834,535</w:t>
            </w:r>
          </w:p>
        </w:tc>
      </w:tr>
      <w:tr>
        <w:trPr>
          <w:trHeight w:val="199"/>
        </w:trPr>
        <w:tc>
          <w:tcPr>
            <w:tcW w:w="1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Share-based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66,584</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66,584</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Repurchase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(15,240,471)</w:t>
            </w: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(55,513)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(55,513)</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 and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 RSUs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16,088,737</w:t>
            </w:r>
          </w:p>
        </w:tc>
        <w:tc>
          <w:tcPr>
            <w:tcW w:w="4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7,461</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7,461</w:t>
            </w: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Connexity</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Holdback</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1,162,800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bl>
    <w:p>
      <w:pPr>
        <w:sectPr>
          <w:pgSz w:w="11900" w:h="16838" w:orient="portrait"/>
          <w:cols w:equalWidth="0" w:num="1">
            <w:col w:w="11340"/>
          </w:cols>
          <w:pgMar w:left="320" w:top="118" w:right="2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Issuance of</w:t>
            </w:r>
          </w:p>
        </w:tc>
        <w:tc>
          <w:tcPr>
            <w:tcW w:w="13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2"/>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45,198,702</w:t>
            </w:r>
          </w:p>
        </w:tc>
        <w:tc>
          <w:tcPr>
            <w:tcW w:w="240" w:type="dxa"/>
            <w:vAlign w:val="bottom"/>
          </w:tcPr>
          <w:p>
            <w:pPr>
              <w:spacing w:after="0"/>
              <w:rPr>
                <w:sz w:val="17"/>
                <w:szCs w:val="17"/>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39,525,691</w:t>
            </w:r>
          </w:p>
        </w:tc>
        <w:tc>
          <w:tcPr>
            <w:tcW w:w="26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288,063</w:t>
            </w:r>
          </w:p>
        </w:tc>
        <w:tc>
          <w:tcPr>
            <w:tcW w:w="3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288,063</w:t>
            </w: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and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Non-voting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related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Commercial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3"/>
        </w:trPr>
        <w:tc>
          <w:tcPr>
            <w:tcW w:w="1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Payments of tax</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withholding</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13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(3,804)</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w:t>
            </w:r>
          </w:p>
        </w:tc>
      </w:tr>
      <w:tr>
        <w:trPr>
          <w:trHeight w:val="183"/>
        </w:trPr>
        <w:tc>
          <w:tcPr>
            <w:tcW w:w="12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Other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comprehensive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w:t>
            </w:r>
          </w:p>
        </w:tc>
        <w:tc>
          <w:tcPr>
            <w:tcW w:w="13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1,776</w:t>
            </w: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3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(82,040)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(82,040)</w:t>
            </w:r>
          </w:p>
        </w:tc>
      </w:tr>
      <w:tr>
        <w:trPr>
          <w:trHeight w:val="179"/>
        </w:trPr>
        <w:tc>
          <w:tcPr>
            <w:tcW w:w="1200" w:type="dxa"/>
            <w:vAlign w:val="bottom"/>
            <w:tcBorders>
              <w:top w:val="single" w:sz="8" w:color="CCEEFF"/>
            </w:tcBorders>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199"/>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2"/>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45,198,702</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295,670,620</w:t>
            </w:r>
          </w:p>
        </w:tc>
        <w:tc>
          <w:tcPr>
            <w:tcW w:w="100" w:type="dxa"/>
            <w:vAlign w:val="bottom"/>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 $ (55,513) $ 1,262,093</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(150,460)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1,057,062</w:t>
            </w:r>
          </w:p>
        </w:tc>
      </w:tr>
      <w:tr>
        <w:trPr>
          <w:trHeight w:val="25"/>
        </w:trPr>
        <w:tc>
          <w:tcPr>
            <w:tcW w:w="1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70"/>
        </w:trPr>
        <w:tc>
          <w:tcPr>
            <w:tcW w:w="242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7"/>
                <w:szCs w:val="17"/>
                <w:color w:val="auto"/>
                <w:w w:val="96"/>
              </w:rPr>
              <w:t>Cash flows from operating activities</w:t>
            </w:r>
          </w:p>
        </w:tc>
        <w:tc>
          <w:tcPr>
            <w:tcW w:w="49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(82,040)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(11,975)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(24,948)</w:t>
            </w:r>
          </w:p>
        </w:tc>
      </w:tr>
      <w:tr>
        <w:trPr>
          <w:trHeight w:val="170"/>
        </w:trPr>
        <w:tc>
          <w:tcPr>
            <w:tcW w:w="5560" w:type="dxa"/>
            <w:vAlign w:val="bottom"/>
            <w:tcBorders>
              <w:bottom w:val="single" w:sz="8" w:color="auto"/>
            </w:tcBorders>
            <w:gridSpan w:val="4"/>
          </w:tcPr>
          <w:p>
            <w:pPr>
              <w:spacing w:after="0" w:line="162" w:lineRule="exact"/>
              <w:rPr>
                <w:sz w:val="20"/>
                <w:szCs w:val="20"/>
                <w:color w:val="auto"/>
              </w:rPr>
            </w:pPr>
            <w:r>
              <w:rPr>
                <w:rFonts w:ascii="Times New Roman" w:cs="Times New Roman" w:eastAsia="Times New Roman" w:hAnsi="Times New Roman"/>
                <w:sz w:val="17"/>
                <w:szCs w:val="17"/>
                <w:color w:val="auto"/>
                <w:w w:val="97"/>
              </w:rPr>
              <w:t>Adjustments to reconcile net loss to net cash flows provided by operating activities:</w:t>
            </w: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53,111</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74,921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127,957</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 (gain) from financing expenses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(2,320)</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Revaluation of the Warrants liability</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(24,471)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(22,656)</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loan and credit facility issuance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402</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Amortization of premium and accretion of discount on short-term investments, net</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from disposal of property and equipment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2760" w:type="dxa"/>
            <w:vAlign w:val="bottom"/>
            <w:tcBorders>
              <w:bottom w:val="single" w:sz="8" w:color="auto"/>
            </w:tcBorders>
            <w:gridSpan w:val="3"/>
          </w:tcPr>
          <w:p>
            <w:pPr>
              <w:spacing w:after="0" w:line="162" w:lineRule="exact"/>
              <w:rPr>
                <w:sz w:val="20"/>
                <w:szCs w:val="20"/>
                <w:color w:val="auto"/>
              </w:rPr>
            </w:pPr>
            <w:r>
              <w:rPr>
                <w:rFonts w:ascii="Times New Roman" w:cs="Times New Roman" w:eastAsia="Times New Roman" w:hAnsi="Times New Roman"/>
                <w:sz w:val="17"/>
                <w:szCs w:val="17"/>
                <w:color w:val="auto"/>
                <w:w w:val="96"/>
              </w:rPr>
              <w:t>Change in operating assets and liabilities:</w:t>
            </w:r>
          </w:p>
        </w:tc>
        <w:tc>
          <w:tcPr>
            <w:tcW w:w="456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in trade receivables,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(49,599)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(11,242)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(40,113)</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Decrease (increase) in prepaid expenses and other current assets and long-term prepaid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(10,785)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(64,923)</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trade payables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(16,825)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23,862</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Increase (decrease) in accrued expenses and other current liabilities and other long-term liabilities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(21,932)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16,182</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 deferred taxes, net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(15,496)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(17,329)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(1,581)</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Change in operating lease right of use assets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15,528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14,529</w:t>
            </w:r>
          </w:p>
        </w:tc>
      </w:tr>
      <w:tr>
        <w:trPr>
          <w:trHeight w:val="204"/>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operating lease liabilities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(14,697)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(19,433)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(15,981)</w:t>
            </w:r>
          </w:p>
        </w:tc>
      </w:tr>
      <w:tr>
        <w:trPr>
          <w:trHeight w:val="204"/>
        </w:trPr>
        <w:tc>
          <w:tcPr>
            <w:tcW w:w="732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84,373</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63,521</w:t>
            </w:r>
          </w:p>
        </w:tc>
        <w:tc>
          <w:tcPr>
            <w:tcW w:w="100" w:type="dxa"/>
            <w:vAlign w:val="bottom"/>
            <w:tcBorders>
              <w:top w:val="single" w:sz="8" w:color="CCEEFF"/>
            </w:tcBorders>
          </w:tcPr>
          <w:p>
            <w:pPr>
              <w:spacing w:after="0"/>
              <w:rPr>
                <w:sz w:val="17"/>
                <w:szCs w:val="17"/>
                <w:color w:val="auto"/>
              </w:rPr>
            </w:pPr>
          </w:p>
        </w:tc>
      </w:tr>
      <w:tr>
        <w:trPr>
          <w:trHeight w:val="199"/>
        </w:trPr>
        <w:tc>
          <w:tcPr>
            <w:tcW w:w="2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0"/>
        </w:trPr>
        <w:tc>
          <w:tcPr>
            <w:tcW w:w="240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w w:val="96"/>
              </w:rPr>
              <w:t>Cash flows from investing activities</w:t>
            </w:r>
          </w:p>
        </w:tc>
        <w:tc>
          <w:tcPr>
            <w:tcW w:w="492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 including capitalized internal-use software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(32,133)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(34,914)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(39,070)</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(7,981)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(583,457)</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(investment in) restricted deposits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2,067</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29,624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(21,991)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(126,381)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2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7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(139,561)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(620,460)</w:t>
            </w:r>
          </w:p>
        </w:tc>
      </w:tr>
      <w:tr>
        <w:trPr>
          <w:trHeight w:val="199"/>
        </w:trPr>
        <w:tc>
          <w:tcPr>
            <w:tcW w:w="2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0"/>
        </w:trPr>
        <w:tc>
          <w:tcPr>
            <w:tcW w:w="242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7"/>
                <w:szCs w:val="17"/>
                <w:color w:val="auto"/>
                <w:w w:val="96"/>
              </w:rPr>
              <w:t>Cash flows from financing activities</w:t>
            </w:r>
          </w:p>
        </w:tc>
        <w:tc>
          <w:tcPr>
            <w:tcW w:w="49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 of options and vested RSUs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10,018</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Issuance of Ordinary shares, net of offering costs</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285,378</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tax withholding for share-based compensation expenses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(5,751)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(6,152)</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(55,513)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long-term loan, net of debt issuance costs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288,750</w:t>
            </w:r>
          </w:p>
        </w:tc>
      </w:tr>
      <w:tr>
        <w:trPr>
          <w:trHeight w:val="199"/>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Repayment of long-term loan</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(82,250)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(64,264)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w:t>
            </w:r>
          </w:p>
        </w:tc>
      </w:tr>
      <w:tr>
        <w:trPr>
          <w:trHeight w:val="199"/>
        </w:trPr>
        <w:tc>
          <w:tcPr>
            <w:tcW w:w="7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Costs associated with entering into a revolving credit facility</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Issuance of Warrants</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53,883</w:t>
            </w:r>
          </w:p>
        </w:tc>
      </w:tr>
      <w:tr>
        <w:trPr>
          <w:trHeight w:val="204"/>
        </w:trPr>
        <w:tc>
          <w:tcPr>
            <w:tcW w:w="7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(134,614)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631,127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Exchange rate differences on balances of cash and cash equivalents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(4,476)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2,320</w:t>
            </w:r>
          </w:p>
        </w:tc>
      </w:tr>
      <w:tr>
        <w:trPr>
          <w:trHeight w:val="199"/>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(153,426)</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76,508</w:t>
            </w:r>
          </w:p>
        </w:tc>
        <w:tc>
          <w:tcPr>
            <w:tcW w:w="100" w:type="dxa"/>
            <w:vAlign w:val="bottom"/>
            <w:shd w:val="clear" w:color="auto" w:fill="CCEEFF"/>
          </w:tcPr>
          <w:p>
            <w:pPr>
              <w:spacing w:after="0"/>
              <w:rPr>
                <w:sz w:val="17"/>
                <w:szCs w:val="17"/>
                <w:color w:val="auto"/>
              </w:rPr>
            </w:pPr>
          </w:p>
        </w:tc>
      </w:tr>
      <w:tr>
        <w:trPr>
          <w:trHeight w:val="204"/>
        </w:trPr>
        <w:tc>
          <w:tcPr>
            <w:tcW w:w="7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and cash equivalents - at the beginning of the period</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319,319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242,811</w:t>
            </w:r>
          </w:p>
        </w:tc>
      </w:tr>
      <w:tr>
        <w:trPr>
          <w:trHeight w:val="204"/>
        </w:trPr>
        <w:tc>
          <w:tcPr>
            <w:tcW w:w="7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 at the end of the period</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176,108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165,893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319,319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382"/>
        </w:trPr>
        <w:tc>
          <w:tcPr>
            <w:tcW w:w="7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320" w:type="dxa"/>
            <w:vAlign w:val="bottom"/>
            <w:gridSpan w:val="3"/>
          </w:tcPr>
          <w:p>
            <w:pPr>
              <w:spacing w:after="0" w:line="178" w:lineRule="exact"/>
              <w:rPr>
                <w:sz w:val="20"/>
                <w:szCs w:val="20"/>
                <w:color w:val="auto"/>
              </w:rPr>
            </w:pPr>
            <w:r>
              <w:rPr>
                <w:rFonts w:ascii="Times New Roman" w:cs="Times New Roman" w:eastAsia="Times New Roman" w:hAnsi="Times New Roman"/>
                <w:sz w:val="17"/>
                <w:szCs w:val="17"/>
                <w:color w:val="auto"/>
              </w:rPr>
              <w:t>Cash paid during the year for: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1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53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28,798</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15,475</w:t>
            </w:r>
          </w:p>
        </w:tc>
      </w:tr>
      <w:tr>
        <w:trPr>
          <w:trHeight w:val="199"/>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18,488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20,712</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1,125</w:t>
            </w:r>
          </w:p>
        </w:tc>
      </w:tr>
      <w:tr>
        <w:trPr>
          <w:trHeight w:val="199"/>
        </w:trPr>
        <w:tc>
          <w:tcPr>
            <w:tcW w:w="1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0"/>
        </w:trPr>
        <w:tc>
          <w:tcPr>
            <w:tcW w:w="292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7"/>
                <w:szCs w:val="17"/>
                <w:color w:val="auto"/>
                <w:w w:val="96"/>
              </w:rPr>
              <w:t>Non-cash investing and financing activities:</w:t>
            </w: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 including capitalized internal-use software</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1,657</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1,120</w:t>
            </w:r>
          </w:p>
        </w:tc>
      </w:tr>
      <w:tr>
        <w:trPr>
          <w:trHeight w:val="199"/>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Share-based compensation included in capitalized internal-use software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1,932</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783</w:t>
            </w:r>
          </w:p>
        </w:tc>
      </w:tr>
      <w:tr>
        <w:trPr>
          <w:trHeight w:val="199"/>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Creation of operating lease right-of-use assets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17,269</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4,520</w:t>
            </w:r>
          </w:p>
        </w:tc>
      </w:tr>
      <w:tr>
        <w:trPr>
          <w:trHeight w:val="199"/>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Fair value of Ordinary shares issued as consideration of the acquisition</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157,689</w:t>
            </w:r>
          </w:p>
        </w:tc>
      </w:tr>
      <w:tr>
        <w:trPr>
          <w:trHeight w:val="199"/>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Ordinary shares and Non-voting Ordinary shares related to Commercial agreement</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288,063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7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07" w:lineRule="exact"/>
        <w:rPr>
          <w:sz w:val="20"/>
          <w:szCs w:val="20"/>
          <w:color w:val="auto"/>
        </w:rPr>
      </w:pPr>
    </w:p>
    <w:p>
      <w:pPr>
        <w:ind w:left="900" w:hanging="303"/>
        <w:spacing w:after="0"/>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Taboola.com Ltd. (together with its subsidiaries, the “Company” or “Taboola”) was incorporated under the laws of the state of Israel on September 3, 2006.</w:t>
      </w:r>
    </w:p>
    <w:p>
      <w:pPr>
        <w:spacing w:after="0" w:line="214" w:lineRule="exact"/>
        <w:rPr>
          <w:rFonts w:ascii="Times New Roman" w:cs="Times New Roman" w:eastAsia="Times New Roman" w:hAnsi="Times New Roman"/>
          <w:sz w:val="16"/>
          <w:szCs w:val="16"/>
          <w:color w:val="auto"/>
        </w:rPr>
      </w:pPr>
    </w:p>
    <w:p>
      <w:pPr>
        <w:jc w:val="both"/>
        <w:ind w:left="90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183" w:lineRule="exact"/>
        <w:rPr>
          <w:rFonts w:ascii="Times New Roman" w:cs="Times New Roman" w:eastAsia="Times New Roman" w:hAnsi="Times New Roman"/>
          <w:sz w:val="16"/>
          <w:szCs w:val="16"/>
          <w:color w:val="auto"/>
        </w:rPr>
      </w:pPr>
    </w:p>
    <w:p>
      <w:pPr>
        <w:jc w:val="both"/>
        <w:ind w:left="900" w:hanging="303"/>
        <w:spacing w:after="0" w:line="252"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29, 2021 (the “Transaction Date”) one of Taboola’s subsidiaries merged with and into ION Acquisition Corp. 1 Ltd. (“ION”), with ION continuing as the surviving company and becoming Taboola’s direct, wholly-owned subsidiary, which was accounted for as a recapitalization, with no goodwill or other intangible assets recorded, in accordance with U.S. GAAP (the “Business Combination”). The Business Combination was consummated under a merger agreement with ION dated January 25, 2021 (the “Merger Agreement”).</w:t>
      </w:r>
    </w:p>
    <w:p>
      <w:pPr>
        <w:spacing w:after="0" w:line="174" w:lineRule="exact"/>
        <w:rPr>
          <w:rFonts w:ascii="Times New Roman" w:cs="Times New Roman" w:eastAsia="Times New Roman" w:hAnsi="Times New Roman"/>
          <w:sz w:val="17"/>
          <w:szCs w:val="17"/>
          <w:color w:val="auto"/>
        </w:rPr>
      </w:pPr>
    </w:p>
    <w:p>
      <w:pPr>
        <w:jc w:val="both"/>
        <w:ind w:left="9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result of the Business Combination, the Company’s Ordinary shares, no par value per share (the “Ordinary shares”) and Public Warrants (as defined in our Annual Report on Form 20-F for the year ended December 31, 2021 filed with the SEC on March 24, 2022), and together with the Private Warrants (as defined therein, the “Warrants”) began trading on The Nasdaq Global Market LLC on June 30, 2021, among other things.</w:t>
      </w:r>
    </w:p>
    <w:p>
      <w:pPr>
        <w:spacing w:after="0" w:line="170" w:lineRule="exact"/>
        <w:rPr>
          <w:rFonts w:ascii="Times New Roman" w:cs="Times New Roman" w:eastAsia="Times New Roman" w:hAnsi="Times New Roman"/>
          <w:sz w:val="17"/>
          <w:szCs w:val="17"/>
          <w:color w:val="auto"/>
        </w:rPr>
      </w:pPr>
    </w:p>
    <w:p>
      <w:pPr>
        <w:jc w:val="both"/>
        <w:ind w:left="900" w:hanging="303"/>
        <w:spacing w:after="0" w:line="256"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2021, the Company entered into a registration rights agreement under which the Company agreed, in accordance with the terms of the registration right agreement, to register the Company’s Ordinary shares issued to the Seller (as defined in Note 7) for resale under the Securities Act of 1933, as amended.</w:t>
      </w:r>
    </w:p>
    <w:p>
      <w:pPr>
        <w:spacing w:after="0" w:line="170" w:lineRule="exact"/>
        <w:rPr>
          <w:rFonts w:ascii="Times New Roman" w:cs="Times New Roman" w:eastAsia="Times New Roman" w:hAnsi="Times New Roman"/>
          <w:sz w:val="17"/>
          <w:szCs w:val="17"/>
          <w:color w:val="auto"/>
        </w:rPr>
      </w:pPr>
    </w:p>
    <w:p>
      <w:pPr>
        <w:jc w:val="both"/>
        <w:ind w:left="900" w:hanging="303"/>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$3.40 per share, the aggregate fair value of the issued shares amounted to $288,063. As part of the Ordinary shares and Non-voting Ordinary shares issuance, the Company incurred $1,388 of issuance expenses.</w:t>
      </w:r>
    </w:p>
    <w:p>
      <w:pPr>
        <w:spacing w:after="0" w:line="35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GENERAL (Cont.)</w:t>
      </w:r>
    </w:p>
    <w:p>
      <w:pPr>
        <w:spacing w:after="0" w:line="182"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accounts for the consideration paid to Yahoo (the “Commercial agreement asset”) as an up-front payment for Traffic acquisition costs paid to the digital property partner, which is amortized over the shorter of respective contractual terms and the economic benefit period of the digital property arrangement.</w:t>
      </w:r>
    </w:p>
    <w:p>
      <w:pPr>
        <w:spacing w:after="0" w:line="171" w:lineRule="exact"/>
        <w:rPr>
          <w:sz w:val="20"/>
          <w:szCs w:val="20"/>
          <w:color w:val="auto"/>
        </w:rPr>
      </w:pPr>
    </w:p>
    <w:p>
      <w:pPr>
        <w:jc w:val="both"/>
        <w:ind w:left="900"/>
        <w:spacing w:after="0" w:line="301" w:lineRule="auto"/>
        <w:rPr>
          <w:sz w:val="20"/>
          <w:szCs w:val="20"/>
          <w:color w:val="auto"/>
        </w:rPr>
      </w:pPr>
      <w:r>
        <w:rPr>
          <w:rFonts w:ascii="Times New Roman" w:cs="Times New Roman" w:eastAsia="Times New Roman" w:hAnsi="Times New Roman"/>
          <w:sz w:val="16"/>
          <w:szCs w:val="16"/>
          <w:color w:val="auto"/>
        </w:rPr>
        <w:t>The Company and Yahoo are still in the Commercial agreement transition period (as defined in the Commercial agreement), consequently the exclusivity period has not begun. For the year ended December 31, 2023, the Company did not record amortization expenses of the Commercial agreement asset.</w:t>
      </w:r>
    </w:p>
    <w:p>
      <w:pPr>
        <w:spacing w:after="0" w:line="136"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United States Generally Accepted Accounting Principles (“U.S. GAAP”) and are denominated in U.S. dollars.</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 owned subsidiaries. All intercompany balances and transactions have been eliminated in consolidation.</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7" w:lineRule="exact"/>
        <w:rPr>
          <w:sz w:val="20"/>
          <w:szCs w:val="20"/>
          <w:color w:val="auto"/>
        </w:rPr>
      </w:pPr>
    </w:p>
    <w:p>
      <w:pPr>
        <w:jc w:val="both"/>
        <w:ind w:left="900"/>
        <w:spacing w:after="0" w:line="280"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conformity with the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 and accompanying notes. Actual results could differ from those estimates.</w:t>
      </w:r>
    </w:p>
    <w:p>
      <w:pPr>
        <w:spacing w:after="0" w:line="152" w:lineRule="exact"/>
        <w:rPr>
          <w:sz w:val="20"/>
          <w:szCs w:val="20"/>
          <w:color w:val="auto"/>
        </w:rPr>
      </w:pPr>
    </w:p>
    <w:p>
      <w:pPr>
        <w:jc w:val="both"/>
        <w:ind w:left="900"/>
        <w:spacing w:after="0" w:line="248" w:lineRule="auto"/>
        <w:rPr>
          <w:sz w:val="20"/>
          <w:szCs w:val="20"/>
          <w:color w:val="auto"/>
        </w:rPr>
      </w:pPr>
      <w:r>
        <w:rPr>
          <w:rFonts w:ascii="Times New Roman" w:cs="Times New Roman" w:eastAsia="Times New Roman" w:hAnsi="Times New Roman"/>
          <w:sz w:val="17"/>
          <w:szCs w:val="17"/>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33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71" w:lineRule="exact"/>
        <w:rPr>
          <w:sz w:val="20"/>
          <w:szCs w:val="20"/>
          <w:color w:val="auto"/>
        </w:rPr>
      </w:pPr>
    </w:p>
    <w:p>
      <w:pPr>
        <w:jc w:val="both"/>
        <w:ind w:left="900"/>
        <w:spacing w:after="0" w:line="280" w:lineRule="auto"/>
        <w:rPr>
          <w:sz w:val="20"/>
          <w:szCs w:val="20"/>
          <w:color w:val="auto"/>
        </w:rPr>
      </w:pPr>
      <w:r>
        <w:rPr>
          <w:rFonts w:ascii="Times New Roman" w:cs="Times New Roman" w:eastAsia="Times New Roman" w:hAnsi="Times New Roman"/>
          <w:sz w:val="16"/>
          <w:szCs w:val="16"/>
          <w:color w:val="auto"/>
        </w:rPr>
        <w:t>As of December 31, 2023, the impacts to the Company’s business due to geopolitical developments, such as the wars in Israel and Ukraine and other active or possible hostilities,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spacing w:after="0" w:line="1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Functional Currency</w:t>
      </w:r>
    </w:p>
    <w:p>
      <w:pPr>
        <w:spacing w:after="0" w:line="207" w:lineRule="exact"/>
        <w:rPr>
          <w:sz w:val="20"/>
          <w:szCs w:val="20"/>
          <w:color w:val="auto"/>
        </w:rPr>
      </w:pPr>
    </w:p>
    <w:p>
      <w:pPr>
        <w:jc w:val="both"/>
        <w:ind w:left="900"/>
        <w:spacing w:after="0" w:line="270" w:lineRule="auto"/>
        <w:rPr>
          <w:sz w:val="20"/>
          <w:szCs w:val="20"/>
          <w:color w:val="auto"/>
        </w:rPr>
      </w:pPr>
      <w:r>
        <w:rPr>
          <w:rFonts w:ascii="Times New Roman" w:cs="Times New Roman" w:eastAsia="Times New Roman" w:hAnsi="Times New Roman"/>
          <w:sz w:val="16"/>
          <w:szCs w:val="16"/>
          <w:color w:val="auto"/>
        </w:rPr>
        <w:t>The Company’s functional currency is the U.S. dollars (“dollars”), as majority of the Company’s revenues and costs of revenues are denominated in dollars. Accordingly, foreign currency assets and liabilities are remeasured into dollars at the end-of-period exchange rates except for non-monetary assets and liabilities, which are measured at historical exchange rates. Revenue and expenses are remeasured each day at the exchange rate in effect on the day the transaction occurred or the average exchange rate in the month in accordance with ASC 830, “Foreign Currency Matters”. Gains or losses from foreign currency exchange rate re-measurement and settlements are included in finance income (expenses), net in the consolidated statements of income (loss).</w:t>
      </w:r>
    </w:p>
    <w:p>
      <w:pPr>
        <w:spacing w:after="0" w:line="1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Cash and cash equivalents consist of cash in banks and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Restricted Deposits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Company’s restricted deposits primarily consist of bank deposits collateralizing the Company’s operating leases.</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07"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from the sale of an asset or paid to transfer a liability, considering the principal or most advantageous market in which it would transact and assumptions that market participants would use when pricing the asset or liability, in an orderly transaction between market participants at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346"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Three levels of inputs may be used to measure fair value:</w:t>
      </w:r>
    </w:p>
    <w:p>
      <w:pPr>
        <w:sectPr>
          <w:pgSz w:w="11900" w:h="16838" w:orient="portrait"/>
          <w:cols w:equalWidth="0" w:num="1">
            <w:col w:w="11240"/>
          </w:cols>
          <w:pgMar w:left="320" w:top="118" w:right="339" w:bottom="1440" w:gutter="0" w:footer="0" w:header="0"/>
        </w:sectPr>
      </w:pP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Level 1 -</w:t>
      </w:r>
    </w:p>
    <w:p>
      <w:pPr>
        <w:spacing w:after="0" w:line="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Level 2 -</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Level 3 -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Observable inputs that reflect quoted prices (unadjusted) for identical assets or liabilities in active markets.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other inputs that are directly or indirectly observable in the marketplace.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Unobservable inputs which are supported by little or no market activity.</w:t>
      </w:r>
    </w:p>
    <w:p>
      <w:pPr>
        <w:spacing w:after="0" w:line="186" w:lineRule="exact"/>
        <w:rPr>
          <w:sz w:val="20"/>
          <w:szCs w:val="20"/>
          <w:color w:val="auto"/>
        </w:rPr>
      </w:pPr>
    </w:p>
    <w:p>
      <w:pPr>
        <w:sectPr>
          <w:pgSz w:w="11900" w:h="16838" w:orient="portrait"/>
          <w:cols w:equalWidth="0" w:num="2">
            <w:col w:w="1520" w:space="720"/>
            <w:col w:w="9000"/>
          </w:cols>
          <w:pgMar w:left="320" w:top="118" w:right="339" w:bottom="1440" w:gutter="0" w:footer="0" w:header="0"/>
          <w:type w:val="continuous"/>
        </w:sect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Financial instruments consist of cash equivalents, restricted deposits, short-term investments, trade receivables, prepaid expenses and other current assets, trade payables, accrued expenses and other current liabilities, Warrants liability and derivative financial instruments. Short-term investments, Warrants liability and derivative financial instruments are stated at fair value on a recurring basis. Cash equivalents, restricted deposits, trade receivables, prepaid expenses and other current assets, trade payables, accrued expenses and other current liabilities, are stated at their carrying value, which approximates their fair value due to the short time to the expected receipt or payment date.</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w:t>
      </w:r>
    </w:p>
    <w:p>
      <w:pPr>
        <w:spacing w:after="0" w:line="203" w:lineRule="exact"/>
        <w:rPr>
          <w:sz w:val="20"/>
          <w:szCs w:val="20"/>
          <w:color w:val="auto"/>
        </w:rPr>
      </w:pPr>
    </w:p>
    <w:p>
      <w:pPr>
        <w:jc w:val="both"/>
        <w:ind w:left="900"/>
        <w:spacing w:after="0" w:line="254" w:lineRule="auto"/>
        <w:rPr>
          <w:sz w:val="20"/>
          <w:szCs w:val="20"/>
          <w:color w:val="auto"/>
        </w:rPr>
      </w:pPr>
      <w:r>
        <w:rPr>
          <w:rFonts w:ascii="Times New Roman" w:cs="Times New Roman" w:eastAsia="Times New Roman" w:hAnsi="Times New Roman"/>
          <w:sz w:val="17"/>
          <w:szCs w:val="17"/>
          <w:color w:val="auto"/>
        </w:rPr>
        <w:t>The Company enters into foreign currency forward and put and call option contracts with financial institution</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to protect itself against the foreign exchange risks, mainly exposure to changes in the exchange rate of the New Israeli Shekel (“NIS”) against the U.S. dollar that are associated with forecasted future cash flows related to salary expenses, for up to twelve months, as part of the Company’s risk management strategy. The Company does not enter into derivative transactions for trading or speculative purposes.</w:t>
      </w:r>
    </w:p>
    <w:p>
      <w:pPr>
        <w:spacing w:after="0" w:line="172"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accordance with ASC 815, “Derivatives and Hedging”, the Company recognizes all derivatives on the consolidated balance sheets at fair value. The accounting for changes in the fair value (i.e., gains or losses) of a derivative instrument depends on their intended use and their designation.</w:t>
      </w:r>
    </w:p>
    <w:p>
      <w:pPr>
        <w:spacing w:after="0" w:line="159"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For derivative instruments that hedge the exposure to variability in expected future cash flows that are designated as cash flow hedge, changes in the fair value of these derivatives are recorded in accumulated other comprehensive income (loss) as a component of shareholders’ equity in the consolidated balance sheets until the forecasted transaction occurs. Upon occurrence, the Company reclassifies the related gains or losses on the derivative to the same financial statement line item in the consolidated statements of income (loss) to which the derivative relates. In case the Company discontinues cash flow hedges, it records the related amount in finance income (expenses), net, on the consolidated statements of income (loss).</w:t>
      </w:r>
    </w:p>
    <w:p>
      <w:pPr>
        <w:spacing w:after="0" w:line="17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accounts for its derivative financial instruments as either prepaid expenses and other current assets or accrued expenses and other current liabilities in the consolidated balance sheets at their fair value.</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Company’s short-term investments consist of marketable securities. 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w:t>
      </w:r>
    </w:p>
    <w:p>
      <w:pPr>
        <w:spacing w:after="0" w:line="174" w:lineRule="exact"/>
        <w:rPr>
          <w:sz w:val="20"/>
          <w:szCs w:val="20"/>
          <w:color w:val="auto"/>
        </w:rPr>
      </w:pPr>
    </w:p>
    <w:p>
      <w:pPr>
        <w:jc w:val="both"/>
        <w:ind w:left="900"/>
        <w:spacing w:after="0" w:line="301" w:lineRule="auto"/>
        <w:rPr>
          <w:sz w:val="20"/>
          <w:szCs w:val="20"/>
          <w:color w:val="auto"/>
        </w:rPr>
      </w:pPr>
      <w:r>
        <w:rPr>
          <w:rFonts w:ascii="Times New Roman" w:cs="Times New Roman" w:eastAsia="Times New Roman" w:hAnsi="Times New Roman"/>
          <w:sz w:val="16"/>
          <w:szCs w:val="16"/>
          <w:color w:val="auto"/>
        </w:rPr>
        <w:t>The Company carries these securities at fair value and records unrealized gains and losses, net of taxes, in accumulated other comprehensive income (loss) as a component of shareholders’ equity, except for changes in allowance for expected credit losses, which are recorded in finance income (expenses), net.</w:t>
      </w:r>
    </w:p>
    <w:p>
      <w:pPr>
        <w:spacing w:after="0" w:line="306"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finance income (expenses), net, in the consolidated statements of income (loss).</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If neither of these criteria are met, the Company determines whether credit loss exists. Credit loss is estimated by considering changes to the rating of the security by a rating agency, any adverse conditions specifically related to the security, as well as other factors.</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Realized gains and losses on available-for-sale marketable securities are included in the consolidated statements of income (loss).</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Trade Receivables and Allowance for Credit Losses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Trade receivables are recorded at the invoiced amount and amounts for which revenue has been recognized but not invoiced, net of allowance for credit losses. Payment terms and conditions vary by contract type, although terms generally include a requirement to pay within 30 days of the invoice.</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Company’s expected loss allowance methodology for accounts receivable is developed using historical collection experience and current and future economic and market conditions.</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estimate of the amount that may not be collected is based on the geographic location, aging and customer financial condition. Additionally, specific allowance amounts are established to record the appropriate provision for customers that have a higher probability of default. The Company writes-off receivables when they are deemed uncollectible, having exhausted all collection efforts.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cash equivalents, restricted deposits, short-term investments, trade receivables and other current assets, and derivative instruments.</w:t>
      </w:r>
    </w:p>
    <w:p>
      <w:pPr>
        <w:spacing w:after="0" w:line="159"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6"/>
          <w:szCs w:val="16"/>
          <w:color w:val="auto"/>
        </w:rPr>
        <w:t>The Company’s cash, cash equivalents and restricted deposits are invested in major banks mostly in the United States, the United Kingdom and Israel. The Company maintains cash and cash equivalents with diverse financial institutions and monitors the amount of credit exposure to each financial institution.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As of December 31, 2023, we maintained cash balances with U.S. and United Kingdom banks that significantly exceed FDIC and FSCS insurance limits and expect we will continue to do so. As of December 31, 2023, the Company has not experienced credit losses related to these balances.</w:t>
      </w:r>
    </w:p>
    <w:p>
      <w:pPr>
        <w:spacing w:after="0" w:line="165"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Company’s short-term investments are investments in marketable securities with high credit ratings as required by the Company’s investment policy and are not insured or guaranteed.</w:t>
      </w:r>
    </w:p>
    <w:p>
      <w:pPr>
        <w:spacing w:after="0" w:line="33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80" w:lineRule="auto"/>
        <w:rPr>
          <w:sz w:val="20"/>
          <w:szCs w:val="20"/>
          <w:color w:val="auto"/>
        </w:rPr>
      </w:pPr>
      <w:r>
        <w:rPr>
          <w:rFonts w:ascii="Times New Roman" w:cs="Times New Roman" w:eastAsia="Times New Roman" w:hAnsi="Times New Roman"/>
          <w:sz w:val="16"/>
          <w:szCs w:val="16"/>
          <w:color w:val="auto"/>
        </w:rPr>
        <w:t>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spacing w:after="0" w:line="152"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and 2022, no single customer represented 10% or more of accounts receivable. No single customer accounted for more than 10% of total revenue for the periods presented.</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Company’s derivatives expose it to credit risk to the extent that the counterparties may be unable to meet the terms of the agreement. The Company seeks to mitigate such risk by limiting its counterparties to major financial institutions and by spreading the risk across a number of major financial institutions.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Deferred Offering Costs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Deferred offering costs consist primarily of accounting, legal, and other fees related to the Company’s Merger agreement. Following consummation of the Merger agreement and related transactions, the deferred offering costs were reclassified to shareholders’ equity and recorded against the proceeds from the transaction. The Company capitalized $2,096 of deferred offering costs within the long-term prepaid expenses in the consolidated balance sheets as of December 31, 2020. These costs were paid during the year ended December 31, 2021.</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accounts for its leases under ASU 2016-02, “Leases”. The Company determines if an arrangement is or contains a lease at inception. The Company has elected not to recognize short-term leases on the balance sheet, nor separate lease and non-lease components and currently does not have any finance leases.</w:t>
      </w:r>
    </w:p>
    <w:p>
      <w:pPr>
        <w:spacing w:after="0" w:line="171"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operating lease operating lease right of use assets, or ROU assets, and related lease liability are initially measured at the present value of the future lease payments discounted using the Company’s incremental borrowing rate, because the rate implicit in the Company’s leases is not readily determinable. The Company’s incremental borrowing rate is estimated to approximate the interest rate on similar terms and payments and in economic environments where the leased asset is located.</w:t>
      </w:r>
    </w:p>
    <w:p>
      <w:pPr>
        <w:spacing w:after="0" w:line="174"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Some of the Company’s leases contain one or more options to extend. The exercise of lease renewal options is typically at the Company’s sole discretion. The Company considers various factors such as market conditions and the terms of any renewal options that may exist to determine whether it is reasonably certain to exercise the options to extend the lease.</w:t>
      </w:r>
    </w:p>
    <w:p>
      <w:pPr>
        <w:spacing w:after="0" w:line="17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Some of the real estate leases contain variable lease payments, including payments based on a Consumer Price Index (“CPI”). Variable lease payments based on a CPI are initially measured using the index in effect at lease adoption, and will not be subsequently adjusted, unless the liability is reassessed for other reasons. Additional payments based on the change in a CPI are recorded as a period expense when incurred.</w:t>
      </w:r>
    </w:p>
    <w:p>
      <w:pPr>
        <w:spacing w:after="0" w:line="341"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Property and equipment are stated at cost, net of accumulated depreciation. Depreciation is calculated using the straight-line method over the estimated useful lives of the assets at the following annual rates: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1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3 - 4</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Internal-use software</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3 - 7</w:t>
            </w:r>
          </w:p>
        </w:tc>
        <w:tc>
          <w:tcPr>
            <w:tcW w:w="100" w:type="dxa"/>
            <w:vAlign w:val="bottom"/>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79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Leasehold improvements</w:t>
            </w:r>
          </w:p>
        </w:tc>
        <w:tc>
          <w:tcPr>
            <w:tcW w:w="23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7"/>
              </w:rPr>
              <w:t>Over the shorter of expected lease</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term or estimated useful life</w:t>
            </w:r>
          </w:p>
        </w:tc>
        <w:tc>
          <w:tcPr>
            <w:tcW w:w="100" w:type="dxa"/>
            <w:vAlign w:val="bottom"/>
          </w:tcPr>
          <w:p>
            <w:pPr>
              <w:spacing w:after="0"/>
              <w:rPr>
                <w:sz w:val="18"/>
                <w:szCs w:val="18"/>
                <w:color w:val="auto"/>
              </w:rPr>
            </w:pPr>
          </w:p>
        </w:tc>
      </w:tr>
    </w:tbl>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Internal-Use Software Development Costs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According to ASC 350-40 the Company capitalizes certain internal-use software development costs associated with creating and enhancing internal-use software related to its platform and technology infrastructure. These costs include personnel and related employee benefits expenses for employees who are directly associated with and who devote time to software projects, and services consumed in developing or obtaining the software.</w:t>
      </w:r>
    </w:p>
    <w:p>
      <w:pPr>
        <w:spacing w:after="0" w:line="17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Capitalized internal-use software is included in property and equipment, net in the consolidated balance sheets. Software development costs that do not meet the criteria for capitalization are expensed as incurred and recorded in research and development expenses in the consolidated statements of income (loss).</w:t>
      </w:r>
    </w:p>
    <w:p>
      <w:pPr>
        <w:spacing w:after="0" w:line="171"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Costs incurred in the application and infrastructure development stages, including significant enhancements and upgrades, are capitalized. Capitalization ends once a project is substantially complete, and the software and technologies are ready for their intended purpose.</w:t>
      </w:r>
    </w:p>
    <w:p>
      <w:pPr>
        <w:spacing w:after="0" w:line="17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Internal-use software development costs are amortized using a straight-line method over the estimated useful life of three years, commencing when the software is ready for its intended use.</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records acquisitions based on the fair value of the consideration transferred and then allocates the purchase price to the identifiable assets acquired and liabilities assumed based on their respective fair values as of the acquisition date.</w:t>
      </w:r>
    </w:p>
    <w:p>
      <w:pPr>
        <w:spacing w:after="0" w:line="159"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The excess of the value of consideration transferred over the aggregate fair value of those net assets is recorded as goodwill. Any identified definite lived intangible assets will be amortized over their estimated useful lives and any identified intangible assets with indefinite useful lives and goodwill will not be amortized but will be tested for impairment at least annually. When determining the fair value of assets acquired and liabilities assumed, management makes significant estimates and assumptions, including the selection of valuation methodologies, estimates of future revenues and cash flows, discount rates, especially with respect to intangible assets.</w:t>
      </w:r>
    </w:p>
    <w:p>
      <w:pPr>
        <w:spacing w:after="0" w:line="34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Critical estimates in valuing certain intangible assets include, but are not limited to, future expected cash flows from customer relationships, merchant/network affiliate relationships, publisher relationships, technology, tradenames and discount rates. The Company estimates fair value based upon assumptions that are believed to be reasonable, but which are inherently uncertain and unpredictable and, as a result, actual results may differ from estimates.</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Upon the conclusion of the measurement period or final determination of the fair value of assets acquired or liabilities assumed, whichever comes first, any subsequent adjustments are recorded to the Company’s consolidated statements of income (loss).</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Acquisition-related transaction costs are not included as a component of consideration transferred, but are accounted for as an expense in the period in which the costs are incurred.</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07"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Intangible assets consist of identifiable intangible assets that the Company has acquired from previous business combinations. Intangible assets are recorded at fair value, net of accumulated amortization. The Company amortizes its intangible assets reflecting the pattern in which the economic benefits of the intangible assets are consumed. When a pattern cannot be reliably determined, the Company uses a straight-line amortization method. Each period the Company evaluates the estimated remaining useful lives of its intangible assets and whether events or changes in circumstances require a revision to the remaining period of amortization.</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estimated useful lives of the Company’s intangible assets are as follows: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0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 / Network affiliate relationships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Publisher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2 - 3</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4 - 5</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5 - 9</w:t>
            </w:r>
          </w:p>
        </w:tc>
        <w:tc>
          <w:tcPr>
            <w:tcW w:w="100" w:type="dxa"/>
            <w:vAlign w:val="bottom"/>
            <w:shd w:val="clear" w:color="auto" w:fill="CCEEFF"/>
          </w:tcPr>
          <w:p>
            <w:pPr>
              <w:spacing w:after="0"/>
              <w:rPr>
                <w:sz w:val="17"/>
                <w:szCs w:val="17"/>
                <w:color w:val="auto"/>
              </w:rPr>
            </w:pPr>
          </w:p>
        </w:tc>
      </w:tr>
    </w:tbl>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07"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The Company assesses the recoverability of its long-lived assets, whenever events or changes in circumstances indicate that their carrying value may not be recoverable, in accordance with ASC 360, “Property, Plant and Equipment”. Recoverability of a long-lived asset is measured by comparing the carrying value of the asset group to the projected undiscounted cash flows over their remaining lives. If the carrying value exceeds the projected undiscounted cash flows, an impairment loss is recognized. Impairment equals the amount by which the carrying value exceeds estimated fair value. An impairment loss is charged to consolidated statements of income (loss) in the period in which management determines such impairment.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There was no impairment of long-lived assets in the years ended December 31, 2023, 2022 and 2021.</w:t>
      </w:r>
    </w:p>
    <w:p>
      <w:pPr>
        <w:spacing w:after="0" w:line="200" w:lineRule="exact"/>
        <w:rPr>
          <w:sz w:val="20"/>
          <w:szCs w:val="20"/>
          <w:color w:val="auto"/>
        </w:rPr>
      </w:pPr>
    </w:p>
    <w:p>
      <w:pPr>
        <w:spacing w:after="0" w:line="372"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Goodwill represents the excess of the aggregate fair value of the consideration transferred in a business combination over the fair value of the assets acquired, net of liabilities assumed. Goodwill is not amortized, but is subject to impairment testing at the reporting unit level conducted annually on December 31, or more frequently if events or changes in circumstances indicate that goodwill may be impaired. The Company identified a single reporting unit for the purpose of goodwill impairment testing.</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There was no impairment of goodwill in the years ended December 31, 2023, 2022 and 2021.</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operates in one operating and reportable segment. Operating segments are defined as components of an enterprise about which separate financial information is evaluated regularly by the chief operating decision maker, who is the Company’s CEO, in deciding how to allocate resources and assessing performance. The Company’s chief operating decision maker allocates resources and assesses performance based upon discrete financial information at the consolidated level.</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Under ASC 606, “Revenues from Contracts with Customers”, the Company recognizes revenue when its customer obtains control of promised goods or services in an amount that reflects the consideration that the Company expects to receive in exchange for those goods or services. To determine revenue recognition for contracts that are within the scope of the standard, the Company performs the following five steps:</w:t>
      </w:r>
    </w:p>
    <w:p>
      <w:pPr>
        <w:spacing w:after="0" w:line="171" w:lineRule="exact"/>
        <w:rPr>
          <w:sz w:val="20"/>
          <w:szCs w:val="20"/>
          <w:color w:val="auto"/>
        </w:rPr>
      </w:pPr>
    </w:p>
    <w:p>
      <w:pPr>
        <w:ind w:left="1340" w:hanging="445"/>
        <w:spacing w:after="0"/>
        <w:tabs>
          <w:tab w:leader="none" w:pos="1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Identify the contract with a customer;</w:t>
      </w:r>
    </w:p>
    <w:p>
      <w:pPr>
        <w:spacing w:after="0" w:line="20" w:lineRule="exact"/>
        <w:rPr>
          <w:rFonts w:ascii="Times New Roman" w:cs="Times New Roman" w:eastAsia="Times New Roman" w:hAnsi="Times New Roman"/>
          <w:sz w:val="15"/>
          <w:szCs w:val="15"/>
          <w:color w:val="auto"/>
        </w:rPr>
      </w:pPr>
    </w:p>
    <w:p>
      <w:pPr>
        <w:ind w:left="1340" w:hanging="445"/>
        <w:spacing w:after="0"/>
        <w:tabs>
          <w:tab w:leader="none" w:pos="1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 including whether they are distinct in the context of the contract;</w:t>
      </w:r>
    </w:p>
    <w:p>
      <w:pPr>
        <w:spacing w:after="0" w:line="3" w:lineRule="exact"/>
        <w:rPr>
          <w:rFonts w:ascii="Times New Roman" w:cs="Times New Roman" w:eastAsia="Times New Roman" w:hAnsi="Times New Roman"/>
          <w:sz w:val="17"/>
          <w:szCs w:val="17"/>
          <w:color w:val="auto"/>
        </w:rPr>
      </w:pPr>
    </w:p>
    <w:p>
      <w:pPr>
        <w:ind w:left="1340" w:hanging="445"/>
        <w:spacing w:after="0"/>
        <w:tabs>
          <w:tab w:leader="none" w:pos="1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 including the constraint on variable consideration;</w:t>
      </w:r>
    </w:p>
    <w:p>
      <w:pPr>
        <w:spacing w:after="0" w:line="3" w:lineRule="exact"/>
        <w:rPr>
          <w:rFonts w:ascii="Times New Roman" w:cs="Times New Roman" w:eastAsia="Times New Roman" w:hAnsi="Times New Roman"/>
          <w:sz w:val="17"/>
          <w:szCs w:val="17"/>
          <w:color w:val="auto"/>
        </w:rPr>
      </w:pPr>
    </w:p>
    <w:p>
      <w:pPr>
        <w:ind w:left="1340" w:hanging="445"/>
        <w:spacing w:after="0"/>
        <w:tabs>
          <w:tab w:leader="none" w:pos="1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w:t>
      </w:r>
    </w:p>
    <w:p>
      <w:pPr>
        <w:spacing w:after="0" w:line="3" w:lineRule="exact"/>
        <w:rPr>
          <w:rFonts w:ascii="Times New Roman" w:cs="Times New Roman" w:eastAsia="Times New Roman" w:hAnsi="Times New Roman"/>
          <w:sz w:val="17"/>
          <w:szCs w:val="17"/>
          <w:color w:val="auto"/>
        </w:rPr>
      </w:pPr>
    </w:p>
    <w:p>
      <w:pPr>
        <w:ind w:left="1340" w:hanging="445"/>
        <w:spacing w:after="0"/>
        <w:tabs>
          <w:tab w:leader="none" w:pos="1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as the Company satisfies the performance obligations.</w:t>
      </w:r>
    </w:p>
    <w:p>
      <w:pPr>
        <w:spacing w:after="0" w:line="186"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generates revenues when people click on, purchase from or, in some cases, view the ads that appear within its recommendation platform. The Company’s customers are the advertisers, merchants and affiliate networks that advertise on the Company’s platform (collectively, “Advertisers”). Advertisers pay Taboola for those clicks, purchases or impressions and Taboola generally shares the resulting revenue with the digital properties who display those ads.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Advertisers accept the Company’s terms of service upon signature on an IO (insertion order) or any applicable form and registration to the platform.</w:t>
      </w:r>
    </w:p>
    <w:p>
      <w:pPr>
        <w:spacing w:after="0" w:line="203" w:lineRule="exact"/>
        <w:rPr>
          <w:sz w:val="20"/>
          <w:szCs w:val="20"/>
          <w:color w:val="auto"/>
        </w:rPr>
      </w:pPr>
    </w:p>
    <w:p>
      <w:pPr>
        <w:ind w:left="1340" w:hanging="445"/>
        <w:spacing w:after="0" w:line="254" w:lineRule="auto"/>
        <w:tabs>
          <w:tab w:leader="none" w:pos="1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campaigns priced on a cost-per-click (“CPC”) basis, the Company bills the customers and recognizes revenues when a user clicks on an advertisement displayed.</w:t>
      </w:r>
    </w:p>
    <w:p>
      <w:pPr>
        <w:spacing w:after="0" w:line="1" w:lineRule="exact"/>
        <w:rPr>
          <w:rFonts w:ascii="Times New Roman" w:cs="Times New Roman" w:eastAsia="Times New Roman" w:hAnsi="Times New Roman"/>
          <w:sz w:val="17"/>
          <w:szCs w:val="17"/>
          <w:color w:val="auto"/>
        </w:rPr>
      </w:pPr>
    </w:p>
    <w:p>
      <w:pPr>
        <w:ind w:left="1340" w:hanging="445"/>
        <w:spacing w:after="0" w:line="244" w:lineRule="auto"/>
        <w:tabs>
          <w:tab w:leader="none" w:pos="1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campaigns priced on a cost-per-thousand impression basis (“CPM”), the Company bills the customers and recognizes revenues based on the number of times an advertisement is displayed to a user.</w:t>
      </w:r>
    </w:p>
    <w:p>
      <w:pPr>
        <w:ind w:left="1340" w:hanging="445"/>
        <w:spacing w:after="0" w:line="248" w:lineRule="auto"/>
        <w:tabs>
          <w:tab w:leader="none" w:pos="1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campaigns priced on a performance-based cost-per-action (“CPA”) basis, the Company bills the customers and recognizes revenues when a user makes an acquisition.</w:t>
      </w:r>
    </w:p>
    <w:p>
      <w:pPr>
        <w:spacing w:after="0" w:line="34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determination of whether revenue should be reported gross of amounts billed to Advertisers (gross basis) or net of payments to digital properties partners (net basis) requires significant judgment and is based on management assessment of whether the Company is acting as the principal or an agent in the transaction. The Company has determined that in certain arrangements it acts as principal because it has the ability to direct the services to its customers, while in others it does not.</w:t>
      </w:r>
    </w:p>
    <w:p>
      <w:pPr>
        <w:spacing w:after="0" w:line="174"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6"/>
          <w:szCs w:val="16"/>
          <w:color w:val="auto"/>
        </w:rPr>
        <w:t>On revenues presented on a gross basis the Company has contracts with its digital properties that provide exclusivity and cover multiple years at inception. These agreements typically require that the Company’s code be integrated on the digital property web page. Thus, in the vast majority of the Company’s business, it does not bid for an ad placement, but rather it controls the specified pages before they are transferred to the customer, sees all users that visit the respective pages and is able to run a predictive auction and direct the ad placement to the relevant customer. The Company further concluded that (i) the Company is primarily responsible for fulfilling the promise to provide the service in the arrangement and controls what recommendations to place; (ii) the Company has latitude in establishing the contract price with the advertisers, and (iii) the Company has inventory risk on a portion of its multi-year agreement with digital properties. Therefore, based on these and other factors, the Company reports revenue earned on a gross basis.</w:t>
      </w:r>
    </w:p>
    <w:p>
      <w:pPr>
        <w:spacing w:after="0" w:line="165"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For those revenue arrangements where the Company does not control the advertising inventory before it is transferred to its Advertisers, does not have inventory risks as the Company does not purchase the advertising inventory upfront or has limited discretion in establishing prices, the Company believes it acts as an agent and recognizes revenue and related costs incurred on a net basis.</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Trade receivables are recorded at the amount of gross billings the Company is responsible to collect, trade payables, representing liabilities towards digital properties, are recorded at the amount payable to publishers.</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Practical Expedients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generally expenses sales commissions when incurred because the amortization period would have been one year or less. These costs are recorded within sales and marketing expenses.</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Company’s cost of revenue primarily includes Traffic acquisition costs and other cost of revenue.</w:t>
      </w:r>
    </w:p>
    <w:p>
      <w:pPr>
        <w:spacing w:after="0" w:line="201"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i w:val="1"/>
          <w:iCs w:val="1"/>
          <w:color w:val="auto"/>
        </w:rPr>
        <w:t>Traffic acquisition cost</w:t>
      </w:r>
      <w:r>
        <w:rPr>
          <w:rFonts w:ascii="Times New Roman" w:cs="Times New Roman" w:eastAsia="Times New Roman" w:hAnsi="Times New Roman"/>
          <w:sz w:val="17"/>
          <w:szCs w:val="17"/>
          <w:color w:val="auto"/>
        </w:rPr>
        <w:t>. Traffic acquisition cost, or TAC, consists primarily of cost related to digital property compensation for placing Taboola’s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shorter of respective contractual terms and the economic benefit period of the digital property arrangement. Taboola has two primary compensation models for digital properties. The most common model is a revenue share model. In this model, Taboola agrees to pay a fixed percentage of the revenue that it generates from advertisements placed on the digital properties.</w:t>
      </w:r>
    </w:p>
    <w:p>
      <w:pPr>
        <w:spacing w:after="0" w:line="349"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second model includes guarantees. Under this model, Taboola mostly pays a greater of a fixed percentage of the revenue generated and a committed guaranteed amount per thousand page views (“Minimum guarantee model”). Actual compensation is settled on a monthly basis. Expenses under both the revenue share model as well as the Minimum guarantee model are recorded as incurred, based on actual revenues generated by Taboola at the respective month.</w:t>
      </w:r>
    </w:p>
    <w:p>
      <w:pPr>
        <w:spacing w:after="0" w:line="172"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7"/>
          <w:szCs w:val="17"/>
          <w:i w:val="1"/>
          <w:iCs w:val="1"/>
          <w:color w:val="auto"/>
        </w:rPr>
        <w:t>Other cost of revenue</w:t>
      </w:r>
      <w:r>
        <w:rPr>
          <w:rFonts w:ascii="Times New Roman" w:cs="Times New Roman" w:eastAsia="Times New Roman" w:hAnsi="Times New Roman"/>
          <w:sz w:val="17"/>
          <w:szCs w:val="17"/>
          <w:color w:val="auto"/>
        </w:rPr>
        <w:t>. Other cost of revenue primarily consists of data center and related costs, depreciation expense related to hardware supporting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Taboola’s platform, amortization expense related to capitalized internal-use software and acquired intangibles, personnel costs, and allocated facilities costs. Personnel costs include salaries, bonuses, share-based compensation, and employee benefit costs, and are primarily attributable to the operations group, which supports the Company’s platform and clients.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 costs, including salaries, bonuses, share-based compensation and employee benefits costs, allocated facilities costs, professional services and depreciation.</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Warrants Liability</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 Company evaluated the Public Warrants and Private Warrants (collectively: “Warrants”) in accordance with ASC 815-40, ‘‘Derivatives and Hedging</w:t>
      </w:r>
    </w:p>
    <w:p>
      <w:pPr>
        <w:spacing w:after="0" w:line="32" w:lineRule="exact"/>
        <w:rPr>
          <w:sz w:val="20"/>
          <w:szCs w:val="20"/>
          <w:color w:val="auto"/>
        </w:rPr>
      </w:pPr>
    </w:p>
    <w:p>
      <w:pPr>
        <w:jc w:val="both"/>
        <w:ind w:left="900"/>
        <w:spacing w:after="0" w:line="246" w:lineRule="auto"/>
        <w:rPr>
          <w:sz w:val="20"/>
          <w:szCs w:val="20"/>
          <w:color w:val="auto"/>
        </w:rPr>
      </w:pPr>
      <w:r>
        <w:rPr>
          <w:rFonts w:ascii="Times New Roman" w:cs="Times New Roman" w:eastAsia="Times New Roman" w:hAnsi="Times New Roman"/>
          <w:sz w:val="17"/>
          <w:szCs w:val="17"/>
          <w:color w:val="auto"/>
        </w:rPr>
        <w:t>— Contracts in Entity’s Own Equity’’, and concluded that a provision in the Warrants Agreement related to certain tender or exchange offers, as well as provisions that provided for potential changes to the settlement amounts dependent upon the characteristics of the holder of the warrant, preclude the Warrants from being accounted for as components of equity.</w:t>
      </w:r>
    </w:p>
    <w:p>
      <w:pPr>
        <w:spacing w:after="0" w:line="179"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As the Warrants meet the definition of a derivative as contemplated in ASC 815 and are not eligible for an exception from derivative accounting, the Warrants are recorded as derivative liabilities in the consolidated balance sheets and measured at fair value at inception (on June 29, 2021, the date of the Business Combination) and at each reporting period in accordance with ASC 820, ‘‘Fair Value Measurement’’, with changes in fair value presented within finance income (expense), net in the consolidated statements of loss in the period of change.</w:t>
      </w:r>
    </w:p>
    <w:p>
      <w:pPr>
        <w:spacing w:after="0" w:line="174"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established the initial fair value for the Warrants as of June 29, 2021, the date of the Business Combination, using a quoted price for the Public Warrants and a Black-Scholes simulation model for the Private Warrants. The Private Warrants were classified as Level 3 at the initial measurement date due to the use of unobservable inputs.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key inputs into the Black-Scholes model for the Private Warrants as of December 31, 2023 and 2022,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Input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
        </w:trPr>
        <w:tc>
          <w:tcPr>
            <w:tcW w:w="9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5"/>
              </w:rPr>
              <w:t>4.28%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- 4.18%</w:t>
            </w:r>
          </w:p>
        </w:tc>
      </w:tr>
      <w:tr>
        <w:trPr>
          <w:trHeight w:val="199"/>
        </w:trPr>
        <w:tc>
          <w:tcPr>
            <w:tcW w:w="90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5"/>
              </w:rPr>
              <w:t>- 3.50</w:t>
            </w:r>
          </w:p>
        </w:tc>
      </w:tr>
      <w:tr>
        <w:trPr>
          <w:trHeight w:val="199"/>
        </w:trPr>
        <w:tc>
          <w:tcPr>
            <w:tcW w:w="900" w:type="dxa"/>
            <w:vAlign w:val="bottom"/>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5"/>
              </w:rPr>
              <w:t>63.9%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- 69.3%</w:t>
            </w:r>
          </w:p>
        </w:tc>
      </w:tr>
      <w:tr>
        <w:trPr>
          <w:trHeight w:val="199"/>
        </w:trPr>
        <w:tc>
          <w:tcPr>
            <w:tcW w:w="90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11.50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11.50</w:t>
            </w:r>
          </w:p>
        </w:tc>
      </w:tr>
      <w:tr>
        <w:trPr>
          <w:trHeight w:val="199"/>
        </w:trPr>
        <w:tc>
          <w:tcPr>
            <w:tcW w:w="900" w:type="dxa"/>
            <w:vAlign w:val="bottom"/>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Underlying stock price</w:t>
            </w: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3.08</w:t>
            </w:r>
          </w:p>
        </w:tc>
      </w:tr>
      <w:tr>
        <w:trPr>
          <w:trHeight w:val="525"/>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40"/>
        </w:trPr>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Company’s use of a Black-Scholes model required the use of subjective assumptions:</w:t>
      </w:r>
    </w:p>
    <w:p>
      <w:pPr>
        <w:spacing w:after="0" w:line="203" w:lineRule="exact"/>
        <w:rPr>
          <w:sz w:val="20"/>
          <w:szCs w:val="20"/>
          <w:color w:val="auto"/>
        </w:rPr>
      </w:pPr>
    </w:p>
    <w:p>
      <w:pPr>
        <w:ind w:left="1340" w:hanging="445"/>
        <w:spacing w:after="0" w:line="254" w:lineRule="auto"/>
        <w:tabs>
          <w:tab w:leader="none" w:pos="1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assumption was interpolated based on constant maturity U.S. Treasury rates over a term commensurate with the expected term of the Private Warrants.</w:t>
      </w:r>
    </w:p>
    <w:p>
      <w:pPr>
        <w:spacing w:after="0" w:line="1" w:lineRule="exact"/>
        <w:rPr>
          <w:rFonts w:ascii="Times New Roman" w:cs="Times New Roman" w:eastAsia="Times New Roman" w:hAnsi="Times New Roman"/>
          <w:sz w:val="17"/>
          <w:szCs w:val="17"/>
          <w:color w:val="auto"/>
        </w:rPr>
      </w:pPr>
    </w:p>
    <w:p>
      <w:pPr>
        <w:jc w:val="both"/>
        <w:ind w:left="1340" w:hanging="445"/>
        <w:spacing w:after="0" w:line="259" w:lineRule="auto"/>
        <w:tabs>
          <w:tab w:leader="none" w:pos="1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p>
      <w:pPr>
        <w:spacing w:after="0" w:line="1" w:lineRule="exact"/>
        <w:rPr>
          <w:rFonts w:ascii="Times New Roman" w:cs="Times New Roman" w:eastAsia="Times New Roman" w:hAnsi="Times New Roman"/>
          <w:sz w:val="16"/>
          <w:szCs w:val="16"/>
          <w:color w:val="auto"/>
        </w:rPr>
      </w:pPr>
    </w:p>
    <w:p>
      <w:pPr>
        <w:ind w:left="1340" w:hanging="445"/>
        <w:spacing w:after="0" w:line="248" w:lineRule="auto"/>
        <w:tabs>
          <w:tab w:leader="none" w:pos="1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share volatility assumption was based on the implied volatility from a set of comparable publicly-traded companies as determined based on size and proximity.</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07"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Share-based compensation expense related to share-based awards is recognized based on the fair value of the awards granted and recognized as an expense over the requisite service period for share options and RSUs. The Company elects the straight-line recognition method for awards subject to graded vesting based only on a service condition and implements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176" w:lineRule="exact"/>
        <w:rPr>
          <w:sz w:val="20"/>
          <w:szCs w:val="20"/>
          <w:color w:val="auto"/>
        </w:rPr>
      </w:pPr>
    </w:p>
    <w:p>
      <w:pPr>
        <w:jc w:val="both"/>
        <w:ind w:left="900"/>
        <w:spacing w:after="0" w:line="270" w:lineRule="auto"/>
        <w:rPr>
          <w:sz w:val="20"/>
          <w:szCs w:val="20"/>
          <w:color w:val="auto"/>
        </w:rPr>
      </w:pPr>
      <w:r>
        <w:rPr>
          <w:rFonts w:ascii="Times New Roman" w:cs="Times New Roman" w:eastAsia="Times New Roman" w:hAnsi="Times New Roman"/>
          <w:sz w:val="16"/>
          <w:szCs w:val="16"/>
          <w:color w:val="auto"/>
        </w:rPr>
        <w:t>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award, the expected volatility of the price of the Company’s ordinary shares, risk-free interest rates, and the expected dividend yield of ordinary shares. The fair value of each RSU award is based on the fair value of the underlying ordinary shares on the grant date. The assumptions used to determine the fair value of the share awards represent management’s best estimates. These estimates involve inherent uncertainties and the application of management’s judgment.</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fair value of each option award is estimated using the following assumptions: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7"/>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900" w:type="dxa"/>
            <w:vAlign w:val="bottom"/>
            <w:gridSpan w:val="3"/>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90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10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66.0% - 66.9%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65.6%</w:t>
            </w: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1.86% - 3.78%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5"/>
              </w:rPr>
              <w:t>1.36%</w:t>
            </w: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5.49 - 6.1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6.86</w:t>
            </w:r>
          </w:p>
        </w:tc>
      </w:tr>
    </w:tbl>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did not grant options awards during the year ended December 31, 2023.</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These assumptions and estimates were determined as follows:</w:t>
      </w:r>
    </w:p>
    <w:p>
      <w:pPr>
        <w:spacing w:after="0" w:line="201" w:lineRule="exact"/>
        <w:rPr>
          <w:sz w:val="20"/>
          <w:szCs w:val="20"/>
          <w:color w:val="auto"/>
        </w:rPr>
      </w:pPr>
    </w:p>
    <w:p>
      <w:pPr>
        <w:jc w:val="both"/>
        <w:ind w:left="900"/>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Fair Value of Ordinary Shares. </w:t>
      </w:r>
      <w:r>
        <w:rPr>
          <w:rFonts w:ascii="Times New Roman" w:cs="Times New Roman" w:eastAsia="Times New Roman" w:hAnsi="Times New Roman"/>
          <w:sz w:val="16"/>
          <w:szCs w:val="16"/>
          <w:color w:val="auto"/>
        </w:rPr>
        <w:t>For periods after the Company’s shares began trading on June 30, 2021, the fair value of the shares is determined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closing price of the Company’s Ordinary shares as reported on the date of grant. For periods prior to the public listing, the fair value was determined by the Company’s board of directors, with input from management and valuation reports prepared by independent third-party valuation specialists.</w:t>
      </w:r>
    </w:p>
    <w:p>
      <w:pPr>
        <w:spacing w:after="0" w:line="32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5" w:lineRule="exact"/>
        <w:rPr>
          <w:sz w:val="20"/>
          <w:szCs w:val="20"/>
          <w:color w:val="auto"/>
        </w:rPr>
      </w:pPr>
    </w:p>
    <w:p>
      <w:pPr>
        <w:jc w:val="both"/>
        <w:ind w:left="9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rate for the expected term of the options is based on the yields of the U.S. Treasury securities with maturities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for the expected term of employee share option awards.</w:t>
      </w:r>
    </w:p>
    <w:p>
      <w:pPr>
        <w:spacing w:after="0" w:line="156" w:lineRule="exact"/>
        <w:rPr>
          <w:sz w:val="20"/>
          <w:szCs w:val="20"/>
          <w:color w:val="auto"/>
        </w:rPr>
      </w:pPr>
    </w:p>
    <w:p>
      <w:pPr>
        <w:jc w:val="both"/>
        <w:ind w:left="9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The expected term represents the period that options are expected to be outstanding. The Company determines the expected term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simplified method. The simplified method deems the term to be the average of the time-to-vesting and the contractual life of the options.</w:t>
      </w:r>
    </w:p>
    <w:p>
      <w:pPr>
        <w:spacing w:after="0" w:line="156"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Since the Company has a limited trading history of its Ordinary shares, the expected volatility is derived from the average historical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volatilities based on peer group public companies that the Company considers to be comparable to its own business over a period equivalent to the option’s expected term.</w:t>
      </w:r>
    </w:p>
    <w:p>
      <w:pPr>
        <w:spacing w:after="0" w:line="166" w:lineRule="exact"/>
        <w:rPr>
          <w:sz w:val="20"/>
          <w:szCs w:val="20"/>
          <w:color w:val="auto"/>
        </w:rPr>
      </w:pPr>
    </w:p>
    <w:p>
      <w:pPr>
        <w:jc w:val="both"/>
        <w:ind w:left="9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The Company has never declared or paid any cash dividends and does not presently plan to pay cash dividends in the foreseeable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As a result, an expected dividend yield of zero percent was used.</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7"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The Company is subject to income taxes in Israel, the U.S., and other foreign jurisdictions. These foreign jurisdictions may have different statutory rates than in Israel. Income taxes are accounted for in accordance with ASC 740, “Income Taxes”.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financial effect of changes in tax laws or rates is accounted for in the period of enactment. Valuation allowances are provided when necessary to reduce deferred tax assets to the amount expected to be realized.</w:t>
      </w:r>
    </w:p>
    <w:p>
      <w:pPr>
        <w:spacing w:after="0" w:line="159" w:lineRule="exact"/>
        <w:rPr>
          <w:sz w:val="20"/>
          <w:szCs w:val="20"/>
          <w:color w:val="auto"/>
        </w:rPr>
      </w:pPr>
    </w:p>
    <w:p>
      <w:pPr>
        <w:jc w:val="both"/>
        <w:ind w:left="900"/>
        <w:spacing w:after="0" w:line="247" w:lineRule="auto"/>
        <w:rPr>
          <w:sz w:val="20"/>
          <w:szCs w:val="20"/>
          <w:color w:val="auto"/>
        </w:rPr>
      </w:pPr>
      <w:r>
        <w:rPr>
          <w:rFonts w:ascii="Times New Roman" w:cs="Times New Roman" w:eastAsia="Times New Roman" w:hAnsi="Times New Roman"/>
          <w:sz w:val="17"/>
          <w:szCs w:val="17"/>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The Company classifies interest and penalties on income taxes (which includes uncertain tax positions) as taxes on income.</w:t>
      </w:r>
    </w:p>
    <w:p>
      <w:pPr>
        <w:spacing w:after="0" w:line="35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Loss Contingency</w:t>
      </w:r>
    </w:p>
    <w:p>
      <w:pPr>
        <w:spacing w:after="0" w:line="207" w:lineRule="exact"/>
        <w:rPr>
          <w:sz w:val="20"/>
          <w:szCs w:val="20"/>
          <w:color w:val="auto"/>
        </w:rPr>
      </w:pPr>
    </w:p>
    <w:p>
      <w:pPr>
        <w:jc w:val="both"/>
        <w:ind w:left="900"/>
        <w:spacing w:after="0" w:line="273" w:lineRule="auto"/>
        <w:rPr>
          <w:sz w:val="20"/>
          <w:szCs w:val="20"/>
          <w:color w:val="auto"/>
        </w:rPr>
      </w:pPr>
      <w:r>
        <w:rPr>
          <w:rFonts w:ascii="Times New Roman" w:cs="Times New Roman" w:eastAsia="Times New Roman" w:hAnsi="Times New Roman"/>
          <w:sz w:val="16"/>
          <w:szCs w:val="16"/>
          <w:color w:val="auto"/>
        </w:rPr>
        <w:t>The Company evaluates the likelihood of an unfavorable outcome in legal or regulatory proceedings to which it is a party and records a loss contingency when it is probable that a liability has been incurred and the amount of the loss can be reasonably estimated. These judgments are subjective, based on the status of such legal or regulatory proceedings, the merits of the Company’s defenses and consultation with corporate and external legal counsel. Actual outcomes may differ materially from the Company’s estimates. Legal costs associated with the proceedings are expensed as incurred.</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Treasury Ordinary Shares</w:t>
      </w:r>
    </w:p>
    <w:p>
      <w:pPr>
        <w:spacing w:after="0" w:line="207" w:lineRule="exact"/>
        <w:rPr>
          <w:sz w:val="20"/>
          <w:szCs w:val="20"/>
          <w:color w:val="auto"/>
        </w:rPr>
      </w:pPr>
    </w:p>
    <w:p>
      <w:pPr>
        <w:jc w:val="both"/>
        <w:ind w:left="900"/>
        <w:spacing w:after="0" w:line="301" w:lineRule="auto"/>
        <w:rPr>
          <w:sz w:val="20"/>
          <w:szCs w:val="20"/>
          <w:color w:val="auto"/>
        </w:rPr>
      </w:pPr>
      <w:r>
        <w:rPr>
          <w:rFonts w:ascii="Times New Roman" w:cs="Times New Roman" w:eastAsia="Times New Roman" w:hAnsi="Times New Roman"/>
          <w:sz w:val="16"/>
          <w:szCs w:val="16"/>
          <w:color w:val="auto"/>
        </w:rPr>
        <w:t>The Company may repurchase its Ordinary shares from time to time in the open market, or in other transactions, and holds such shares as treasury Ordinary shares. The Company presents the cost to repurchase treasury Ordinary shares as a separate component and as a reduction of shareholders’ equity.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 Company may reissue treasury Ordinary shares from time to time for various corporate purposes, including in connection with compensatory awards.</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 Attributable to Ordinary and Non-voting Ordinary Shareholders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calculates basic net income (loss) per share by dividing the net income (loss) by the weighted-average number of Ordinary shares and Non-voting Ordinary shares outstanding during the period. Diluted net income (loss) per share is computed by giving effect to all potentially dilutive securities outstanding for the period. Diluted net loss per share was the same as basic net loss per share in periods when the effects of potentially dilutive securities were anti-dilutive.</w:t>
      </w:r>
    </w:p>
    <w:p>
      <w:pPr>
        <w:spacing w:after="0" w:line="174"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For periods before the Company’s shares began trading on June 30, 2021, the Company calculated basic net income (loss) per share using the two-class method required for participating securities. The Company considered its convertible preferred shares to be participating securities as the holders of the convertible preferred shares would be entitled to dividends that would be distributed to the holders of ordinary shares, on a pro-rata basis assuming conversion of all convertible preferred shares into ordinary shares. These participating securities did not contractually require the holders of such shares to participate in the Company’s losses. As such, net loss for the periods presented was not allocated to the Company’s participating securities.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Certain amounts in the corresponding periods have been reclassified to conform with the current year’s presentation. Such reclassifications did not affect net loss, changes in the convertible preferred shares and shareholders’ equity or cash flows.</w:t>
      </w:r>
    </w:p>
    <w:p>
      <w:pPr>
        <w:spacing w:after="0" w:line="130"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SIGNIFICANT ACCOUNTING POLICIES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(Topics 740): Improvements to Income Tax Disclosures”, which expands the disclosure requirements for income taxes, primarily related to the rate reconciliation and income taxes paid. This ASU is effective for the fiscal years beginning after December 15, 2024. Early adoption permitted. The Company does not expect the adoption of this guidance will have a significant impact on its consolidated financial statement and related disclosures and will adopt the guidance effective January 1, 2025.</w:t>
      </w:r>
    </w:p>
    <w:p>
      <w:pPr>
        <w:spacing w:after="0" w:line="174"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which expands the annual and interim disclosure requirements for public company reportable segments, primarily through enhanced information about the significant expenses. This ASU is effective for fiscal years beginning after December 15, 2023, and for interim periods within fiscal years beginning after December 15, 2024. Early adoption permitted. The Company is currently evaluating the impact of this guidance on its consolidated financial statements and related disclosures.</w:t>
      </w:r>
    </w:p>
    <w:p>
      <w:pPr>
        <w:spacing w:after="0" w:line="34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3:-  CASH AND CASH EQUIVALENTS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8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The following table presents for each reported period, the breakdown of cash and cash equivalents: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142,127</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Money market accounts and funds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22,583</w:t>
            </w: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1,183</w:t>
            </w:r>
          </w:p>
        </w:tc>
      </w:tr>
      <w:tr>
        <w:trPr>
          <w:trHeight w:val="25"/>
        </w:trPr>
        <w:tc>
          <w:tcPr>
            <w:tcW w:w="900" w:type="dxa"/>
            <w:vAlign w:val="bottom"/>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9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176,108</w:t>
            </w:r>
          </w:p>
        </w:tc>
        <w:tc>
          <w:tcPr>
            <w:tcW w:w="20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165,893</w:t>
            </w:r>
          </w:p>
        </w:tc>
      </w:tr>
      <w:tr>
        <w:trPr>
          <w:trHeight w:val="20"/>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in the years ended December 31, 2023, 2022 and 2021.</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measured at fair value as of December 31, 2023 and 2022, by level within the fair value hierarchy:</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4"/>
              </w:rPr>
              <w:t>Fair Value</w:t>
            </w:r>
          </w:p>
        </w:tc>
        <w:tc>
          <w:tcPr>
            <w:tcW w:w="100" w:type="dxa"/>
            <w:vAlign w:val="bottom"/>
          </w:tcPr>
          <w:p>
            <w:pPr>
              <w:spacing w:after="0"/>
              <w:rPr>
                <w:sz w:val="15"/>
                <w:szCs w:val="15"/>
                <w:color w:val="auto"/>
              </w:rPr>
            </w:pPr>
          </w:p>
        </w:tc>
        <w:tc>
          <w:tcPr>
            <w:tcW w:w="1220" w:type="dxa"/>
            <w:vAlign w:val="bottom"/>
            <w:gridSpan w:val="3"/>
          </w:tcPr>
          <w:p>
            <w:pPr>
              <w:jc w:val="center"/>
              <w:ind w:right="180"/>
              <w:spacing w:after="0" w:line="179" w:lineRule="exact"/>
              <w:rPr>
                <w:sz w:val="20"/>
                <w:szCs w:val="20"/>
                <w:color w:val="auto"/>
              </w:rPr>
            </w:pPr>
            <w:r>
              <w:rPr>
                <w:rFonts w:ascii="Times New Roman" w:cs="Times New Roman" w:eastAsia="Times New Roman" w:hAnsi="Times New Roman"/>
                <w:sz w:val="17"/>
                <w:szCs w:val="17"/>
                <w:b w:val="1"/>
                <w:bCs w:val="1"/>
                <w:color w:val="auto"/>
                <w:w w:val="96"/>
              </w:rPr>
              <w:t>December 31,</w:t>
            </w:r>
          </w:p>
        </w:tc>
        <w:tc>
          <w:tcPr>
            <w:tcW w:w="10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Hierarchy</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80" w:type="dxa"/>
            <w:vAlign w:val="bottom"/>
            <w:gridSpan w:val="7"/>
          </w:tcPr>
          <w:p>
            <w:pPr>
              <w:spacing w:after="0" w:line="178" w:lineRule="exact"/>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accounts and funds</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Level 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72,510</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Borders>
              <w:bottom w:val="single" w:sz="8" w:color="auto"/>
            </w:tcBorders>
            <w:gridSpan w:val="3"/>
          </w:tcPr>
          <w:p>
            <w:pPr>
              <w:spacing w:after="0" w:line="162" w:lineRule="exact"/>
              <w:rPr>
                <w:sz w:val="20"/>
                <w:szCs w:val="20"/>
                <w:color w:val="auto"/>
              </w:rPr>
            </w:pPr>
            <w:r>
              <w:rPr>
                <w:rFonts w:ascii="Times New Roman" w:cs="Times New Roman" w:eastAsia="Times New Roman" w:hAnsi="Times New Roman"/>
                <w:sz w:val="17"/>
                <w:szCs w:val="17"/>
                <w:color w:val="auto"/>
                <w:w w:val="95"/>
              </w:rPr>
              <w:t>Short-term investments:</w:t>
            </w:r>
          </w:p>
        </w:tc>
        <w:tc>
          <w:tcPr>
            <w:tcW w:w="3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Level 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3,651</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Level 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2,074</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8,565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U.S. government treasuries</w:t>
            </w: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Level 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46,222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U.S. agency bonds</w:t>
            </w:r>
          </w:p>
        </w:tc>
        <w:tc>
          <w:tcPr>
            <w:tcW w:w="1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Level 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Derivative instruments asset:</w:t>
            </w: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Derivative instruments designated as cash flow hedging instruments</w:t>
            </w:r>
          </w:p>
        </w:tc>
        <w:tc>
          <w:tcPr>
            <w:tcW w:w="120" w:type="dxa"/>
            <w:vAlign w:val="bottom"/>
          </w:tcPr>
          <w:p>
            <w:pPr>
              <w:spacing w:after="0"/>
              <w:rPr>
                <w:sz w:val="17"/>
                <w:szCs w:val="17"/>
                <w:color w:val="auto"/>
              </w:rPr>
            </w:pPr>
          </w:p>
        </w:tc>
        <w:tc>
          <w:tcPr>
            <w:tcW w:w="26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948</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w w:val="93"/>
              </w:rPr>
              <w:t>Warrants liability:</w:t>
            </w:r>
          </w:p>
        </w:tc>
        <w:tc>
          <w:tcPr>
            <w:tcW w:w="398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1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Level 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(4,253)</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Warrants</w:t>
            </w: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Level 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(1,876)</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Borders>
              <w:bottom w:val="single" w:sz="8" w:color="auto"/>
            </w:tcBorders>
            <w:gridSpan w:val="5"/>
          </w:tcPr>
          <w:p>
            <w:pPr>
              <w:spacing w:after="0" w:line="162" w:lineRule="exact"/>
              <w:rPr>
                <w:sz w:val="20"/>
                <w:szCs w:val="20"/>
                <w:color w:val="auto"/>
              </w:rPr>
            </w:pPr>
            <w:r>
              <w:rPr>
                <w:rFonts w:ascii="Times New Roman" w:cs="Times New Roman" w:eastAsia="Times New Roman" w:hAnsi="Times New Roman"/>
                <w:sz w:val="17"/>
                <w:szCs w:val="17"/>
                <w:color w:val="auto"/>
                <w:w w:val="95"/>
              </w:rPr>
              <w:t>Derivative instruments liability:</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 designated as cash flow hedging instruments</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Level 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classifies its money market accounts and funds as Level 1 based on quoted market prices in active markets.</w:t>
      </w:r>
    </w:p>
    <w:p>
      <w:pPr>
        <w:spacing w:after="0" w:line="20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classifies its short-term investments and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341"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FAIR VALUE MEASUREMENTS (Cont.)</w:t>
      </w:r>
    </w:p>
    <w:p>
      <w:pPr>
        <w:spacing w:after="0" w:line="207"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7"/>
          <w:szCs w:val="17"/>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4"/>
          </w:tcPr>
          <w:p>
            <w:pPr>
              <w:ind w:left="900"/>
              <w:spacing w:after="0"/>
              <w:rPr>
                <w:sz w:val="20"/>
                <w:szCs w:val="20"/>
                <w:color w:val="auto"/>
              </w:rPr>
            </w:pPr>
            <w:r>
              <w:rPr>
                <w:rFonts w:ascii="Times New Roman" w:cs="Times New Roman" w:eastAsia="Times New Roman" w:hAnsi="Times New Roman"/>
                <w:sz w:val="17"/>
                <w:szCs w:val="17"/>
                <w:color w:val="auto"/>
                <w:w w:val="99"/>
              </w:rPr>
              <w:t>The following table presents the changes in the fair value of Warrants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Public</w:t>
            </w:r>
          </w:p>
        </w:tc>
        <w:tc>
          <w:tcPr>
            <w:tcW w:w="14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82"/>
        </w:trPr>
        <w:tc>
          <w:tcPr>
            <w:tcW w:w="6280" w:type="dxa"/>
            <w:vAlign w:val="bottom"/>
            <w:gridSpan w:val="4"/>
          </w:tcPr>
          <w:p>
            <w:pPr>
              <w:ind w:left="900"/>
              <w:spacing w:after="0" w:line="182" w:lineRule="exact"/>
              <w:rPr>
                <w:sz w:val="20"/>
                <w:szCs w:val="20"/>
                <w:color w:val="auto"/>
              </w:rPr>
            </w:pPr>
            <w:r>
              <w:rPr>
                <w:rFonts w:ascii="Times New Roman" w:cs="Times New Roman" w:eastAsia="Times New Roman" w:hAnsi="Times New Roman"/>
                <w:sz w:val="17"/>
                <w:szCs w:val="17"/>
                <w:b w:val="1"/>
                <w:bCs w:val="1"/>
                <w:color w:val="auto"/>
              </w:rPr>
              <w:t>Input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7"/>
                <w:szCs w:val="17"/>
                <w:b w:val="1"/>
                <w:bCs w:val="1"/>
                <w:color w:val="auto"/>
              </w:rPr>
              <w:t>Warrants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7"/>
                <w:szCs w:val="17"/>
                <w:b w:val="1"/>
                <w:bCs w:val="1"/>
                <w:color w:val="auto"/>
                <w:w w:val="95"/>
              </w:rPr>
              <w:t>Warrants</w:t>
            </w:r>
          </w:p>
        </w:tc>
        <w:tc>
          <w:tcPr>
            <w:tcW w:w="140" w:type="dxa"/>
            <w:vAlign w:val="bottom"/>
          </w:tcPr>
          <w:p>
            <w:pPr>
              <w:spacing w:after="0"/>
              <w:rPr>
                <w:sz w:val="15"/>
                <w:szCs w:val="15"/>
                <w:color w:val="auto"/>
              </w:rPr>
            </w:pPr>
          </w:p>
        </w:tc>
        <w:tc>
          <w:tcPr>
            <w:tcW w:w="98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7"/>
                <w:szCs w:val="17"/>
                <w:b w:val="1"/>
                <w:bCs w:val="1"/>
                <w:color w:val="auto"/>
                <w:w w:val="95"/>
              </w:rPr>
              <w:t>Warrants</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 from private to public holdings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(628)</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Fair value as of December 31, 2023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6,129</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5:-  SHORT-TERM INVESTMENTS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2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available-for-sale marketable securities: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7"/>
                <w:szCs w:val="17"/>
                <w:b w:val="1"/>
                <w:bCs w:val="1"/>
                <w:color w:val="auto"/>
                <w:w w:val="94"/>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80"/>
              <w:spacing w:after="0" w:line="179"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5"/>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Unrealized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Unrealized</w:t>
            </w:r>
          </w:p>
        </w:tc>
        <w:tc>
          <w:tcPr>
            <w:tcW w:w="14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2,074</w:t>
            </w:r>
          </w:p>
        </w:tc>
        <w:tc>
          <w:tcPr>
            <w:tcW w:w="0" w:type="dxa"/>
            <w:vAlign w:val="bottom"/>
          </w:tcPr>
          <w:p>
            <w:pPr>
              <w:spacing w:after="0"/>
              <w:rPr>
                <w:sz w:val="1"/>
                <w:szCs w:val="1"/>
                <w:color w:val="auto"/>
              </w:rPr>
            </w:pPr>
          </w:p>
        </w:tc>
      </w:tr>
      <w:tr>
        <w:trPr>
          <w:trHeight w:val="25"/>
        </w:trPr>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3"/>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7"/>
                <w:szCs w:val="17"/>
                <w:b w:val="1"/>
                <w:bCs w:val="1"/>
                <w:color w:val="auto"/>
                <w:w w:val="94"/>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80"/>
              <w:spacing w:after="0" w:line="179"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5"/>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Unrealized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Unrealized</w:t>
            </w:r>
          </w:p>
        </w:tc>
        <w:tc>
          <w:tcPr>
            <w:tcW w:w="14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14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government treasuries</w:t>
            </w: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46,452</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right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21,636</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agency bonds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20,622</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20,491</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8,565</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97,435</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right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80"/>
        <w:spacing w:after="0" w:line="301" w:lineRule="auto"/>
        <w:rPr>
          <w:sz w:val="20"/>
          <w:szCs w:val="20"/>
          <w:color w:val="auto"/>
        </w:rPr>
      </w:pPr>
      <w:r>
        <w:rPr>
          <w:rFonts w:ascii="Times New Roman" w:cs="Times New Roman" w:eastAsia="Times New Roman" w:hAnsi="Times New Roman"/>
          <w:sz w:val="16"/>
          <w:szCs w:val="16"/>
          <w:color w:val="auto"/>
        </w:rPr>
        <w:t>As of December 31, 2023 and 2022, the unrealized losses related to marketable securities (which were accumulated in a period of less than 12 months) were not due to credit losses, and therefore, the Company did not record an allowance for credit losses for its available-for-sale marketable securities.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As of December 31, 2023, all of the Company’s available-for-sale marketable securities were due within one year.</w:t>
      </w:r>
    </w:p>
    <w:p>
      <w:pPr>
        <w:spacing w:after="0" w:line="37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DERIVATIVE INSTRUMENTS AND HEDGING ACTIVITIES</w:t>
      </w:r>
    </w:p>
    <w:p>
      <w:pPr>
        <w:spacing w:after="0" w:line="207" w:lineRule="exact"/>
        <w:rPr>
          <w:sz w:val="20"/>
          <w:szCs w:val="20"/>
          <w:color w:val="auto"/>
        </w:rPr>
      </w:pPr>
    </w:p>
    <w:p>
      <w:pPr>
        <w:ind w:left="900" w:right="660"/>
        <w:spacing w:after="0" w:line="269" w:lineRule="auto"/>
        <w:rPr>
          <w:sz w:val="20"/>
          <w:szCs w:val="20"/>
          <w:color w:val="auto"/>
        </w:rPr>
      </w:pPr>
      <w:r>
        <w:rPr>
          <w:rFonts w:ascii="Times New Roman" w:cs="Times New Roman" w:eastAsia="Times New Roman" w:hAnsi="Times New Roman"/>
          <w:sz w:val="17"/>
          <w:szCs w:val="17"/>
          <w:color w:val="auto"/>
        </w:rPr>
        <w:t>The Company records all cash flow hedging instruments on the consolidated balance sheets at fair value. The fair values of outstanding derivative instruments designated as cash flow hedging instruments were as follows:</w:t>
      </w:r>
    </w:p>
    <w:p>
      <w:pPr>
        <w:spacing w:after="0" w:line="155"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15240</wp:posOffset>
            </wp:positionV>
            <wp:extent cx="14382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38275" cy="15875"/>
                    </a:xfrm>
                    <a:prstGeom prst="rect">
                      <a:avLst/>
                    </a:prstGeom>
                    <a:noFill/>
                  </pic:spPr>
                </pic:pic>
              </a:graphicData>
            </a:graphic>
          </wp:anchor>
        </w:drawing>
      </w:r>
    </w:p>
    <w:p>
      <w:pPr>
        <w:spacing w:after="0" w:line="8" w:lineRule="exact"/>
        <w:rPr>
          <w:sz w:val="20"/>
          <w:szCs w:val="20"/>
          <w:color w:val="auto"/>
        </w:rPr>
      </w:pPr>
    </w:p>
    <w:p>
      <w:pPr>
        <w:ind w:left="9260"/>
        <w:spacing w:after="0"/>
        <w:tabs>
          <w:tab w:leader="none" w:pos="10460"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p>
    <w:p>
      <w:pPr>
        <w:spacing w:after="0" w:line="44" w:lineRule="exact"/>
        <w:rPr>
          <w:sz w:val="20"/>
          <w:szCs w:val="20"/>
          <w:color w:val="auto"/>
        </w:rPr>
      </w:pPr>
    </w:p>
    <w:tbl>
      <w:tblPr>
        <w:tblLayout w:type="fixed"/>
        <w:tblInd w:w="900" w:type="dxa"/>
        <w:tblCellMar>
          <w:top w:w="0" w:type="dxa"/>
          <w:left w:w="0" w:type="dxa"/>
          <w:bottom w:w="0" w:type="dxa"/>
          <w:right w:w="0" w:type="dxa"/>
        </w:tblCellMar>
      </w:tblPr>
      <w:tr>
        <w:trPr>
          <w:trHeight w:val="20"/>
        </w:trPr>
        <w:tc>
          <w:tcPr>
            <w:tcW w:w="7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7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Prepaid expenses and other current assets</w:t>
            </w:r>
          </w:p>
        </w:tc>
        <w:tc>
          <w:tcPr>
            <w:tcW w:w="440" w:type="dxa"/>
            <w:vAlign w:val="bottom"/>
            <w:shd w:val="clear" w:color="auto" w:fill="CCEEFF"/>
          </w:tcPr>
          <w:p>
            <w:pPr>
              <w:jc w:val="right"/>
              <w:ind w:right="277"/>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948</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57"/>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00"/>
              <w:spacing w:after="0" w:line="184" w:lineRule="exact"/>
              <w:rPr>
                <w:sz w:val="20"/>
                <w:szCs w:val="20"/>
                <w:color w:val="auto"/>
              </w:rPr>
            </w:pPr>
            <w:r>
              <w:rPr>
                <w:rFonts w:ascii="Times New Roman" w:cs="Times New Roman" w:eastAsia="Times New Roman" w:hAnsi="Times New Roman"/>
                <w:sz w:val="17"/>
                <w:szCs w:val="17"/>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313</w:t>
            </w:r>
          </w:p>
        </w:tc>
      </w:tr>
    </w:tbl>
    <w:p>
      <w:pPr>
        <w:spacing w:after="0" w:line="16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and 2022, the notional amounts of the Company’s derivative instruments designated as cash flow hedging instruments outstanding in U.S. dollars amounted to $39,347 and $38,669, respectively.</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had no derivative instruments or hedging activities as of December 31, 2021.</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Effect of Foreign Currency Contracts on the Consolidated Statements of loss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effect of foreign currency contracts designated as cash flow hedge on the consolidated statements of loss, for the years ended December 31, 2023 and 2022, were as follows: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3,244</w:t>
            </w: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620</w:t>
            </w: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538</w:t>
            </w:r>
          </w:p>
        </w:tc>
      </w:tr>
      <w:tr>
        <w:trPr>
          <w:trHeight w:val="204"/>
        </w:trPr>
        <w:tc>
          <w:tcPr>
            <w:tcW w:w="20" w:type="dxa"/>
            <w:vAlign w:val="bottom"/>
          </w:tcPr>
          <w:p>
            <w:pPr>
              <w:spacing w:after="0"/>
              <w:rPr>
                <w:sz w:val="17"/>
                <w:szCs w:val="17"/>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losses recognized in the consolidated statements of loss, net</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Effect of Foreign Currency Contracts on Accumulated Other Comprehensive Income (Loss)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Net unrealized gains (losses) of foreign currency contracts designated as cash flow hedging instruments are recorded in accumulated other comprehensive income (loss).</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changes in unrealized gains (losses) on the Company’s derivative instruments recorded in accumulated other comprehensive income (loss) were as follows: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losses on derivative instruments, beginning of period</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of derivative instruments</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(1,114)</w:t>
            </w:r>
          </w:p>
        </w:tc>
        <w:tc>
          <w:tcPr>
            <w:tcW w:w="3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Reclassification of losses recognized in the consolidated statements of loss from accumulated other comprehensive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4,852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gains (losses) on derivative instruments, end of period</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200" w:type="dxa"/>
            <w:vAlign w:val="bottom"/>
          </w:tcPr>
          <w:p>
            <w:pPr>
              <w:spacing w:after="0"/>
              <w:rPr>
                <w:sz w:val="17"/>
                <w:szCs w:val="17"/>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All net deferred gains in accumulated other comprehensive income (loss) as of December 31, 2023, are expected to be recognized over the next twelve months as operating expenses in the same financial statement line item in the consolidated statements of loss to which the derivative relates.</w:t>
      </w:r>
    </w:p>
    <w:p>
      <w:pPr>
        <w:spacing w:after="0" w:line="330"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BUSINESS COMBINATION</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Connexity</w:t>
      </w:r>
    </w:p>
    <w:p>
      <w:pPr>
        <w:spacing w:after="0" w:line="207"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6"/>
          <w:szCs w:val="16"/>
          <w:color w:val="auto"/>
        </w:rPr>
        <w:t>On September 1, 2021, the Company completed the acquisition of Shop Holding Corporation (“Connexity”) (the “Connexity Acquisition”), an independent e-Commerce media platform in the open web, from Shop Management, LLC (“Seller”). Connexity is a technology and data-driven integrated marketing services company focused on the e-commerce ecosystem. Through a focus on performance-based retail marketing, Connexity enables retailers and brands to understand their consumers better, acquire new customers at a lower cost, and increase sales from their target consumers. Connexity offers a comprehensive range of marketing services to online retailers and brands in the U.S. and Europe, including syndicated product listings, search marketing, and customer insights. Connexity corporate headquarters is in Santa Monica, California, and the Company also maintains an office in Karlsruhe, Germany.</w:t>
      </w:r>
    </w:p>
    <w:p>
      <w:pPr>
        <w:spacing w:after="0" w:line="16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In accordance with the acquisition method of accounting, the total purchase price for the Connexity Acquisition was $753,217, comprised of $593,894 in cash and $157,689 based on the fair value of 17,328,049 shares of the Company’s Ordinary shares on the closing date and additional subsequent payment of $1,634 made during 2022 (of which $431 were accrued in December 2021).</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the Company performed final settlement of net working capital transactions that resulted in a net decrease of $374 in Goodwill.</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incurred acquisition-related transaction costs of $6,432 during the year ended December 31, 2021, which were included in general and administrative expenses in the consolidated statements of loss.</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also committed to issue 3,681,030 of the Company’s Ordinary shares to certain Connexity employees (the “Holdback agreement”), to be released to those employees over the period of three years after the acquisition date, subject to their continued service and expensed over the applicable service periods.</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the years ended December 31, 2023 and 2022, pursuant to the Holdback agreement, the Company issued 1,162,800 Ordinary shares and 1,227,010 Ordinary shares, respectively.</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addition, pursuant to the purchase agreement, the Company issued approximately $40,000 of RSUs to Connexity employees in accordance with the terms of the Company’s equity plan. These RSUs are expected to vest and be expensed over a 4-5 year service period.</w:t>
      </w:r>
    </w:p>
    <w:p>
      <w:pPr>
        <w:spacing w:after="0" w:line="159"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final fair value of assets acquired and liabilities assumed:</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 acquired</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9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assumed</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BUSINESS COMBINATION (Cont.)</w:t>
      </w:r>
    </w:p>
    <w:p>
      <w:pPr>
        <w:spacing w:after="0" w:line="207"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7"/>
          <w:szCs w:val="17"/>
          <w:color w:val="auto"/>
        </w:rPr>
        <w:t>Goodwill represents the purchase price paid in excess of the fair value of net tangible and intangible assets acquired, and is attributable primarily to expected synergies, economies of scale and the assembled workforce of Connexity. Goodwill is not deductible for income tax purposes.</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following table presents components of the identified intangible assets acquired and their estimated useful lives as of date of acquisition:</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24"/>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Merchant/Network affiliate relationships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146,547</w:t>
            </w:r>
          </w:p>
        </w:tc>
        <w:tc>
          <w:tcPr>
            <w:tcW w:w="2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84"/>
              </w:rPr>
              <w:t>4.5</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Technology (1)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56,548</w:t>
            </w:r>
          </w:p>
        </w:tc>
        <w:tc>
          <w:tcPr>
            <w:tcW w:w="20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5.0</w:t>
            </w: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Publisher relationships (2)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20" w:type="dxa"/>
            <w:vAlign w:val="bottom"/>
          </w:tcPr>
          <w:p>
            <w:pPr>
              <w:spacing w:after="0"/>
              <w:rPr>
                <w:sz w:val="17"/>
                <w:szCs w:val="17"/>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Tradenames (2)</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23,997</w:t>
            </w:r>
          </w:p>
        </w:tc>
        <w:tc>
          <w:tcPr>
            <w:tcW w:w="20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3.0</w:t>
            </w:r>
          </w:p>
        </w:tc>
      </w:tr>
      <w:tr>
        <w:trPr>
          <w:trHeight w:val="239"/>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Intangible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270,025</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79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___________________________________________</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ind w:left="1260" w:hanging="365"/>
        <w:spacing w:after="0"/>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was determined by using the income approach.</w:t>
      </w:r>
    </w:p>
    <w:p>
      <w:pPr>
        <w:spacing w:after="0" w:line="2" w:lineRule="exact"/>
        <w:rPr>
          <w:rFonts w:ascii="Times New Roman" w:cs="Times New Roman" w:eastAsia="Times New Roman" w:hAnsi="Times New Roman"/>
          <w:sz w:val="17"/>
          <w:szCs w:val="17"/>
          <w:color w:val="auto"/>
        </w:rPr>
      </w:pPr>
    </w:p>
    <w:p>
      <w:pPr>
        <w:ind w:left="1260" w:hanging="365"/>
        <w:spacing w:after="0"/>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was determined by using the cost approach.</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results of operations of Connexity have been included in the consolidated financial statements since the acquisition date of September 1, 2021.</w:t>
      </w:r>
    </w:p>
    <w:p>
      <w:pPr>
        <w:spacing w:after="0" w:line="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Connexity revenue included in the Company’s consolidated statement of operations from September 1, 2021, through December 31, 2021, was $37,692.</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There is no practical way to determine net income attributable to Connexity due to integration.</w:t>
      </w:r>
    </w:p>
    <w:p>
      <w:pPr>
        <w:spacing w:after="0" w:line="186"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following unaudited pro forma combined financial information table presents the results of operations of the Company and Connexity as if the acquisition of Connexity have been completed on January 1, 2020. The unaudited pro forma financial information includes adjustments primarily related to amortization of the acquired intangible assets, recognition of transaction costs and bonuses, recognition of share-based compensation associated with RSU grants to Connexity employees and the holdback consideration, as noted above.</w:t>
      </w:r>
    </w:p>
    <w:p>
      <w:pPr>
        <w:spacing w:after="0" w:line="174" w:lineRule="exact"/>
        <w:rPr>
          <w:sz w:val="20"/>
          <w:szCs w:val="20"/>
          <w:color w:val="auto"/>
        </w:rPr>
      </w:pPr>
    </w:p>
    <w:p>
      <w:pPr>
        <w:jc w:val="both"/>
        <w:ind w:left="900"/>
        <w:spacing w:after="0" w:line="301" w:lineRule="auto"/>
        <w:rPr>
          <w:sz w:val="20"/>
          <w:szCs w:val="20"/>
          <w:color w:val="auto"/>
        </w:rPr>
      </w:pPr>
      <w:r>
        <w:rPr>
          <w:rFonts w:ascii="Times New Roman" w:cs="Times New Roman" w:eastAsia="Times New Roman" w:hAnsi="Times New Roman"/>
          <w:sz w:val="16"/>
          <w:szCs w:val="16"/>
          <w:color w:val="auto"/>
        </w:rPr>
        <w:t>The unaudited pro forma results have been prepared for illustrative purposes only and are not necessarily indicative of what the actual results of operations of the Company and Connexity, combined, would have been due to any synergies, economies of scale and the assembled workforce of Connexity.</w:t>
      </w:r>
    </w:p>
    <w:p>
      <w:pPr>
        <w:spacing w:after="0" w:line="132"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17"/>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04"/>
        </w:trPr>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7"/>
                <w:szCs w:val="17"/>
                <w:b w:val="1"/>
                <w:bCs w:val="1"/>
                <w:color w:val="auto"/>
                <w:w w:val="96"/>
              </w:rPr>
              <w:t>Unaudited</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7"/>
                <w:szCs w:val="17"/>
                <w:color w:val="auto"/>
              </w:rPr>
            </w:pPr>
          </w:p>
        </w:tc>
      </w:tr>
      <w:tr>
        <w:trPr>
          <w:trHeight w:val="19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4"/>
              </w:rPr>
              <w:t>1,433,555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4"/>
              </w:rPr>
              <w:t>1,258,214</w:t>
            </w: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(50,312)</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(144,146)</w:t>
            </w:r>
          </w:p>
        </w:tc>
      </w:tr>
    </w:tbl>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Gravity R&amp;D Zrt.</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212529"/>
        </w:rPr>
        <w:t xml:space="preserve">In July 2022, the Company completed the acquisition of Gravity R&amp;D Zrt. (“Gravity R&amp;D”) </w:t>
      </w:r>
      <w:r>
        <w:rPr>
          <w:rFonts w:ascii="Times New Roman" w:cs="Times New Roman" w:eastAsia="Times New Roman" w:hAnsi="Times New Roman"/>
          <w:sz w:val="17"/>
          <w:szCs w:val="17"/>
          <w:color w:val="000000"/>
        </w:rPr>
        <w:t>a privately-held company based in Budapest, Hungary, which</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provides personalization recommendation services, for a total consideration of $7,035, net of cash acquired. As part of a purchase price allocation, $1,780 was attributed to identified intangible assets and $5,925 to goodwill. Goodwill is not deductible for income tax purposes.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BUSINESS COMBINATION (Cont.)</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2022, total acquisition-related transaction costs of $742 were incurred in relation to the acquisition, which were recognized as an expense and included in general and administrative expenses in the consolidated statements of loss.</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results of Gravity R&amp;D operations were consolidated in the Company’s consolidated financial statements commencing on the date of the acquisition and were immaterial to the Company’s results of operations for the year ended December 31, 2022. Pro forma information has not been provided, since the impact of Gravity R&amp;D’s financial results were immaterial to the revenue and net loss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8:-  PREPAID EXPENSES AND OTHER CURRENT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51,110</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Government institutions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15,277</w:t>
            </w: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7,256</w:t>
            </w:r>
          </w:p>
        </w:tc>
      </w:tr>
      <w:tr>
        <w:trPr>
          <w:trHeight w:val="239"/>
        </w:trPr>
        <w:tc>
          <w:tcPr>
            <w:tcW w:w="900" w:type="dxa"/>
            <w:vAlign w:val="bottom"/>
          </w:tcPr>
          <w:p>
            <w:pPr>
              <w:spacing w:after="0"/>
              <w:rPr>
                <w:sz w:val="20"/>
                <w:szCs w:val="20"/>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69,865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88"/>
        </w:trPr>
        <w:tc>
          <w:tcPr>
            <w:tcW w:w="8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9:-  PROPERTY AND EQUIPMENT, NET</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and equipment and software</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192,555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180,064</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Internal-use software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48,433</w:t>
            </w: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19,211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5,155</w:t>
            </w: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278,024</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252,863</w:t>
            </w:r>
          </w:p>
        </w:tc>
        <w:tc>
          <w:tcPr>
            <w:tcW w:w="100" w:type="dxa"/>
            <w:vAlign w:val="bottom"/>
            <w:shd w:val="clear" w:color="auto" w:fill="CCEEFF"/>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(205,869)</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(179,844)</w:t>
            </w:r>
          </w:p>
        </w:tc>
      </w:tr>
      <w:tr>
        <w:trPr>
          <w:trHeight w:val="204"/>
        </w:trPr>
        <w:tc>
          <w:tcPr>
            <w:tcW w:w="900" w:type="dxa"/>
            <w:vAlign w:val="bottom"/>
          </w:tcPr>
          <w:p>
            <w:pPr>
              <w:spacing w:after="0"/>
              <w:rPr>
                <w:sz w:val="17"/>
                <w:szCs w:val="17"/>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72,155</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73,019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capitalized internal-use software costs of $14,431 and $14,954 for the years ended December 31, 2023 and 2022, respectively. The Company’s capitalized internal-use software amortization is included in cost of revenues in the Company’s consolidated statements of loss and totaled to $12,446, $5,422 and $1,923 for the years ended December 31, 2023, 2022 and 2021, respectively.</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Total depreciation expenses (including amortization of internal-use software) for the years ended December 31, 2023, 2022 and 2021, were $32,624, $27,664 and $30,104, respectively.</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For the years ended December 31, 2023, 2022 and 2021, the Company wrote off fully depreciated property and equipment, which were no longer in use, with a cost basis of $6,599, $2,393 and $0, respectively.</w:t>
      </w:r>
    </w:p>
    <w:p>
      <w:pPr>
        <w:spacing w:after="0" w:line="33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10:- GOODWILL AND INTANGIBLE ASSETS, NET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720" w:type="dxa"/>
            <w:vAlign w:val="bottom"/>
            <w:gridSpan w:val="7"/>
          </w:tcPr>
          <w:p>
            <w:pPr>
              <w:ind w:left="900"/>
              <w:spacing w:after="0"/>
              <w:rPr>
                <w:sz w:val="20"/>
                <w:szCs w:val="20"/>
                <w:color w:val="auto"/>
              </w:rPr>
            </w:pPr>
            <w:r>
              <w:rPr>
                <w:rFonts w:ascii="Times New Roman" w:cs="Times New Roman" w:eastAsia="Times New Roman" w:hAnsi="Times New Roman"/>
                <w:sz w:val="17"/>
                <w:szCs w:val="17"/>
                <w:color w:val="auto"/>
                <w:w w:val="99"/>
              </w:rPr>
              <w:t>The following table represents the changes in the carrying amounts of the Company’s total goodwill: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Purchase accounting adjustment (1)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 from acquisition (2)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5,863</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555,869</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accounting adjustment (2)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555,931</w:t>
            </w:r>
          </w:p>
        </w:tc>
        <w:tc>
          <w:tcPr>
            <w:tcW w:w="0" w:type="dxa"/>
            <w:vAlign w:val="bottom"/>
          </w:tcPr>
          <w:p>
            <w:pPr>
              <w:spacing w:after="0"/>
              <w:rPr>
                <w:sz w:val="1"/>
                <w:szCs w:val="1"/>
                <w:color w:val="auto"/>
              </w:rPr>
            </w:pPr>
          </w:p>
        </w:tc>
      </w:tr>
      <w:tr>
        <w:trPr>
          <w:trHeight w:val="183"/>
        </w:trPr>
        <w:tc>
          <w:tcPr>
            <w:tcW w:w="6200" w:type="dxa"/>
            <w:vAlign w:val="bottom"/>
            <w:gridSpan w:val="2"/>
          </w:tcPr>
          <w:p>
            <w:pPr>
              <w:ind w:left="900"/>
              <w:spacing w:after="0" w:line="183" w:lineRule="exact"/>
              <w:rPr>
                <w:sz w:val="20"/>
                <w:szCs w:val="20"/>
                <w:color w:val="auto"/>
              </w:rPr>
            </w:pPr>
            <w:r>
              <w:rPr>
                <w:rFonts w:ascii="Times New Roman" w:cs="Times New Roman" w:eastAsia="Times New Roman" w:hAnsi="Times New Roman"/>
                <w:sz w:val="17"/>
                <w:szCs w:val="17"/>
                <w:color w:val="auto"/>
              </w:rPr>
              <w:t>__________________________________________</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(1) Related to the Connexity acquisition.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(2) Related to the Gravity R&amp;D acquisition.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Definite-lived intangible assets, net consist of the following:</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Weighted-Average</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Remaining Useful</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Gross Fair</w:t>
            </w:r>
          </w:p>
        </w:tc>
        <w:tc>
          <w:tcPr>
            <w:tcW w:w="10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Net Book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0" w:type="dxa"/>
            <w:vAlign w:val="bottom"/>
          </w:tcPr>
          <w:p>
            <w:pPr>
              <w:spacing w:after="0"/>
              <w:rPr>
                <w:sz w:val="1"/>
                <w:szCs w:val="1"/>
                <w:color w:val="auto"/>
              </w:rPr>
            </w:pPr>
          </w:p>
        </w:tc>
      </w:tr>
      <w:tr>
        <w:trPr>
          <w:trHeight w:val="224"/>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Amortization</w:t>
            </w: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260" w:type="dxa"/>
            <w:vAlign w:val="bottom"/>
          </w:tcPr>
          <w:p>
            <w:pPr>
              <w:spacing w:after="0"/>
              <w:rPr>
                <w:sz w:val="19"/>
                <w:szCs w:val="19"/>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Merchant/Network affiliate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(75,987)</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70,560</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Technology</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74,193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(43,535)</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30,658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Publisher relationships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(25,044)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17,889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Tradenames</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(18,739)</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5,358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(12,353)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300,916</w:t>
            </w:r>
          </w:p>
        </w:tc>
        <w:tc>
          <w:tcPr>
            <w:tcW w:w="10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(175,658)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125,258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Weighted-Average</w:t>
            </w:r>
          </w:p>
        </w:tc>
        <w:tc>
          <w:tcPr>
            <w:tcW w:w="0" w:type="dxa"/>
            <w:vAlign w:val="bottom"/>
          </w:tcPr>
          <w:p>
            <w:pPr>
              <w:spacing w:after="0" w:line="20" w:lineRule="exact"/>
              <w:rPr>
                <w:sz w:val="1"/>
                <w:szCs w:val="1"/>
                <w:color w:val="auto"/>
              </w:rPr>
            </w:pPr>
          </w:p>
        </w:tc>
      </w:tr>
      <w:tr>
        <w:trPr>
          <w:trHeight w:val="367"/>
        </w:trPr>
        <w:tc>
          <w:tcPr>
            <w:tcW w:w="9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Remaining Useful</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Gross Fair</w:t>
            </w:r>
          </w:p>
        </w:tc>
        <w:tc>
          <w:tcPr>
            <w:tcW w:w="10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Net Book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0" w:type="dxa"/>
            <w:vAlign w:val="bottom"/>
          </w:tcPr>
          <w:p>
            <w:pPr>
              <w:spacing w:after="0"/>
              <w:rPr>
                <w:sz w:val="1"/>
                <w:szCs w:val="1"/>
                <w:color w:val="auto"/>
              </w:rPr>
            </w:pPr>
          </w:p>
        </w:tc>
      </w:tr>
      <w:tr>
        <w:trPr>
          <w:trHeight w:val="224"/>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0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260" w:type="dxa"/>
            <w:vAlign w:val="bottom"/>
          </w:tcPr>
          <w:p>
            <w:pPr>
              <w:spacing w:after="0"/>
              <w:rPr>
                <w:sz w:val="19"/>
                <w:szCs w:val="19"/>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Merchant/Network affiliate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(43,421)</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103,126</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Technology</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74,193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(32,042)</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42,151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Publisher relationships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(14,311)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28,622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Tradenames</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(10,689)</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13,408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(11,307)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300,926</w:t>
            </w:r>
          </w:p>
        </w:tc>
        <w:tc>
          <w:tcPr>
            <w:tcW w:w="10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(111,770)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189,156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Amortization expenses for intangible assets were $63,888, $63,557 and $23,007 for the years ended December 31, 2023, 2022 and 2021, respectively.</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estimated future amortization expense of definite-lived intangible assets as of December 31, 2023, is as follows:</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220"/>
        </w:trPr>
        <w:tc>
          <w:tcPr>
            <w:tcW w:w="9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60,518</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51,407</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125,258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11:-  ACCRUED EXPENSES AND OTHER CURRENT LIABILITIES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and related benefits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12,862</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authorities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22,177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from customers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23,797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vacation pay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11,761</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24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4,496</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118,689</w:t>
            </w:r>
          </w:p>
        </w:tc>
        <w:tc>
          <w:tcPr>
            <w:tcW w:w="20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102,965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LEASES</w:t>
      </w:r>
    </w:p>
    <w:p>
      <w:pPr>
        <w:spacing w:after="0" w:line="207"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7"/>
          <w:szCs w:val="17"/>
          <w:color w:val="auto"/>
        </w:rPr>
        <w:t>The main operating lease expenses include leases of office locations, data centers and vehicles. The lease terms of the Company’s operating leases generally range from 2 years to 11 years, with various expiration dates through 2033.</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following table presents supplemental information related to the operating leases:</w:t>
      </w:r>
    </w:p>
    <w:p>
      <w:pPr>
        <w:spacing w:after="0" w:line="199"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4"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79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8"/>
                <w:szCs w:val="18"/>
                <w:color w:val="auto"/>
              </w:rPr>
            </w:pPr>
          </w:p>
        </w:tc>
      </w:tr>
      <w:tr>
        <w:trPr>
          <w:trHeight w:val="19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 average remaining operating lease term in years</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shd w:val="clear" w:color="auto" w:fill="CCEEFF"/>
          </w:tcPr>
          <w:p>
            <w:pPr>
              <w:spacing w:after="0"/>
              <w:rPr>
                <w:sz w:val="17"/>
                <w:szCs w:val="17"/>
                <w:color w:val="auto"/>
              </w:rPr>
            </w:pPr>
          </w:p>
        </w:tc>
      </w:tr>
      <w:tr>
        <w:trPr>
          <w:trHeight w:val="216"/>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Weighted average discount rate of operating leases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5"/>
              </w:rPr>
              <w:t>5.45%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4.36%</w:t>
            </w:r>
          </w:p>
        </w:tc>
      </w:tr>
    </w:tbl>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lease agreements generally do not contain any material residual value guarantees or material restrictive covenants.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components of lease expense related to leases for the years ended December 31, 2023, 2022 and 2021,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9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9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66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Components of lease expense: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20,286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 and variable lease cost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1,735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398"/>
        </w:trPr>
        <w:tc>
          <w:tcPr>
            <w:tcW w:w="66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Maturities of lease liabilities as of December 31, 2023, were as follows: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9"/>
        </w:trPr>
        <w:tc>
          <w:tcPr>
            <w:tcW w:w="666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22,828</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17,926</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14,454</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10,164</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5,613</w:t>
            </w:r>
          </w:p>
        </w:tc>
        <w:tc>
          <w:tcPr>
            <w:tcW w:w="100" w:type="dxa"/>
            <w:vAlign w:val="bottom"/>
            <w:shd w:val="clear" w:color="auto" w:fill="CCEEFF"/>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8,264</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79,249</w:t>
            </w:r>
          </w:p>
        </w:tc>
        <w:tc>
          <w:tcPr>
            <w:tcW w:w="100" w:type="dxa"/>
            <w:vAlign w:val="bottom"/>
            <w:shd w:val="clear" w:color="auto" w:fill="CCEEFF"/>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(9,535)</w:t>
            </w:r>
          </w:p>
        </w:tc>
      </w:tr>
      <w:tr>
        <w:trPr>
          <w:trHeight w:val="204"/>
        </w:trPr>
        <w:tc>
          <w:tcPr>
            <w:tcW w:w="90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525"/>
        </w:trPr>
        <w:tc>
          <w:tcPr>
            <w:tcW w:w="9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40"/>
        </w:trPr>
        <w:tc>
          <w:tcPr>
            <w:tcW w:w="900" w:type="dxa"/>
            <w:vAlign w:val="bottom"/>
            <w:tcBorders>
              <w:bottom w:val="single" w:sz="8" w:color="auto"/>
            </w:tcBorders>
          </w:tcPr>
          <w:p>
            <w:pPr>
              <w:spacing w:after="0"/>
              <w:rPr>
                <w:sz w:val="3"/>
                <w:szCs w:val="3"/>
                <w:color w:val="auto"/>
              </w:rPr>
            </w:pPr>
          </w:p>
        </w:tc>
        <w:tc>
          <w:tcPr>
            <w:tcW w:w="5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FINANCING ARRANGEMENTS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Long-term loan</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Facility was fully drawn at closing, net of issuance expenses of $11,250, and the proceeds were used by the Company to finance a portion of the Connexity Acquisition.</w:t>
      </w:r>
    </w:p>
    <w:p>
      <w:pPr>
        <w:spacing w:after="0" w:line="159"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Facility is subject to customary borrowing conditions. The Credit Agreement was amended on June 12, 2023, to replace LIBOR with SOFR and accordingly the Facility bears interest at a variable annual rate based on Term SOFR or Base Rate plus a fixed margin. The Facility will mature on the seventh anniversary of the closing date and amortizes at a rate of 1.00% per annum payable in equal quarterly installments, with the remaining principal amount due at maturity.</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Facility is mandatorily prepayable with a portion of the net cash proceeds of certain dispositions of assets, a portion of Taboola’s excess cash flow and the proceeds of incurrences of indebtedness not permitted under the Credit Agreement.</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Credit Agreement also contains customary representations, covenants and events of default. Failure to meet the covenants beyond applicable grace periods could result in acceleration of outstanding borrowings and/or termination of the Facility. As of December 31, 2023, the Company was in compliance with the Facility covenants.</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the years ended December 31, 2023 and 2022 the Company voluntarily prepaid the principal amount of the outstanding debt under the Credit Agreement of $79,250 and $61,265, respectively.</w:t>
      </w:r>
    </w:p>
    <w:p>
      <w:pPr>
        <w:spacing w:after="0" w:line="159"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of December 31, 2023, the total future principal payments related to Facility loan are as follows: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9"/>
        </w:trPr>
        <w:tc>
          <w:tcPr>
            <w:tcW w:w="9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140,735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152,735</w:t>
            </w:r>
          </w:p>
        </w:tc>
        <w:tc>
          <w:tcPr>
            <w:tcW w:w="100" w:type="dxa"/>
            <w:vAlign w:val="bottom"/>
          </w:tcPr>
          <w:p>
            <w:pPr>
              <w:spacing w:after="0"/>
              <w:rPr>
                <w:sz w:val="17"/>
                <w:szCs w:val="17"/>
                <w:color w:val="auto"/>
              </w:rPr>
            </w:pPr>
          </w:p>
        </w:tc>
      </w:tr>
    </w:tbl>
    <w:p>
      <w:pPr>
        <w:spacing w:after="0" w:line="18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stock of subsidiaries, subject to certain exceptions set forth in the Credit Agreement.</w:t>
      </w:r>
    </w:p>
    <w:p>
      <w:pPr>
        <w:spacing w:after="0" w:line="17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total interest expenses, including issuance costs amortization, recognized in connection with the long-term loan, were $19,885 and $18,675, for the years ended December 31, 2023 and 2022, respectively. The long-term loan interest and issuance costs amortization, included as interest expenses, are recognized through the remaining term of the Credit Agreement using the effective interest rate.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FINANCING ARRANGEMENTS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Agreement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174"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6"/>
          <w:szCs w:val="16"/>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16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the Company was in compliance with the financial covenants and had no outstanding borrowings under the Revolving Credit Agreement.</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and 2022, deferred financing costs associated with entering into the Revolving Credit Agreement in the total amount of $893 and $1,147, respectively, were included in short-term and long-term prepaid expenses in the Company’s consolidated balance sheet.</w:t>
      </w:r>
    </w:p>
    <w:p>
      <w:pPr>
        <w:spacing w:after="0" w:line="15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deferred financing costs are amortized on a straight-line basis over the term of the Revolving Credit Agreement. For the years ended December 31, 2023 and 2022, deferred financing costs amortization amounted to $254 and $98, respectively.</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RESTRUCTURING</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 xml:space="preserve">In September 2022, the Company announced and implemented a cost restructuring program impacting approximately 6% </w:t>
      </w:r>
      <w:r>
        <w:rPr>
          <w:rFonts w:ascii="Times New Roman" w:cs="Times New Roman" w:eastAsia="Times New Roman" w:hAnsi="Times New Roman"/>
          <w:sz w:val="17"/>
          <w:szCs w:val="17"/>
          <w:color w:val="202124"/>
        </w:rPr>
        <w:t>of the Company’s global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02124"/>
        </w:rPr>
        <w:t xml:space="preserve">headcount. </w:t>
      </w:r>
      <w:r>
        <w:rPr>
          <w:rFonts w:ascii="Times New Roman" w:cs="Times New Roman" w:eastAsia="Times New Roman" w:hAnsi="Times New Roman"/>
          <w:sz w:val="17"/>
          <w:szCs w:val="17"/>
          <w:color w:val="000000"/>
        </w:rPr>
        <w:t>This strategic reduction was intended to manage the Company’s operating expenses in response to market conditions and ongoing business</w:t>
      </w:r>
      <w:r>
        <w:rPr>
          <w:rFonts w:ascii="Times New Roman" w:cs="Times New Roman" w:eastAsia="Times New Roman" w:hAnsi="Times New Roman"/>
          <w:sz w:val="17"/>
          <w:szCs w:val="17"/>
          <w:color w:val="202124"/>
        </w:rPr>
        <w:t xml:space="preserve"> </w:t>
      </w:r>
      <w:r>
        <w:rPr>
          <w:rFonts w:ascii="Times New Roman" w:cs="Times New Roman" w:eastAsia="Times New Roman" w:hAnsi="Times New Roman"/>
          <w:sz w:val="17"/>
          <w:szCs w:val="17"/>
          <w:color w:val="000000"/>
        </w:rPr>
        <w:t>prioritization efforts.</w:t>
      </w:r>
    </w:p>
    <w:p>
      <w:pPr>
        <w:spacing w:after="0" w:line="171"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restructuring expenses recognized in the consolidated statements of loss for the year ended December 31, 2022, primarily consisting of one-time incremental employee termination benefits and other costs related to Company’s business prioritization, were as follows: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24"/>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restructuring expenses recognized in the consolidated statements of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3"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2022, $88 related to restructuring expenses were included in “Accrued expenses and other current liabilities” in the consolidated balance sheet, and were subsequently paid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SHAREHOLDERS’ EQUITY AND SHARE INCENTIVE PLANS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Share capital</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174"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(see Note 1d).</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Share Incentive Plans</w:t>
      </w:r>
    </w:p>
    <w:p>
      <w:pPr>
        <w:spacing w:after="0" w:line="207" w:lineRule="exact"/>
        <w:rPr>
          <w:sz w:val="20"/>
          <w:szCs w:val="20"/>
          <w:color w:val="auto"/>
        </w:rPr>
      </w:pPr>
    </w:p>
    <w:p>
      <w:pPr>
        <w:jc w:val="both"/>
        <w:ind w:left="900" w:hanging="452"/>
        <w:spacing w:after="0" w:line="250"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years 2007, 2016, 2017 and 2020, the Company adopted several share incentive plans (together the “Legacy Plans”) to provide incentives to the Company’s employees, directors, consultants and/or contractors. In June 2021, immediately following the effective date of the registration statement on Form F-4, the Company adopted (i) the 2021 Share Incentive Plan (the “2021 Plan”, and together with the Legacy Plans, the “Plans”) and (ii) the Employee Stock Purchase Plan (the “ESPP”). Following the effectiveness of the 2021 Plan, the Company ceased making awards under the Legacy Plans, although previously granted awards under the Legacy Plans remain outstanding.</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SHAREHOLDERS’ EQUITY AND SHARE INCENTIVE PLANS (Cont.)</w:t>
      </w:r>
    </w:p>
    <w:p>
      <w:pPr>
        <w:spacing w:after="0" w:line="200" w:lineRule="exact"/>
        <w:rPr>
          <w:sz w:val="20"/>
          <w:szCs w:val="20"/>
          <w:color w:val="auto"/>
        </w:rPr>
      </w:pPr>
    </w:p>
    <w:p>
      <w:pPr>
        <w:spacing w:after="0" w:line="20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Under the Plans, the Company’s employees, directors, consultants and/or contractors are or were eligible to be granted equity-related awards, including options to acquire the Company’s Ordinary shares, restricted share units (“RSUs”) and restricted shares.</w:t>
      </w:r>
    </w:p>
    <w:p>
      <w:pPr>
        <w:spacing w:after="0" w:line="159"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equity related awards generally vest over 4 years and expire 10 years after the date of grant. Most of the RSUs granted prior to June 30, 2021, were subject to a two-tiered vesting arrangement, including a time-based vesting component which is generally over 4 years, and an additional vesting condition of a Merger/Sale or IPO being consummated within 5 years of the grant. RSUs granted under 2021 Plan, following the Company becoming publicly traded, are subject to a time-based vesting condition and in general vest over 4 years of the grant.</w:t>
      </w:r>
    </w:p>
    <w:p>
      <w:pPr>
        <w:spacing w:after="0" w:line="174"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As of December 31, 2023, the maximum number of the Company’s Ordinary shares available for issuance under the 2021 Plan is equal to the sum of (i) 31,932,902 Ordinary shares, (ii) any shares subject to awards under the Legacy Plans which have expired, or were canceled, terminated, forfeited or settled in cash in lieu of issuance of shares or become unexercisable without having been exercised, and (iii) an annual increase on the first day of each year beginning in 2022 and on January 1 of each calendar year thereafter during the term of the 2021 Plan, equal to the lesser of (A) 5% of the outstanding shares on the last day of the immediately preceding calendar year and (B) such amount as determined by the Company’s board of directors if so determined prior to January 1 of a calendar year.</w:t>
      </w:r>
    </w:p>
    <w:p>
      <w:pPr>
        <w:spacing w:after="0" w:line="177"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6"/>
          <w:szCs w:val="16"/>
          <w:color w:val="auto"/>
        </w:rPr>
        <w:t>As of December 31, 2023, the maximum number of the Company’s Ordinary shares available for issuance under the ESPP shall not exceed in the aggregate 6,386,580 Ordinary shares. The ESPP share pool will be increased on the first day of each fiscal year during the term of the ESPP in an amount equal to the lesser of (i) 6,386,580 the Company’s ordinary shares, (ii) 2% of the total number of shares of the Ordinary shares outstanding (on a fully diluted basis) on the last day of the immediately preceding fiscal year, and (iii) such amount as determined by the Company’s board of directors if so determined prior to January 1 of a calendar year. As of December 31, 2023, the ESPP has not been activated and no Ordinary shares had been issued under the ESPP, therefore in the last two years the Company’s board of directors decided to disable the automatic enlargement feature included in the ESPP, as described above.</w:t>
      </w:r>
    </w:p>
    <w:p>
      <w:pPr>
        <w:spacing w:after="0" w:line="161" w:lineRule="exact"/>
        <w:rPr>
          <w:sz w:val="20"/>
          <w:szCs w:val="20"/>
          <w:color w:val="auto"/>
        </w:rPr>
      </w:pPr>
    </w:p>
    <w:p>
      <w:pPr>
        <w:jc w:val="both"/>
        <w:ind w:left="900" w:hanging="452"/>
        <w:spacing w:after="0" w:line="252"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21, 2023, the Company received the approval of the Israeli court for its motion to extend, to May 16, 2024, its former motion to allow the Company to utilize the net issuance mechanism to satisfy tax withholding obligations related to equity-based compensation on behalf of its directors, officers and other employees and possible future share repurchases (the “Program”) of up to $50,000. The Company’s board of directors have the authority to determine the amount to be utilized for the Program.</w:t>
      </w:r>
    </w:p>
    <w:p>
      <w:pPr>
        <w:spacing w:after="0" w:line="174" w:lineRule="exact"/>
        <w:rPr>
          <w:rFonts w:ascii="Times New Roman" w:cs="Times New Roman" w:eastAsia="Times New Roman" w:hAnsi="Times New Roman"/>
          <w:sz w:val="17"/>
          <w:szCs w:val="17"/>
          <w:color w:val="auto"/>
        </w:rPr>
      </w:pPr>
    </w:p>
    <w:p>
      <w:pPr>
        <w:jc w:val="both"/>
        <w:ind w:left="9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2023, 2022 and 2021, the Company utilized the net issuance mechanism in connection with equity-based compensation for certain Office Holders, which resulted in a tax withholding payment by the Company of $3,804, $5,751 and $6,152, respectively, which were recorded as a reduction of additional paid-in capital.</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SHAREHOLDERS’ EQUITY AND SHARE INCENTIVE PLANS (Cont.)</w:t>
      </w:r>
    </w:p>
    <w:p>
      <w:pPr>
        <w:spacing w:after="0" w:line="207" w:lineRule="exact"/>
        <w:rPr>
          <w:sz w:val="20"/>
          <w:szCs w:val="20"/>
          <w:color w:val="auto"/>
        </w:rPr>
      </w:pPr>
    </w:p>
    <w:p>
      <w:pPr>
        <w:ind w:left="900" w:hanging="452"/>
        <w:spacing w:after="0" w:line="269" w:lineRule="auto"/>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summary of share option activity and related information for the year ended December 31, 2023 (including employees, directors, officers and consultants of the Company):</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2"/>
              </w:rPr>
              <w:t>Average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4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Remaining</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Aggregate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Share</w:t>
            </w: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Contractual</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Intrinsic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Life (Years)</w:t>
            </w:r>
          </w:p>
        </w:tc>
        <w:tc>
          <w:tcPr>
            <w:tcW w:w="12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35,488,179</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7"/>
              </w:rPr>
              <w:t>3.08</w:t>
            </w:r>
          </w:p>
        </w:tc>
        <w:tc>
          <w:tcPr>
            <w:tcW w:w="2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87"/>
              </w:rPr>
              <w:t>6.72</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89"/>
              </w:rPr>
              <w:t>40,516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(5,610,638)</w:t>
            </w:r>
          </w:p>
        </w:tc>
        <w:tc>
          <w:tcPr>
            <w:tcW w:w="140" w:type="dxa"/>
            <w:vAlign w:val="bottom"/>
          </w:tcPr>
          <w:p>
            <w:pPr>
              <w:spacing w:after="0"/>
              <w:rPr>
                <w:sz w:val="17"/>
                <w:szCs w:val="17"/>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1.30</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(586,256)</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5.91</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29,291,285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3.35</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57,118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as of December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24,738,145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7"/>
              </w:rPr>
              <w:t>2.78</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4.89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53,284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During the year ended December 31, 2023, the Company did not grant options (see Note 2).</w:t>
      </w:r>
    </w:p>
    <w:p>
      <w:pPr>
        <w:spacing w:after="0" w:line="203"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intrinsic value that would have been received by the option holders had all option holders exercised their options on the last date of the period.</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weighted-average grant date fair value of options granted during the years ended December 31, 2022 and 2021, was $3.07 and $9.32, respectively.</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 total intrinsic value of options exercised during the years ended December 31, 2023, 2022 and 2021, was $11,866, $26,473 and $49,224, respectively.</w:t>
      </w:r>
    </w:p>
    <w:p>
      <w:pPr>
        <w:spacing w:after="0" w:line="21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unrecognized share-based compensation cost related to unvested share options was $13,614, which is expected to be recognized over a weighted-average period of 1.45 years.</w:t>
      </w:r>
    </w:p>
    <w:p>
      <w:pPr>
        <w:spacing w:after="0" w:line="159" w:lineRule="exact"/>
        <w:rPr>
          <w:sz w:val="20"/>
          <w:szCs w:val="20"/>
          <w:color w:val="auto"/>
        </w:rPr>
      </w:pPr>
    </w:p>
    <w:p>
      <w:pPr>
        <w:ind w:left="900" w:hanging="452"/>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summary of the RSU activity and related information for the year ended December 31, 2023:</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8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Weighted</w:t>
            </w:r>
          </w:p>
        </w:tc>
      </w:tr>
      <w:tr>
        <w:trPr>
          <w:trHeight w:val="199"/>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Restricted shares</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Average Grant</w:t>
            </w:r>
          </w:p>
        </w:tc>
      </w:tr>
      <w:tr>
        <w:trPr>
          <w:trHeight w:val="224"/>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Date Fair Value</w:t>
            </w: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23,521,009</w:t>
            </w: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87"/>
              </w:rPr>
              <w:t>6.60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13,384,846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3.54</w:t>
            </w: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(1)</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(10,478,099)</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5.78</w:t>
            </w:r>
          </w:p>
        </w:tc>
      </w:tr>
      <w:tr>
        <w:trPr>
          <w:trHeight w:val="204"/>
        </w:trPr>
        <w:tc>
          <w:tcPr>
            <w:tcW w:w="20" w:type="dxa"/>
            <w:vAlign w:val="bottom"/>
          </w:tcPr>
          <w:p>
            <w:pPr>
              <w:spacing w:after="0"/>
              <w:rPr>
                <w:sz w:val="17"/>
                <w:szCs w:val="17"/>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(2,948,448)</w:t>
            </w:r>
          </w:p>
        </w:tc>
        <w:tc>
          <w:tcPr>
            <w:tcW w:w="18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5.72</w:t>
            </w:r>
          </w:p>
        </w:tc>
      </w:tr>
      <w:tr>
        <w:trPr>
          <w:trHeight w:val="204"/>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23,479,308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87"/>
              </w:rPr>
              <w:t>5.13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____________________________________________</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ind w:left="900" w:hanging="5"/>
        <w:spacing w:after="0" w:line="247" w:lineRule="auto"/>
        <w:tabs>
          <w:tab w:leader="none" w:pos="11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the shares that vested were netted out to satisfy the tax obligations of the recipients. During the year ended December 31, 2023, a total of 1,164,891 RSUs were canceled to satisfy tax obligations, resulting in net issuance of 1,164,873 Ordinary shares.</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total release date fair value of RSUs was $36,221, for the year ended December 31, 2023.</w:t>
      </w:r>
    </w:p>
    <w:p>
      <w:pPr>
        <w:spacing w:after="0" w:line="203"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7"/>
          <w:szCs w:val="17"/>
          <w:color w:val="auto"/>
        </w:rPr>
        <w:t>The weighted-average grant date fair value of RSUs granted during the years ended December 31 2023, 2022 and 2021, was $3.54, $5.47 and $9.53, respectively.</w:t>
      </w:r>
    </w:p>
    <w:p>
      <w:pPr>
        <w:spacing w:after="0" w:line="159"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unrecognized share-based compensation cost related to unvested RSUs was $98,807, which is expected to be recognized over a weighted-average period of 2.5 years.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SHAREHOLDERS’ EQUITY AND SHARE INCENTIVE PLANS (Cont.)</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total share-based compensation expense related to all of the Company’s share-based awards recognized for the years ended December 31, 2023, 2022 and 2021, were comprised as follows: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8"/>
              </w:rPr>
              <w:t>3,092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26,433</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29,022</w:t>
            </w: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22,615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44,834</w:t>
            </w: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22,781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52,210</w:t>
            </w:r>
          </w:p>
        </w:tc>
      </w:tr>
      <w:tr>
        <w:trPr>
          <w:trHeight w:val="239"/>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9"/>
              </w:rPr>
              <w:t>74,921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In October 2020, the Company granted 10,314,654 Restricted Share Units and 5,157,327 options to acquire Ordinary shares of the Company at a zero-exercise price to certain executives. The restricted share units were subject to multiple vesting conditions: time-based vesting and an additional condition that a Triggering Event be consummated no later than December 31, 2021. The Triggering Event is defined as, among other things, the Company’s shares becoming publicly traded, or a sale of the Company, or a merger of the Company with another company.</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If the Triggering Event is not consummated by such date, the RSUs are forfeited. The Triggering Event occurred on June 30, 2021, as a result of the Company’s shares becoming publicly traded on that date.</w:t>
      </w:r>
    </w:p>
    <w:p>
      <w:pPr>
        <w:spacing w:after="0" w:line="159"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time-based vesting condition for 6,598,489 RSUs was considered to have been satisfied as of the date of grant, and the remainder satisfies the time-based condition on a monthly basis over 24 months from the date of grant, conditioned on continued service to the Company. Of the options granted, 1,441,162 options were fully vested as of the grant date, 1,858,083 vested in a lump sum on December 31, 2021, and the remainder vest on a monthly basis over 24 months from the date of grant, conditioned on continued service to the Company.</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Share Buyback Program</w:t>
      </w:r>
    </w:p>
    <w:p>
      <w:pPr>
        <w:spacing w:after="0" w:line="207"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In May 2023, the Company’s board of directors authorized a share buyback program for the repurchase of up to $40,000 of the Company’s outstanding Ordinary shares, with no expiration date (the “Buyback Program”). In November 2023, the Company’s board of directors authorized up to an additional $40,000 of buybacks under the Buyback Program.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w:t>
      </w:r>
    </w:p>
    <w:p>
      <w:pPr>
        <w:spacing w:after="0" w:line="176"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Buyback Program does not obligate the Company to repurchase any specific number of shares and may be discontinued, modified or suspended at any time. The Buyback Program commenced in June 2023 and during the year ended December 31, 2023, the Company repurchased 15,240,471 Ordinary shares at an average price of $3.62 per share (excluding broker and transaction fees of $367). As of December 31, 2023, the Company had remaining authorization to repurchase up to an aggregate amount of $24,854, which has been mostly utilized subsequent to the balance sheet date.</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Subsequent to December 31, 2023, in February 2024, the Company’s board of directors authorized up to $100,000 for use under the Buyback Program, including any remaining authority from the November 2023 board of directors authorization, subject to obtaining any required Israeli court approvals.</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EMPLOYEES CONTRIBUTION PLAN</w:t>
      </w:r>
    </w:p>
    <w:p>
      <w:pPr>
        <w:spacing w:after="0" w:line="207" w:lineRule="exact"/>
        <w:rPr>
          <w:sz w:val="20"/>
          <w:szCs w:val="20"/>
          <w:color w:val="auto"/>
        </w:rPr>
      </w:pPr>
    </w:p>
    <w:p>
      <w:pPr>
        <w:jc w:val="both"/>
        <w:ind w:left="900" w:hanging="452"/>
        <w:spacing w:after="0" w:line="249"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Israel’s Severance Pay Law, Israeli employees are entitled to severance pay equal to one month’s salary for each year of employment, or a portion thereof. The employees of the Israeli subsidiary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 For the years ended December 31, 2023, 2022 and 2021, the Company recorded $5,989, $6,638 and $5,709, respectively, in severance expenses related to these employees.</w:t>
      </w:r>
    </w:p>
    <w:p>
      <w:pPr>
        <w:spacing w:after="0" w:line="176" w:lineRule="exact"/>
        <w:rPr>
          <w:rFonts w:ascii="Times New Roman" w:cs="Times New Roman" w:eastAsia="Times New Roman" w:hAnsi="Times New Roman"/>
          <w:sz w:val="17"/>
          <w:szCs w:val="17"/>
          <w:color w:val="auto"/>
        </w:rPr>
      </w:pPr>
    </w:p>
    <w:p>
      <w:pPr>
        <w:jc w:val="both"/>
        <w:ind w:left="900" w:hanging="452"/>
        <w:spacing w:after="0" w:line="250"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offers a 401(k) Savings plan in the U.S. that qualifies as a deferred salary arrangement under Section 401(k) of the Internal Revenue Code (the “401(k) Plan”). Under the 401(k) Plan, participating employees can contribute up to 100% of their eligible compensation, subject to certain limitations. The 401(k) Plan provides for a discretionary employer matching contribution. The Company matches 50% of participating employee contributions to the plan up to 6% of the employee’s eligible compensation. For the years ended December 31, 2023, 2022 and 2021, the Company recorded $1,769, $1,766 and $1,169, respectively, of expenses related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Tax rates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Ordinary taxable income in Israel is subject to a corporate tax rate of 23%. However, the effective tax rate payable by a company that derives income from a Preferred Technological Enterprise (as discussed below) may be considerably lower. Non-Israeli subsidiaries are taxed according to the tax laws in their jurisdictions.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Tax benefits applicable to the Company</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u w:val="single" w:color="auto"/>
          <w:color w:val="auto"/>
        </w:rPr>
        <w:t>The Law for the Encouragement of Industry (Taxes), 1969:</w:t>
      </w:r>
    </w:p>
    <w:p>
      <w:pPr>
        <w:spacing w:after="0" w:line="205"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The Law for the Encouragement of Industry (Taxes), 1969 (the “Encouragement of Industry Law”), provides several tax benefits for “Industrial Companies”. Pursuant to the Encouragement of Industry Law, a company qualifies as an Industrial Company if it is a resident of Israel, the enterprise should be located in Israel and at least 90% of its income in any tax year (exclusive of income from government loans, capital gains, interest and dividends) is generated from an “Industrial Enterprise” that it owns. An Industrial Enterprise is defined as an enterprise whose principal activity, in a given tax year, is industrial activity.</w:t>
      </w:r>
    </w:p>
    <w:p>
      <w:pPr>
        <w:spacing w:after="0" w:line="176"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color w:val="auto"/>
        </w:rPr>
        <w:t>An Industrial Company is entitled to certain tax benefits, including: (i) a deduction of the cost of purchases of patents, know-how and certain other intangible property rights (other than goodwill) used for the development or promotion of the Industrial Enterprise in equal amounts over a period of eight years, beginning from the year in which such rights were first used, (ii) the right to elect to file consolidated tax returns, under certain conditions, with additional Israeli Industrial Companies controlled by it, and (iii) the right to deduct expenses related to public offerings in equal amounts over a period of three years beginning from the year of the offering.</w:t>
      </w:r>
    </w:p>
    <w:p>
      <w:pPr>
        <w:spacing w:after="0" w:line="17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Eligibility for benefits under the Encouragement of Industry Law is not contingent upon the approval of any governmental authority. The Company believes that it currently qualifies as an industrial company within the definition of the Encouragement of Industry Law.</w:t>
      </w:r>
    </w:p>
    <w:p>
      <w:pPr>
        <w:spacing w:after="0" w:line="330"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u w:val="single" w:color="auto"/>
          <w:color w:val="auto"/>
        </w:rPr>
        <w:t>Tax benefits under the Law for the Encouragement of Capital Investments, 1959:</w:t>
      </w:r>
    </w:p>
    <w:p>
      <w:pPr>
        <w:spacing w:after="0" w:line="205"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Pursuant to the Israeli Law for Encouragement of Capital Investments, 1959 (the “Investments Law”) and its various amendments, the Company has been granted a “Privileged Enterprise” status. The Company has utilized a tax exemption status for the years 2018 and 2019.</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benefits available to a Privileged Enterprise in Israel relate only to taxable income attributable to the specific investment program and are conditioned upon terms stipulated in the Investments Law. If the Company does not fulfill these conditions, in whole or in part, the benefits can be revoked, and the Company may be required to refund the benefits, in an amount linked to the Israeli consumer price index plus interest.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Tax exempt earnings are subject to claw back of the corporate tax return when they are distributed as dividend.</w:t>
      </w:r>
    </w:p>
    <w:p>
      <w:pPr>
        <w:spacing w:after="0" w:line="203"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On November 15, 2021, the Investments Law was amended in order, inter alia, to encourage companies to voluntarily elect for an immediate payment of corporate tax on previously tax-exempted earnings which were earned pursuant to Approved and Privileged Enterprises (the “Amendment”). The Amendment provides a reduced corporate tax payment on Exempt Earnings accumulated until December 30, 2020, that were not yet distributed as a dividend, all subject to certain qualifying terms and conditions.</w:t>
      </w:r>
    </w:p>
    <w:p>
      <w:pPr>
        <w:spacing w:after="0" w:line="174"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had $45,244 in tax-exempt earnings attributable to the Privileged Enterprise programs. The Company elected to utilize the Amendment in December 2021 and paid the reduced corporate income tax in the amount of approximately $4,355. As a result of the election, as of December 31, 2021 the Company released all of its previously tax-exempt earnings and they are no longer subject to claw back of corporate taxes upon future dividend distribution.</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u w:val="single" w:color="auto"/>
          <w:color w:val="auto"/>
        </w:rPr>
        <w:t>The Technological Enterprise Incentives Regime (Amendment 73 to the Investments Law):</w:t>
      </w:r>
    </w:p>
    <w:p>
      <w:pPr>
        <w:spacing w:after="0" w:line="205"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Company applies various benefits allotted to it under the revised Investments Law as per Amendment 73 to the Investments Law regimes through regulations that have come into effect from January 1, 2017. Applicable benefits under the new regime include:</w:t>
      </w:r>
    </w:p>
    <w:p>
      <w:pPr>
        <w:spacing w:after="0" w:line="159" w:lineRule="exact"/>
        <w:rPr>
          <w:sz w:val="20"/>
          <w:szCs w:val="20"/>
          <w:color w:val="auto"/>
        </w:rPr>
      </w:pPr>
    </w:p>
    <w:p>
      <w:pPr>
        <w:jc w:val="both"/>
        <w:ind w:left="1340" w:hanging="445"/>
        <w:spacing w:after="0" w:line="250" w:lineRule="auto"/>
        <w:tabs>
          <w:tab w:leader="none" w:pos="1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a benefit regime for “Preferred Technology Enterprises” (“PTE”),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76" w:lineRule="exact"/>
        <w:rPr>
          <w:rFonts w:ascii="Times New Roman" w:cs="Times New Roman" w:eastAsia="Times New Roman" w:hAnsi="Times New Roman"/>
          <w:sz w:val="17"/>
          <w:szCs w:val="17"/>
          <w:color w:val="auto"/>
        </w:rPr>
      </w:pPr>
    </w:p>
    <w:p>
      <w:pPr>
        <w:jc w:val="both"/>
        <w:ind w:left="13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Preferred Technological Enterprise” (“SPTE”) from which total consolidated revenues of the Group of which the Company is a member exceeds NIS 10 billion in the tax year will be subject to tax at a rate of 6% on preferred income from the enterprise, regardless of the enterprise’s geographical location.</w:t>
      </w:r>
    </w:p>
    <w:p>
      <w:pPr>
        <w:spacing w:after="0" w:line="170" w:lineRule="exact"/>
        <w:rPr>
          <w:rFonts w:ascii="Times New Roman" w:cs="Times New Roman" w:eastAsia="Times New Roman" w:hAnsi="Times New Roman"/>
          <w:sz w:val="17"/>
          <w:szCs w:val="17"/>
          <w:color w:val="auto"/>
        </w:rPr>
      </w:pPr>
    </w:p>
    <w:p>
      <w:pPr>
        <w:ind w:left="1340" w:hanging="445"/>
        <w:spacing w:after="0" w:line="269" w:lineRule="auto"/>
        <w:tabs>
          <w:tab w:leader="none" w:pos="1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 capital gains tax rate on the sale of a preferred intangible asset to a foreign affiliated enterprise, provided that the asset was initially purchased from a foreign resident at an amount of NIS 200 million or more.</w:t>
      </w:r>
    </w:p>
    <w:p>
      <w:pPr>
        <w:spacing w:after="0" w:line="330"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p>
      <w:pPr>
        <w:spacing w:after="0" w:line="207" w:lineRule="exact"/>
        <w:rPr>
          <w:sz w:val="20"/>
          <w:szCs w:val="20"/>
          <w:color w:val="auto"/>
        </w:rPr>
      </w:pPr>
    </w:p>
    <w:p>
      <w:pPr>
        <w:jc w:val="both"/>
        <w:ind w:left="1340" w:hanging="445"/>
        <w:spacing w:after="0" w:line="256" w:lineRule="auto"/>
        <w:tabs>
          <w:tab w:leader="none" w:pos="1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is eligible for PTE status which is implemented commencing 2021 and believes it is eligible for its tax benefits.</w:t>
      </w:r>
    </w:p>
    <w:p>
      <w:pPr>
        <w:spacing w:after="0" w:line="20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In 2023, the Company received a Tax Ruling from the Israeli Tax Authority that its activity is an industrial activity and is eligible for the status of a PTE, provided that the Company meets the requirements under the tax ruling. As of December 31, 2023, management believes that the Company meets the aforementioned conditions.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U.S. Tax</w:t>
      </w:r>
    </w:p>
    <w:p>
      <w:pPr>
        <w:spacing w:after="0" w:line="207"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6"/>
          <w:szCs w:val="16"/>
          <w:color w:val="auto"/>
        </w:rPr>
        <w:t>On December 22, 2017, the Tax Cuts and Jobs Act (P.L. 115-97) (“TCJA”) was enacted, making significant changes to the U.S. tax law. Changes include, but are not limited to, a corporate income tax rate decrease from 35% to 21%, effective for tax years beginning January 1, 2018 and the transition of U.S. international taxation from a worldwide tax system to a modified territorial system, with a one-time mandatory transition tax on U.S. shareholder’s share of post-1986 earnings of all foreign corporations in which it owns at least 10% and created new taxes on certain foreign-sourced earnings and certain related-party payments - the Global Intangible Low Taxed Income (“GILTI”). Furthermore, changes introduced by the Tax Act to Section 174 of the Internal Revenue Code, that came into effect on January 1, 2022, require taxpayers to amortize research and development expenditures over five years (if expensed by a U.S. entity) or fifteen years (if expensed by non-U.S. entities), thereby increasing taxable income and payable tax.</w:t>
      </w:r>
    </w:p>
    <w:p>
      <w:pPr>
        <w:spacing w:after="0" w:line="165"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In addition to lowering the statutory corporate income tax rate from 35% to 21%, and among other U.S. international tax provisions, the TCJA introduced the Base Erosion Anti-abuse Tax (“BEAT”) which applies a minimum tax on multinational corporations by requiring companies subject to the BEAT to pay the greater of their regular tax liability (less certain credits, including foreign tax credits) or 10% for taxable years beginning in 2019 (12.5% after 2026) of a modified tax base which adds back certain related party payments. The BEAT comparison to the standard corporate income tax must be done each year if the taxpayer’s “base erosion” related party payments exceed 3% of total deductions on its U.S. tax return (“base erosion percentage” is generally the aggregate amount of base erosion tax benefits divided by aggregate amount of all allowable deductions).</w:t>
      </w:r>
    </w:p>
    <w:p>
      <w:pPr>
        <w:spacing w:after="0" w:line="17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BEAT applies to “applicable taxpayers” making “base erosion payments” (deductible payments) to foreign related parties. “Applicable taxpayers” are U.S. corporations with average annual gross receipts for the 3-taxable-year period ending with the preceding taxable year are at least $500,000. Taboola Inc. is an “applicable taxpayer” for BEAT purposes in 2023.</w:t>
      </w:r>
    </w:p>
    <w:p>
      <w:pPr>
        <w:spacing w:after="0" w:line="341"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Pillar two</w:t>
      </w:r>
    </w:p>
    <w:p>
      <w:pPr>
        <w:spacing w:after="0" w:line="207" w:lineRule="exact"/>
        <w:rPr>
          <w:sz w:val="20"/>
          <w:szCs w:val="20"/>
          <w:color w:val="auto"/>
        </w:rPr>
      </w:pPr>
    </w:p>
    <w:p>
      <w:pPr>
        <w:jc w:val="both"/>
        <w:ind w:left="900"/>
        <w:spacing w:after="0" w:line="280" w:lineRule="auto"/>
        <w:rPr>
          <w:sz w:val="20"/>
          <w:szCs w:val="20"/>
          <w:color w:val="auto"/>
        </w:rPr>
      </w:pPr>
      <w:r>
        <w:rPr>
          <w:rFonts w:ascii="Times New Roman" w:cs="Times New Roman" w:eastAsia="Times New Roman" w:hAnsi="Times New Roman"/>
          <w:sz w:val="16"/>
          <w:szCs w:val="16"/>
          <w:color w:val="auto"/>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rate at 15% for multinational enterprises with a turnover of more than Euros 750 million. Rules under Pillar Two were effective from January 1, 2024.</w:t>
      </w:r>
    </w:p>
    <w:p>
      <w:pPr>
        <w:spacing w:after="0" w:line="152"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The Company is currently evaluating the impact of adopting Pillar Two rules on its consolidated financial statements. In certain jurisdictions, information required for the assessment is still being gathered and, therefore, the assessment is not complete. Based on the transitional CbCR safe harbor tests carried out so far, Taboola Group has identified potential impact to Pillar Two top-up taxes on profits earned in Australia, Korea and Thailand. The potential impact comes from the constituent entities in these jurisdictions where according to the transitional CbCR safe harbor tests, the simplified effective tax rate is below 15%. Quantitative information to indicate the impact to Pillar Two top-up taxes is currently not known or reasonably estimable. Taboola continues to progress on the assessment and expects to complete the assessment during the year 2024.</w:t>
      </w:r>
    </w:p>
    <w:p>
      <w:pPr>
        <w:spacing w:after="0" w:line="177" w:lineRule="exact"/>
        <w:rPr>
          <w:sz w:val="20"/>
          <w:szCs w:val="20"/>
          <w:color w:val="auto"/>
        </w:rPr>
      </w:pPr>
    </w:p>
    <w:p>
      <w:pPr>
        <w:ind w:left="900" w:hanging="286"/>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components of the loss before taxes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9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Israel</w:t>
            </w: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(42,414)</w:t>
            </w:r>
          </w:p>
        </w:tc>
        <w:tc>
          <w:tcPr>
            <w:tcW w:w="100" w:type="dxa"/>
            <w:vAlign w:val="bottom"/>
            <w:shd w:val="clear" w:color="auto" w:fill="CCEEFF"/>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(10,777)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20,367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40,442</w:t>
            </w:r>
          </w:p>
        </w:tc>
      </w:tr>
      <w:tr>
        <w:trPr>
          <w:trHeight w:val="239"/>
        </w:trPr>
        <w:tc>
          <w:tcPr>
            <w:tcW w:w="90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(76,541)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88"/>
        </w:trPr>
        <w:tc>
          <w:tcPr>
            <w:tcW w:w="61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b.  Taxes on income (tax benefit) are comprised as follows: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9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Israel</w:t>
            </w:r>
          </w:p>
        </w:tc>
        <w:tc>
          <w:tcPr>
            <w:tcW w:w="1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1,363</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4,685</w:t>
            </w:r>
          </w:p>
        </w:tc>
      </w:tr>
      <w:tr>
        <w:trPr>
          <w:trHeight w:val="204"/>
        </w:trPr>
        <w:tc>
          <w:tcPr>
            <w:tcW w:w="90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19,632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23,332</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18,944</w:t>
            </w:r>
          </w:p>
        </w:tc>
      </w:tr>
      <w:tr>
        <w:trPr>
          <w:trHeight w:val="204"/>
        </w:trPr>
        <w:tc>
          <w:tcPr>
            <w:tcW w:w="900" w:type="dxa"/>
            <w:vAlign w:val="bottom"/>
          </w:tcPr>
          <w:p>
            <w:pPr>
              <w:spacing w:after="0"/>
              <w:rPr>
                <w:sz w:val="17"/>
                <w:szCs w:val="17"/>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income tax expense</w:t>
            </w:r>
          </w:p>
        </w:tc>
        <w:tc>
          <w:tcPr>
            <w:tcW w:w="15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20,995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23,347</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23,629</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Israel</w:t>
            </w: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1,388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973</w:t>
            </w:r>
          </w:p>
        </w:tc>
      </w:tr>
      <w:tr>
        <w:trPr>
          <w:trHeight w:val="204"/>
        </w:trPr>
        <w:tc>
          <w:tcPr>
            <w:tcW w:w="90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(15,496)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(17,212)</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(1,626)</w:t>
            </w:r>
          </w:p>
        </w:tc>
      </w:tr>
      <w:tr>
        <w:trPr>
          <w:trHeight w:val="204"/>
        </w:trPr>
        <w:tc>
          <w:tcPr>
            <w:tcW w:w="90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benefit</w:t>
            </w: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(15,496)</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taxes</w:t>
            </w:r>
          </w:p>
        </w:tc>
        <w:tc>
          <w:tcPr>
            <w:tcW w:w="17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5,499</w:t>
            </w:r>
          </w:p>
        </w:tc>
        <w:tc>
          <w:tcPr>
            <w:tcW w:w="12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7,523</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22,976</w:t>
            </w:r>
          </w:p>
        </w:tc>
      </w:tr>
      <w:tr>
        <w:trPr>
          <w:trHeight w:val="20"/>
        </w:trPr>
        <w:tc>
          <w:tcPr>
            <w:tcW w:w="9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5"/>
        </w:trPr>
        <w:tc>
          <w:tcPr>
            <w:tcW w:w="9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40"/>
        </w:trPr>
        <w:tc>
          <w:tcPr>
            <w:tcW w:w="90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 reconciliation of the Company’s theoretical income tax expense to actual income tax expense is as follows:</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taxes on income, as reported in the consolidated statements of loss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(76,541)</w:t>
            </w: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Statutory tax rate in Israel</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Technology Enterprise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 - nondeductible expenses</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at a rate other than the Israel statutory tax rate</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 of tax-exempt profits under preferred enterprise tax regime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Prior year taxes</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u w:val="single" w:color="auto"/>
          <w:color w:val="auto"/>
        </w:rPr>
        <w:t>Deferred tax assets and liabilities:</w:t>
      </w:r>
    </w:p>
    <w:p>
      <w:pPr>
        <w:spacing w:after="0" w:line="20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Deferred taxes reflect the net tax effects of temporary differences between the carrying amounts of assets and liabilities for financial reporting purposes and the amounts used for income tax purposes. As of December 31, 2023 and 2022, the deferred tax assets and liabilities presented in the balance sheet are comprised as follow: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10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(14,815)</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(34,133)</w:t>
            </w:r>
          </w:p>
        </w:tc>
      </w:tr>
      <w:tr>
        <w:trPr>
          <w:trHeight w:val="509"/>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40"/>
        </w:trPr>
        <w:tc>
          <w:tcPr>
            <w:tcW w:w="900" w:type="dxa"/>
            <w:vAlign w:val="bottom"/>
            <w:tcBorders>
              <w:bottom w:val="single" w:sz="8" w:color="auto"/>
            </w:tcBorders>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8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As of December 31, 2023, and 2022 the Company’s deferred taxes were in respect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3,111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9,151</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10,408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8,095</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Tax credit carry forward</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9,657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4,356</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Reserves and allowances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6,146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3,888</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Carry forward tax losses</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8,227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2,770</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and transaction expenses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2,111</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1,643</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1,963</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3,082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 before valuation allowance</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57,032</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47,927</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(24,781)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(16,376)</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vMerge w:val="continue"/>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32,251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31,551</w:t>
            </w:r>
          </w:p>
        </w:tc>
        <w:tc>
          <w:tcPr>
            <w:tcW w:w="0" w:type="dxa"/>
            <w:vAlign w:val="bottom"/>
          </w:tcPr>
          <w:p>
            <w:pPr>
              <w:spacing w:after="0"/>
              <w:rPr>
                <w:sz w:val="1"/>
                <w:szCs w:val="1"/>
                <w:color w:val="auto"/>
              </w:rPr>
            </w:pPr>
          </w:p>
        </w:tc>
      </w:tr>
      <w:tr>
        <w:trPr>
          <w:trHeight w:val="199"/>
        </w:trPr>
        <w:tc>
          <w:tcPr>
            <w:tcW w:w="90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vMerge w:val="continue"/>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(31,208)</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(46,095)</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(12,368)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(13,530)</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(2,031)</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(966)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(493)</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(47,066)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(61,863)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(14,815)</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(30,312)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A valuation allowance is provided when it is more likely than not that the deferred tax assets will not be realized. The Company has established a valuation allowance to offset certain deferred tax assets on December 31, 2023 and 2022, due to the uncertainty of realizing future tax benefits from its net operating loss carryforwards and other deferred tax assets.</w:t>
      </w:r>
    </w:p>
    <w:p>
      <w:pPr>
        <w:spacing w:after="0" w:line="17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As of December 31, 2023, the Company has an accumulated tax loss carry-forward of approximately $64,062 in Israel, which does not have an expiration date, and $1,533 federal tax in the U.S. which can be offset in accordance with the limitation as desribed in Section 382 of the code due to U.S. subsidiary’s prior “change in ownership”. The annual limitation may result in the expiration of net operating losses before utilization.</w:t>
      </w:r>
    </w:p>
    <w:p>
      <w:pPr>
        <w:spacing w:after="0" w:line="171"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As of December 31, 2023, $149,887 of undistributed earnings held by the Company’s foreign subsidiaries are designated as indefinitely reinvested. If these earnings were re-patriated to Israel, they would be subject to income taxes and to an adjustment for foreign tax credits and foreign withholding taxes in the amount of $13,006. The Company did not recognize deferred taxes liabilities on undistributed earnings of its foreign subsidiaries, as the Company intends to indefinitely reinvest those earnings.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A reconciliation of the beginning and ending balance of total unrecognized tax positions is as follows: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90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position, beginning of year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00" w:type="dxa"/>
            <w:vAlign w:val="bottom"/>
            <w:shd w:val="clear" w:color="auto" w:fill="CCEEFF"/>
          </w:tcPr>
          <w:p>
            <w:pPr>
              <w:spacing w:after="0"/>
              <w:rPr>
                <w:sz w:val="17"/>
                <w:szCs w:val="17"/>
                <w:color w:val="auto"/>
              </w:rPr>
            </w:pPr>
          </w:p>
        </w:tc>
      </w:tr>
      <w:tr>
        <w:trPr>
          <w:trHeight w:val="199"/>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related to prior years’ tax positions (1)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(387)</w:t>
            </w:r>
          </w:p>
        </w:tc>
      </w:tr>
      <w:tr>
        <w:trPr>
          <w:trHeight w:val="199"/>
        </w:trPr>
        <w:tc>
          <w:tcPr>
            <w:tcW w:w="90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related to current year tax positions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1,070</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Decrease due to lapses of statutes of limitations</w:t>
            </w:r>
          </w:p>
        </w:tc>
        <w:tc>
          <w:tcPr>
            <w:tcW w:w="220" w:type="dxa"/>
            <w:vAlign w:val="bottom"/>
          </w:tcPr>
          <w:p>
            <w:pPr>
              <w:spacing w:after="0"/>
              <w:rPr>
                <w:sz w:val="17"/>
                <w:szCs w:val="17"/>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(430)</w:t>
            </w:r>
          </w:p>
        </w:tc>
        <w:tc>
          <w:tcPr>
            <w:tcW w:w="3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w:t>
            </w:r>
          </w:p>
        </w:tc>
      </w:tr>
      <w:tr>
        <w:trPr>
          <w:trHeight w:val="239"/>
        </w:trPr>
        <w:tc>
          <w:tcPr>
            <w:tcW w:w="900" w:type="dxa"/>
            <w:vAlign w:val="bottom"/>
          </w:tcPr>
          <w:p>
            <w:pPr>
              <w:spacing w:after="0"/>
              <w:rPr>
                <w:sz w:val="20"/>
                <w:szCs w:val="20"/>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position, end of year</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8,216</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2"/>
        </w:trPr>
        <w:tc>
          <w:tcPr>
            <w:tcW w:w="900" w:type="dxa"/>
            <w:vAlign w:val="bottom"/>
          </w:tcPr>
          <w:p>
            <w:pPr>
              <w:spacing w:after="0"/>
              <w:rPr>
                <w:sz w:val="14"/>
                <w:szCs w:val="14"/>
                <w:color w:val="auto"/>
              </w:rPr>
            </w:pPr>
          </w:p>
        </w:tc>
        <w:tc>
          <w:tcPr>
            <w:tcW w:w="798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___________________________________________</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(1) The 2023 prior year’s tax positions includes $2,684 from prior year tax provision.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25"/>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40"/>
        </w:trPr>
        <w:tc>
          <w:tcPr>
            <w:tcW w:w="900" w:type="dxa"/>
            <w:vAlign w:val="bottom"/>
            <w:tcBorders>
              <w:bottom w:val="single" w:sz="8" w:color="auto"/>
            </w:tcBorders>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INCOME TAXES (Cont.)</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As of December 31, 2023, the total amount of gross uncertain tax benefits was $8,216, out of which an amount of $8,129, if recognized, would affect the Company’s effective tax rate. The Company operates in multiple jurisdictions throughout the world, and its tax returns are periodically audited or subject to review by both domestic and foreign authorities. The Company currently does not expect uncertain tax positions to change significantly over the next 12 months, except in the case of settlements with tax authorities, the likelihood and timing of which is difficult to estimate.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As of December 31, 2023 and 2022, unrecognized tax benefit in the amount of $87 and $81, was presented net of deferred tax assets.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u w:val="single" w:color="auto"/>
          <w:color w:val="auto"/>
        </w:rPr>
        <w:t>Tax assessments: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has final tax assessments in Israel through 2018, in the UK through 2018, and in the US through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COMMITMENTS AND CONTINGENCIES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Commercial Commitments</w:t>
      </w:r>
    </w:p>
    <w:p>
      <w:pPr>
        <w:spacing w:after="0" w:line="207"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Non-cancelable Purchase Obligations</w:t>
      </w:r>
    </w:p>
    <w:p>
      <w:pPr>
        <w:spacing w:after="0" w:line="20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In the normal course of business, the Company enters into non-cancelable purchase commitments with various parties to purchase primarily software and IT related-based services. As of December 31, 2023, the Company had outstanding non-cancelable purchase obligations in the amount of $27,128.</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07" w:lineRule="exact"/>
        <w:rPr>
          <w:sz w:val="20"/>
          <w:szCs w:val="20"/>
          <w:color w:val="auto"/>
        </w:rPr>
      </w:pPr>
    </w:p>
    <w:p>
      <w:pPr>
        <w:ind w:left="900" w:hanging="452"/>
        <w:spacing w:after="0" w:line="269"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2021, the Company became aware that the Antitrust Division of the U.S. Department of Justice is conducting a criminal investigation of hiring activities in the Company’s industry, including the Company. The Company cooperated with the Antitrust Division.</w:t>
      </w:r>
    </w:p>
    <w:p>
      <w:pPr>
        <w:spacing w:after="0" w:line="159" w:lineRule="exact"/>
        <w:rPr>
          <w:rFonts w:ascii="Times New Roman" w:cs="Times New Roman" w:eastAsia="Times New Roman" w:hAnsi="Times New Roman"/>
          <w:sz w:val="17"/>
          <w:szCs w:val="17"/>
          <w:color w:val="auto"/>
        </w:rPr>
      </w:pPr>
    </w:p>
    <w:p>
      <w:pPr>
        <w:ind w:left="9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2023, the Company was notified in writing by the Antitrust Division of the U.S. Department of Justice that it was no longer a subject or target of the previously disclosed criminal investigation of hiring activities in the Company’s industry, including the Company.</w:t>
      </w:r>
    </w:p>
    <w:p>
      <w:pPr>
        <w:spacing w:after="0" w:line="159" w:lineRule="exact"/>
        <w:rPr>
          <w:rFonts w:ascii="Times New Roman" w:cs="Times New Roman" w:eastAsia="Times New Roman" w:hAnsi="Times New Roman"/>
          <w:sz w:val="17"/>
          <w:szCs w:val="17"/>
          <w:color w:val="auto"/>
        </w:rPr>
      </w:pPr>
    </w:p>
    <w:p>
      <w:pPr>
        <w:jc w:val="both"/>
        <w:ind w:left="900" w:hanging="452"/>
        <w:spacing w:after="0" w:line="250"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ordinary course of business, the Company may be subject from time to time to various proceedings, lawsuits, disputes, or claims. The Company investigates these claims as they arise and record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in the aggregate, have a material adverse effect on its business, financial position, results of operations, or cash flows.</w:t>
      </w:r>
    </w:p>
    <w:p>
      <w:pPr>
        <w:spacing w:after="0" w:line="200" w:lineRule="exact"/>
        <w:rPr>
          <w:sz w:val="20"/>
          <w:szCs w:val="20"/>
          <w:color w:val="auto"/>
        </w:rPr>
      </w:pPr>
    </w:p>
    <w:p>
      <w:pPr>
        <w:spacing w:after="0" w:line="346"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RELATED PARTY TRANSACTIONS</w:t>
      </w:r>
    </w:p>
    <w:p>
      <w:pPr>
        <w:spacing w:after="0" w:line="20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spacing w:after="0" w:line="171"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7"/>
          <w:szCs w:val="17"/>
          <w:color w:val="auto"/>
        </w:rPr>
        <w:t>The Company and its affiliates are parties to several agreements in the ordinary course of business with Yahoo and its affiliates. In connection with these agreements, for the year ended December 31, 2023, the Company recorded revenues from Yahoo in the amount of $40,902. In addition, the Company recorded traffic acquisition costs related to Yahoo for the year ended December 31, 2023, in the amount of $45,183, respectively. Traffic acquisition costs noted herein are unaffiliated with the Yahoo revenues recorded for this period.</w:t>
      </w:r>
    </w:p>
    <w:p>
      <w:pPr>
        <w:spacing w:after="0" w:line="174"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As of December 31, 2023, in regards to Yahoo, the Company’s balances of trade receivables were $12,297, and its balances of trade payables were $38,657, associated with the revenues presented on a gross and net basis.</w:t>
      </w:r>
    </w:p>
    <w:p>
      <w:pPr>
        <w:spacing w:after="0" w:line="15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$3,650, of expenses, net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GEOGRAPHIC INFORMATION</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following table represents total revenue by geographic area based on the Advertisers’ billing address:</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Israel</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173,535</w:t>
            </w:r>
          </w:p>
        </w:tc>
      </w:tr>
      <w:tr>
        <w:trPr>
          <w:trHeight w:val="199"/>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564,603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545,944</w:t>
            </w:r>
          </w:p>
        </w:tc>
      </w:tr>
      <w:tr>
        <w:trPr>
          <w:trHeight w:val="199"/>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78,080</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72,697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69,927</w:t>
            </w:r>
          </w:p>
        </w:tc>
      </w:tr>
      <w:tr>
        <w:trPr>
          <w:trHeight w:val="199"/>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132,041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148,036</w:t>
            </w:r>
          </w:p>
        </w:tc>
      </w:tr>
      <w:tr>
        <w:trPr>
          <w:trHeight w:val="199"/>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520,913</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441,016</w:t>
            </w:r>
          </w:p>
        </w:tc>
      </w:tr>
      <w:tr>
        <w:trPr>
          <w:trHeight w:val="25"/>
        </w:trPr>
        <w:tc>
          <w:tcPr>
            <w:tcW w:w="20" w:type="dxa"/>
            <w:vAlign w:val="bottom"/>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r>
        <w:trPr>
          <w:trHeight w:val="204"/>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1,439,685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1,401,150</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1,378,458</w:t>
            </w:r>
          </w:p>
        </w:tc>
      </w:tr>
      <w:tr>
        <w:trPr>
          <w:trHeight w:val="3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represents the Company’s long-lived assets (1), net by geographic area:</w:t>
            </w: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Israel</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73,931</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46,277</w:t>
            </w: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11,836</w:t>
            </w: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7,821</w:t>
            </w:r>
          </w:p>
        </w:tc>
      </w:tr>
      <w:tr>
        <w:trPr>
          <w:trHeight w:val="204"/>
        </w:trPr>
        <w:tc>
          <w:tcPr>
            <w:tcW w:w="20" w:type="dxa"/>
            <w:vAlign w:val="bottom"/>
          </w:tcPr>
          <w:p>
            <w:pPr>
              <w:spacing w:after="0"/>
              <w:rPr>
                <w:sz w:val="17"/>
                <w:szCs w:val="17"/>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133,901</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139,865</w:t>
            </w:r>
          </w:p>
        </w:tc>
        <w:tc>
          <w:tcPr>
            <w:tcW w:w="80" w:type="dxa"/>
            <w:vAlign w:val="bottom"/>
            <w:tcBorders>
              <w:bottom w:val="single" w:sz="8" w:color="CCEEFF"/>
            </w:tcBorders>
            <w:shd w:val="clear" w:color="auto" w:fill="CCEEFF"/>
          </w:tcPr>
          <w:p>
            <w:pPr>
              <w:spacing w:after="0"/>
              <w:rPr>
                <w:sz w:val="17"/>
                <w:szCs w:val="17"/>
                <w:color w:val="auto"/>
              </w:rPr>
            </w:pPr>
          </w:p>
        </w:tc>
      </w:tr>
    </w:tbl>
    <w:p>
      <w:pPr>
        <w:ind w:left="900"/>
        <w:spacing w:after="0"/>
        <w:rPr>
          <w:sz w:val="20"/>
          <w:szCs w:val="20"/>
          <w:color w:val="auto"/>
        </w:rPr>
      </w:pPr>
      <w:r>
        <w:rPr>
          <w:rFonts w:ascii="Times New Roman" w:cs="Times New Roman" w:eastAsia="Times New Roman" w:hAnsi="Times New Roman"/>
          <w:sz w:val="17"/>
          <w:szCs w:val="17"/>
          <w:color w:val="auto"/>
        </w:rPr>
        <w:t>___________________________________________</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(1) Long-lived assets are comprised of property and equipment, net and operating lease right-of-use assets</w:t>
      </w:r>
    </w:p>
    <w:p>
      <w:pPr>
        <w:spacing w:after="0" w:line="356"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NET LOSS PER SHARE ATTRIBUTABLE TO ORDINARY AND NON-VOTING ORDINARY SHAREHOLDERS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7"/>
              <w:spacing w:after="0" w:line="179" w:lineRule="exact"/>
              <w:rPr>
                <w:sz w:val="20"/>
                <w:szCs w:val="20"/>
                <w:color w:val="auto"/>
              </w:rPr>
            </w:pPr>
            <w:r>
              <w:rPr>
                <w:rFonts w:ascii="Times New Roman" w:cs="Times New Roman" w:eastAsia="Times New Roman" w:hAnsi="Times New Roman"/>
                <w:sz w:val="17"/>
                <w:szCs w:val="17"/>
                <w:b w:val="1"/>
                <w:bCs w:val="1"/>
                <w:color w:val="auto"/>
                <w:w w:val="98"/>
              </w:rPr>
              <w:t>Non-voting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8"/>
              </w:rPr>
              <w:t>Non-voting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8"/>
              </w:rPr>
              <w:t>Non-voting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shares</w:t>
            </w:r>
          </w:p>
        </w:tc>
        <w:tc>
          <w:tcPr>
            <w:tcW w:w="0" w:type="dxa"/>
            <w:vAlign w:val="bottom"/>
          </w:tcPr>
          <w:p>
            <w:pPr>
              <w:spacing w:after="0"/>
              <w:rPr>
                <w:sz w:val="1"/>
                <w:szCs w:val="1"/>
                <w:color w:val="auto"/>
              </w:rPr>
            </w:pP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Net   loss   attributable   to   Ordinary</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(71,833)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(10,207)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(11,975)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Weighted-average shares used in</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computing net loss per share attributable to</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Ordinary shareholders, basic and diluted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303,282,558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43,093,556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254,284,781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142,883,475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9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Net loss per share attributable to Ordinary</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Non-voting Ordinary shareholders,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(0.24)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7"/>
          <w:szCs w:val="17"/>
          <w:color w:val="auto"/>
        </w:rPr>
        <w:t>The potential number of Ordinary shares that were excluded from the computation of diluted net loss per share attributable to Ordinary shareholders for the periods presented because including them would have been anti-dilutive is as follows: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7"/>
                <w:szCs w:val="17"/>
                <w:color w:val="auto"/>
              </w:rPr>
            </w:pPr>
          </w:p>
        </w:tc>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25,554,224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18,063,802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12,927,049</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share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27,397,556</w:t>
            </w:r>
          </w:p>
        </w:tc>
        <w:tc>
          <w:tcPr>
            <w:tcW w:w="22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30,284,408</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43,149,797</w:t>
            </w: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12,349,990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12,349,990</w:t>
            </w: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12,349,990</w:t>
            </w: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Issuable Ordinary shares related to business combination under holdback arrangement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1,647,292</w:t>
            </w:r>
          </w:p>
        </w:tc>
        <w:tc>
          <w:tcPr>
            <w:tcW w:w="220" w:type="dxa"/>
            <w:vAlign w:val="bottom"/>
          </w:tcPr>
          <w:p>
            <w:pPr>
              <w:spacing w:after="0"/>
              <w:rPr>
                <w:sz w:val="17"/>
                <w:szCs w:val="17"/>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4"/>
              </w:rPr>
              <w:t>2,380,736</w:t>
            </w:r>
          </w:p>
        </w:tc>
        <w:tc>
          <w:tcPr>
            <w:tcW w:w="200" w:type="dxa"/>
            <w:vAlign w:val="bottom"/>
          </w:tcPr>
          <w:p>
            <w:pPr>
              <w:spacing w:after="0"/>
              <w:rPr>
                <w:sz w:val="17"/>
                <w:szCs w:val="17"/>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66,949,062</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63,078,936</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68,426,836</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35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of December 31, 2023, our disclosure controls and procedures were effective to accomplish their objectives at the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07" w:lineRule="exact"/>
        <w:rPr>
          <w:sz w:val="20"/>
          <w:szCs w:val="20"/>
          <w:color w:val="auto"/>
        </w:rPr>
      </w:pPr>
    </w:p>
    <w:p>
      <w:pPr>
        <w:jc w:val="both"/>
        <w:ind w:firstLine="373"/>
        <w:spacing w:after="0" w:line="24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5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firstLine="373"/>
        <w:spacing w:after="0" w:line="252"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management, including our principal executive officers and principal financial officer, we conducted an evaluation of the effectiveness of our internal control over financial reporting as of December 31, 2023, based on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(2013). Based on this evaluation, management concluded that our internal control over financial reporting was effective as of December 31, 2023.</w:t>
      </w:r>
    </w:p>
    <w:p>
      <w:pPr>
        <w:spacing w:after="0" w:line="174" w:lineRule="exact"/>
        <w:rPr>
          <w:sz w:val="20"/>
          <w:szCs w:val="20"/>
          <w:color w:val="auto"/>
        </w:rPr>
      </w:pPr>
    </w:p>
    <w:p>
      <w:pPr>
        <w:jc w:val="both"/>
        <w:ind w:firstLine="373"/>
        <w:spacing w:after="0" w:line="301"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2023 has been audited by Kost Forer Gabbay &amp; Kasierer, A Member of Ernst &amp; Young Global, an independent registered public accounting firm, as stated in their report which is included in Part II, Item 8 of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(as such term is defined in Rules 13a-15(f) and 15d-15(f) under the Securities Exchange Act) that occurred during the quarter ended December 31, 2023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73"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7" w:lineRule="exact"/>
        <w:rPr>
          <w:sz w:val="20"/>
          <w:szCs w:val="20"/>
          <w:color w:val="auto"/>
        </w:rPr>
      </w:pPr>
    </w:p>
    <w:p>
      <w:pPr>
        <w:jc w:val="both"/>
        <w:ind w:firstLine="373"/>
        <w:spacing w:after="0" w:line="269"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2024 Proxy Statement, which we expect to file with the SEC within 120 days after the end of our fiscal year ended December 31, 2023.</w:t>
      </w:r>
    </w:p>
    <w:p>
      <w:pPr>
        <w:spacing w:after="0" w:line="159"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w:t>
      </w:r>
    </w:p>
    <w:p>
      <w:pPr>
        <w:spacing w:after="0" w:line="171" w:lineRule="exact"/>
        <w:rPr>
          <w:sz w:val="20"/>
          <w:szCs w:val="20"/>
          <w:color w:val="auto"/>
        </w:rPr>
      </w:pPr>
    </w:p>
    <w:p>
      <w:pPr>
        <w:jc w:val="both"/>
        <w:ind w:firstLine="373"/>
        <w:spacing w:after="0" w:line="256" w:lineRule="auto"/>
        <w:rPr>
          <w:sz w:val="20"/>
          <w:szCs w:val="20"/>
          <w:color w:val="auto"/>
        </w:rPr>
      </w:pPr>
      <w:r>
        <w:rPr>
          <w:rFonts w:ascii="Times New Roman" w:cs="Times New Roman" w:eastAsia="Times New Roman" w:hAnsi="Times New Roman"/>
          <w:sz w:val="17"/>
          <w:szCs w:val="17"/>
          <w:color w:val="auto"/>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https://investors.taboola.com/corporate-governance/governance-overview.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7" w:lineRule="exact"/>
        <w:rPr>
          <w:sz w:val="20"/>
          <w:szCs w:val="20"/>
          <w:color w:val="auto"/>
        </w:rPr>
      </w:pPr>
    </w:p>
    <w:p>
      <w:pPr>
        <w:jc w:val="both"/>
        <w:ind w:firstLine="373"/>
        <w:spacing w:after="0" w:line="269"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2024 Proxy Statement, which we expect to file with the SEC within 120 days after the end of our fiscal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SHAREHOLDER MATTERS</w:t>
      </w:r>
    </w:p>
    <w:p>
      <w:pPr>
        <w:spacing w:after="0" w:line="207" w:lineRule="exact"/>
        <w:rPr>
          <w:sz w:val="20"/>
          <w:szCs w:val="20"/>
          <w:color w:val="auto"/>
        </w:rPr>
      </w:pPr>
    </w:p>
    <w:p>
      <w:pPr>
        <w:jc w:val="both"/>
        <w:ind w:firstLine="373"/>
        <w:spacing w:after="0" w:line="269"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2024 Proxy Statement, which we expect to file with the SEC within 120 days after the end of our fiscal year ended December 31, 2023.</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07" w:lineRule="exact"/>
        <w:rPr>
          <w:sz w:val="20"/>
          <w:szCs w:val="20"/>
          <w:color w:val="auto"/>
        </w:rPr>
      </w:pPr>
    </w:p>
    <w:p>
      <w:pPr>
        <w:ind w:firstLine="373"/>
        <w:spacing w:after="0" w:line="269"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2024 Proxy Statement, which we expect to file with the SEC within 120 days after the end of our fiscal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07" w:lineRule="exact"/>
        <w:rPr>
          <w:sz w:val="20"/>
          <w:szCs w:val="20"/>
          <w:color w:val="auto"/>
        </w:rPr>
      </w:pPr>
    </w:p>
    <w:p>
      <w:pPr>
        <w:ind w:firstLine="373"/>
        <w:spacing w:after="0" w:line="269"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2024 Proxy Statement, which we expect to file with the SEC within 120 days after the end of our fiscal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filed the following documents as part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Consolidated Financial Statements: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240" w:type="dxa"/>
            <w:vAlign w:val="bottom"/>
            <w:tcBorders>
              <w:top w:val="single" w:sz="8" w:color="auto"/>
              <w:left w:val="single" w:sz="8" w:color="auto"/>
              <w:bottom w:val="single" w:sz="8" w:color="auto"/>
              <w:right w:val="single" w:sz="8" w:color="auto"/>
            </w:tcBorders>
            <w:gridSpan w:val="8"/>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0000EE"/>
              </w:rPr>
              <w:t>Reports of Independent Registered Public Accounting Firm (PCAOB ID: 1281)</w:t>
            </w:r>
          </w:p>
        </w:tc>
        <w:tc>
          <w:tcPr>
            <w:tcW w:w="1000" w:type="dxa"/>
            <w:vAlign w:val="bottom"/>
            <w:tcBorders>
              <w:top w:val="single" w:sz="8" w:color="auto"/>
              <w:bottom w:val="single" w:sz="8" w:color="auto"/>
              <w:right w:val="single" w:sz="8" w:color="auto"/>
            </w:tcBorders>
            <w:shd w:val="clear" w:color="auto" w:fill="CCEEFF"/>
          </w:tcPr>
          <w:p>
            <w:pPr>
              <w:jc w:val="right"/>
              <w:ind w:right="337"/>
              <w:spacing w:after="0" w:line="187" w:lineRule="exact"/>
              <w:rPr>
                <w:sz w:val="20"/>
                <w:szCs w:val="20"/>
                <w:color w:val="auto"/>
              </w:rPr>
            </w:pPr>
            <w:r>
              <w:rPr>
                <w:rFonts w:ascii="Times New Roman" w:cs="Times New Roman" w:eastAsia="Times New Roman" w:hAnsi="Times New Roman"/>
                <w:sz w:val="17"/>
                <w:szCs w:val="17"/>
                <w:color w:val="auto"/>
              </w:rPr>
              <w:t>83</w:t>
            </w:r>
          </w:p>
        </w:tc>
      </w:tr>
      <w:tr>
        <w:trPr>
          <w:trHeight w:val="162"/>
        </w:trPr>
        <w:tc>
          <w:tcPr>
            <w:tcW w:w="10240" w:type="dxa"/>
            <w:vAlign w:val="bottom"/>
            <w:tcBorders>
              <w:left w:val="single" w:sz="8" w:color="auto"/>
              <w:right w:val="single" w:sz="8" w:color="auto"/>
            </w:tcBorders>
            <w:gridSpan w:val="8"/>
          </w:tcPr>
          <w:p>
            <w:pPr>
              <w:ind w:left="20"/>
              <w:spacing w:after="0" w:line="162"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1000" w:type="dxa"/>
            <w:vAlign w:val="bottom"/>
            <w:tcBorders>
              <w:right w:val="single" w:sz="8" w:color="auto"/>
            </w:tcBorders>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85</w:t>
            </w:r>
          </w:p>
        </w:tc>
      </w:tr>
      <w:tr>
        <w:trPr>
          <w:trHeight w:val="22"/>
        </w:trPr>
        <w:tc>
          <w:tcPr>
            <w:tcW w:w="194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0240" w:type="dxa"/>
            <w:vAlign w:val="bottom"/>
            <w:tcBorders>
              <w:left w:val="single" w:sz="8" w:color="auto"/>
              <w:bottom w:val="single" w:sz="8" w:color="auto"/>
              <w:right w:val="single" w:sz="8" w:color="auto"/>
            </w:tcBorders>
            <w:gridSpan w:val="8"/>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0000EE"/>
              </w:rPr>
              <w:t>Consolidated Statements of Income (Loss)</w:t>
            </w:r>
          </w:p>
        </w:tc>
        <w:tc>
          <w:tcPr>
            <w:tcW w:w="1000" w:type="dxa"/>
            <w:vAlign w:val="bottom"/>
            <w:tcBorders>
              <w:bottom w:val="single" w:sz="8" w:color="auto"/>
              <w:right w:val="single" w:sz="8" w:color="auto"/>
            </w:tcBorders>
            <w:shd w:val="clear" w:color="auto" w:fill="CCEEFF"/>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86</w:t>
            </w:r>
          </w:p>
        </w:tc>
      </w:tr>
      <w:tr>
        <w:trPr>
          <w:trHeight w:val="162"/>
        </w:trPr>
        <w:tc>
          <w:tcPr>
            <w:tcW w:w="10240" w:type="dxa"/>
            <w:vAlign w:val="bottom"/>
            <w:tcBorders>
              <w:left w:val="single" w:sz="8" w:color="auto"/>
              <w:right w:val="single" w:sz="8" w:color="auto"/>
            </w:tcBorders>
            <w:gridSpan w:val="8"/>
          </w:tcPr>
          <w:p>
            <w:pPr>
              <w:ind w:left="20"/>
              <w:spacing w:after="0" w:line="162" w:lineRule="exact"/>
              <w:rPr>
                <w:sz w:val="20"/>
                <w:szCs w:val="20"/>
                <w:color w:val="auto"/>
              </w:rPr>
            </w:pPr>
            <w:r>
              <w:rPr>
                <w:rFonts w:ascii="Times New Roman" w:cs="Times New Roman" w:eastAsia="Times New Roman" w:hAnsi="Times New Roman"/>
                <w:sz w:val="17"/>
                <w:szCs w:val="17"/>
                <w:color w:val="0000EE"/>
              </w:rPr>
              <w:t>Consolidated Statements of Comprehensive Income (Loss)</w:t>
            </w:r>
          </w:p>
        </w:tc>
        <w:tc>
          <w:tcPr>
            <w:tcW w:w="1000" w:type="dxa"/>
            <w:vAlign w:val="bottom"/>
            <w:tcBorders>
              <w:right w:val="single" w:sz="8" w:color="auto"/>
            </w:tcBorders>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87</w:t>
            </w:r>
          </w:p>
        </w:tc>
      </w:tr>
      <w:tr>
        <w:trPr>
          <w:trHeight w:val="22"/>
        </w:trPr>
        <w:tc>
          <w:tcPr>
            <w:tcW w:w="194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0240" w:type="dxa"/>
            <w:vAlign w:val="bottom"/>
            <w:tcBorders>
              <w:left w:val="single" w:sz="8" w:color="auto"/>
              <w:bottom w:val="single" w:sz="8" w:color="auto"/>
              <w:right w:val="single" w:sz="8" w:color="auto"/>
            </w:tcBorders>
            <w:gridSpan w:val="8"/>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0000EE"/>
              </w:rPr>
              <w:t>Consolidated Statements of Convertible Preferred Shares and Shareholders’ Equity</w:t>
            </w:r>
          </w:p>
        </w:tc>
        <w:tc>
          <w:tcPr>
            <w:tcW w:w="1000" w:type="dxa"/>
            <w:vAlign w:val="bottom"/>
            <w:tcBorders>
              <w:bottom w:val="single" w:sz="8" w:color="auto"/>
              <w:right w:val="single" w:sz="8" w:color="auto"/>
            </w:tcBorders>
            <w:shd w:val="clear" w:color="auto" w:fill="CCEEFF"/>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88</w:t>
            </w:r>
          </w:p>
        </w:tc>
      </w:tr>
      <w:tr>
        <w:trPr>
          <w:trHeight w:val="162"/>
        </w:trPr>
        <w:tc>
          <w:tcPr>
            <w:tcW w:w="10240" w:type="dxa"/>
            <w:vAlign w:val="bottom"/>
            <w:tcBorders>
              <w:left w:val="single" w:sz="8" w:color="auto"/>
              <w:right w:val="single" w:sz="8" w:color="auto"/>
            </w:tcBorders>
            <w:gridSpan w:val="8"/>
          </w:tcPr>
          <w:p>
            <w:pPr>
              <w:ind w:left="20"/>
              <w:spacing w:after="0" w:line="162"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1000" w:type="dxa"/>
            <w:vAlign w:val="bottom"/>
            <w:tcBorders>
              <w:right w:val="single" w:sz="8" w:color="auto"/>
            </w:tcBorders>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89</w:t>
            </w:r>
          </w:p>
        </w:tc>
      </w:tr>
      <w:tr>
        <w:trPr>
          <w:trHeight w:val="22"/>
        </w:trPr>
        <w:tc>
          <w:tcPr>
            <w:tcW w:w="194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0240" w:type="dxa"/>
            <w:vAlign w:val="bottom"/>
            <w:tcBorders>
              <w:left w:val="single" w:sz="8" w:color="auto"/>
              <w:bottom w:val="single" w:sz="8" w:color="auto"/>
              <w:right w:val="single" w:sz="8" w:color="auto"/>
            </w:tcBorders>
            <w:gridSpan w:val="8"/>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1000" w:type="dxa"/>
            <w:vAlign w:val="bottom"/>
            <w:tcBorders>
              <w:bottom w:val="single" w:sz="8" w:color="auto"/>
              <w:right w:val="single" w:sz="8" w:color="auto"/>
            </w:tcBorders>
            <w:shd w:val="clear" w:color="auto" w:fill="CCEEFF"/>
          </w:tcPr>
          <w:p>
            <w:pPr>
              <w:jc w:val="right"/>
              <w:ind w:right="337"/>
              <w:spacing w:after="0" w:line="162" w:lineRule="exact"/>
              <w:rPr>
                <w:sz w:val="20"/>
                <w:szCs w:val="20"/>
                <w:color w:val="auto"/>
              </w:rPr>
            </w:pPr>
            <w:r>
              <w:rPr>
                <w:rFonts w:ascii="Times New Roman" w:cs="Times New Roman" w:eastAsia="Times New Roman" w:hAnsi="Times New Roman"/>
                <w:sz w:val="17"/>
                <w:szCs w:val="17"/>
                <w:color w:val="auto"/>
              </w:rPr>
              <w:t>91</w:t>
            </w:r>
          </w:p>
        </w:tc>
      </w:tr>
    </w:tbl>
    <w:p>
      <w:pPr>
        <w:spacing w:after="0" w:line="183" w:lineRule="exact"/>
        <w:rPr>
          <w:sz w:val="20"/>
          <w:szCs w:val="20"/>
          <w:color w:val="auto"/>
        </w:rPr>
      </w:pPr>
    </w:p>
    <w:p>
      <w:pPr>
        <w:spacing w:after="0" w:line="269" w:lineRule="auto"/>
        <w:tabs>
          <w:tab w:leader="none" w:pos="17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have been omitted because they are not required, not applicable, not present in amounts sufficient to require submission of the schedule, or the required information is otherwise included.</w:t>
      </w:r>
    </w:p>
    <w:p>
      <w:pPr>
        <w:spacing w:after="0" w:line="159"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Index</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right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12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7"/>
              </w:rPr>
              <w:t>Filed</w:t>
            </w:r>
          </w:p>
        </w:tc>
        <w:tc>
          <w:tcPr>
            <w:tcW w:w="0" w:type="dxa"/>
            <w:vAlign w:val="bottom"/>
          </w:tcPr>
          <w:p>
            <w:pPr>
              <w:spacing w:after="0"/>
              <w:rPr>
                <w:sz w:val="1"/>
                <w:szCs w:val="1"/>
                <w:color w:val="auto"/>
              </w:rPr>
            </w:pPr>
          </w:p>
        </w:tc>
      </w:tr>
      <w:tr>
        <w:trPr>
          <w:trHeight w:val="199"/>
        </w:trPr>
        <w:tc>
          <w:tcPr>
            <w:tcW w:w="1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right w:val="single" w:sz="8" w:color="auto"/>
            </w:tcBorders>
            <w:gridSpan w:val="24"/>
          </w:tcPr>
          <w:p>
            <w:pPr>
              <w:ind w:left="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Form</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Date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/Furnished</w:t>
            </w:r>
          </w:p>
        </w:tc>
        <w:tc>
          <w:tcPr>
            <w:tcW w:w="0" w:type="dxa"/>
            <w:vAlign w:val="bottom"/>
          </w:tcPr>
          <w:p>
            <w:pPr>
              <w:spacing w:after="0"/>
              <w:rPr>
                <w:sz w:val="1"/>
                <w:szCs w:val="1"/>
                <w:color w:val="auto"/>
              </w:rPr>
            </w:pPr>
          </w:p>
        </w:tc>
      </w:tr>
      <w:tr>
        <w:trPr>
          <w:trHeight w:val="224"/>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Herewith</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3.1</w:t>
            </w:r>
          </w:p>
        </w:tc>
        <w:tc>
          <w:tcPr>
            <w:tcW w:w="5140" w:type="dxa"/>
            <w:vAlign w:val="bottom"/>
            <w:tcBorders>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w w:val="99"/>
              </w:rPr>
            </w:pPr>
            <w:hyperlink r:id="rId194">
              <w:r>
                <w:rPr>
                  <w:rFonts w:ascii="Times New Roman" w:cs="Times New Roman" w:eastAsia="Times New Roman" w:hAnsi="Times New Roman"/>
                  <w:sz w:val="17"/>
                  <w:szCs w:val="17"/>
                  <w:color w:val="0000EE"/>
                  <w:w w:val="99"/>
                </w:rPr>
                <w:t>Articles of Association of Taboola.com Ltd. as Amended on December 30,</w:t>
              </w:r>
            </w:hyperlink>
          </w:p>
        </w:tc>
        <w:tc>
          <w:tcPr>
            <w:tcW w:w="680" w:type="dxa"/>
            <w:vAlign w:val="bottom"/>
            <w:tcBorders>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8-K</w:t>
            </w:r>
          </w:p>
        </w:tc>
        <w:tc>
          <w:tcPr>
            <w:tcW w:w="8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3.1</w:t>
            </w:r>
          </w:p>
        </w:tc>
        <w:tc>
          <w:tcPr>
            <w:tcW w:w="126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9"/>
              </w:rPr>
              <w:t>January 17, 2023</w:t>
            </w:r>
          </w:p>
        </w:tc>
        <w:tc>
          <w:tcPr>
            <w:tcW w:w="12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080" w:type="dxa"/>
            <w:vAlign w:val="bottom"/>
            <w:tcBorders>
              <w:top w:val="single" w:sz="8" w:color="CCEEFF"/>
              <w:left w:val="single" w:sz="8" w:color="auto"/>
              <w:bottom w:val="single" w:sz="8" w:color="CCEEFF"/>
              <w:right w:val="single" w:sz="8" w:color="auto"/>
            </w:tcBorders>
            <w:shd w:val="clear" w:color="auto" w:fill="CCEEFF"/>
          </w:tcPr>
          <w:p>
            <w:pPr>
              <w:spacing w:after="0"/>
              <w:rPr>
                <w:sz w:val="19"/>
                <w:szCs w:val="19"/>
                <w:color w:val="auto"/>
              </w:rPr>
            </w:pPr>
          </w:p>
        </w:tc>
        <w:tc>
          <w:tcPr>
            <w:tcW w:w="340" w:type="dxa"/>
            <w:vAlign w:val="bottom"/>
            <w:tcBorders>
              <w:top w:val="single" w:sz="8" w:color="0000EE"/>
              <w:bottom w:val="single" w:sz="8" w:color="0000EE"/>
            </w:tcBorders>
            <w:shd w:val="clear" w:color="auto" w:fill="CCEEFF"/>
          </w:tcPr>
          <w:p>
            <w:pPr>
              <w:spacing w:after="0" w:line="179" w:lineRule="exact"/>
              <w:rPr>
                <w:rFonts w:ascii="Times New Roman" w:cs="Times New Roman" w:eastAsia="Times New Roman" w:hAnsi="Times New Roman"/>
                <w:sz w:val="17"/>
                <w:szCs w:val="17"/>
                <w:color w:val="0000EE"/>
                <w:w w:val="93"/>
              </w:rPr>
            </w:pPr>
            <w:hyperlink r:id="rId194">
              <w:r>
                <w:rPr>
                  <w:rFonts w:ascii="Times New Roman" w:cs="Times New Roman" w:eastAsia="Times New Roman" w:hAnsi="Times New Roman"/>
                  <w:sz w:val="17"/>
                  <w:szCs w:val="17"/>
                  <w:color w:val="0000EE"/>
                  <w:w w:val="93"/>
                </w:rPr>
                <w:t>2022</w:t>
              </w:r>
            </w:hyperlink>
          </w:p>
        </w:tc>
        <w:tc>
          <w:tcPr>
            <w:tcW w:w="700" w:type="dxa"/>
            <w:vAlign w:val="bottom"/>
            <w:tcBorders>
              <w:top w:val="single" w:sz="8" w:color="0000EE"/>
              <w:bottom w:val="single" w:sz="8" w:color="CCEEFF"/>
            </w:tcBorders>
            <w:shd w:val="clear" w:color="auto" w:fill="CCEEFF"/>
          </w:tcPr>
          <w:p>
            <w:pPr>
              <w:spacing w:after="0"/>
              <w:rPr>
                <w:sz w:val="19"/>
                <w:szCs w:val="19"/>
                <w:color w:val="auto"/>
              </w:rPr>
            </w:pPr>
          </w:p>
        </w:tc>
        <w:tc>
          <w:tcPr>
            <w:tcW w:w="140" w:type="dxa"/>
            <w:vAlign w:val="bottom"/>
            <w:tcBorders>
              <w:top w:val="single" w:sz="8" w:color="0000EE"/>
              <w:bottom w:val="single" w:sz="8" w:color="CCEEFF"/>
            </w:tcBorders>
            <w:shd w:val="clear" w:color="auto" w:fill="CCEEFF"/>
          </w:tcPr>
          <w:p>
            <w:pPr>
              <w:spacing w:after="0"/>
              <w:rPr>
                <w:sz w:val="19"/>
                <w:szCs w:val="19"/>
                <w:color w:val="auto"/>
              </w:rPr>
            </w:pPr>
          </w:p>
        </w:tc>
        <w:tc>
          <w:tcPr>
            <w:tcW w:w="4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0000EE"/>
              <w:bottom w:val="single" w:sz="8" w:color="CCEEFF"/>
            </w:tcBorders>
            <w:shd w:val="clear" w:color="auto" w:fill="CCEEFF"/>
          </w:tcPr>
          <w:p>
            <w:pPr>
              <w:spacing w:after="0"/>
              <w:rPr>
                <w:sz w:val="19"/>
                <w:szCs w:val="19"/>
                <w:color w:val="auto"/>
              </w:rPr>
            </w:pPr>
          </w:p>
        </w:tc>
        <w:tc>
          <w:tcPr>
            <w:tcW w:w="120" w:type="dxa"/>
            <w:vAlign w:val="bottom"/>
            <w:tcBorders>
              <w:top w:val="single" w:sz="8" w:color="0000EE"/>
              <w:bottom w:val="single" w:sz="8" w:color="CCEEFF"/>
            </w:tcBorders>
            <w:shd w:val="clear" w:color="auto" w:fill="CCEEFF"/>
          </w:tcPr>
          <w:p>
            <w:pPr>
              <w:spacing w:after="0"/>
              <w:rPr>
                <w:sz w:val="19"/>
                <w:szCs w:val="19"/>
                <w:color w:val="auto"/>
              </w:rPr>
            </w:pPr>
          </w:p>
        </w:tc>
        <w:tc>
          <w:tcPr>
            <w:tcW w:w="180" w:type="dxa"/>
            <w:vAlign w:val="bottom"/>
            <w:tcBorders>
              <w:top w:val="single" w:sz="8" w:color="0000EE"/>
              <w:bottom w:val="single" w:sz="8" w:color="CCEEFF"/>
            </w:tcBorders>
            <w:shd w:val="clear" w:color="auto" w:fill="CCEEFF"/>
          </w:tcPr>
          <w:p>
            <w:pPr>
              <w:spacing w:after="0"/>
              <w:rPr>
                <w:sz w:val="19"/>
                <w:szCs w:val="19"/>
                <w:color w:val="auto"/>
              </w:rPr>
            </w:pPr>
          </w:p>
        </w:tc>
        <w:tc>
          <w:tcPr>
            <w:tcW w:w="100" w:type="dxa"/>
            <w:vAlign w:val="bottom"/>
            <w:tcBorders>
              <w:top w:val="single" w:sz="8" w:color="0000EE"/>
              <w:bottom w:val="single" w:sz="8" w:color="CCEEFF"/>
            </w:tcBorders>
            <w:shd w:val="clear" w:color="auto" w:fill="CCEEFF"/>
          </w:tcPr>
          <w:p>
            <w:pPr>
              <w:spacing w:after="0"/>
              <w:rPr>
                <w:sz w:val="19"/>
                <w:szCs w:val="19"/>
                <w:color w:val="auto"/>
              </w:rPr>
            </w:pPr>
          </w:p>
        </w:tc>
        <w:tc>
          <w:tcPr>
            <w:tcW w:w="32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12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16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140" w:type="dxa"/>
            <w:vAlign w:val="bottom"/>
            <w:tcBorders>
              <w:top w:val="single" w:sz="8" w:color="0000EE"/>
              <w:bottom w:val="single" w:sz="8" w:color="CCEEFF"/>
            </w:tcBorders>
            <w:shd w:val="clear" w:color="auto" w:fill="CCEEFF"/>
          </w:tcPr>
          <w:p>
            <w:pPr>
              <w:spacing w:after="0"/>
              <w:rPr>
                <w:sz w:val="19"/>
                <w:szCs w:val="19"/>
                <w:color w:val="auto"/>
              </w:rPr>
            </w:pPr>
          </w:p>
        </w:tc>
        <w:tc>
          <w:tcPr>
            <w:tcW w:w="32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0" w:type="dxa"/>
            <w:vAlign w:val="bottom"/>
            <w:tcBorders>
              <w:top w:val="single" w:sz="8" w:color="0000EE"/>
              <w:bottom w:val="single" w:sz="8" w:color="CCEEFF"/>
            </w:tcBorders>
            <w:shd w:val="clear" w:color="auto" w:fill="CCEEFF"/>
          </w:tcPr>
          <w:p>
            <w:pPr>
              <w:spacing w:after="0"/>
              <w:rPr>
                <w:sz w:val="19"/>
                <w:szCs w:val="19"/>
                <w:color w:val="auto"/>
              </w:rPr>
            </w:pPr>
          </w:p>
        </w:tc>
        <w:tc>
          <w:tcPr>
            <w:tcW w:w="10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top w:val="single" w:sz="8" w:color="auto"/>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4.1</w:t>
            </w:r>
          </w:p>
        </w:tc>
        <w:tc>
          <w:tcPr>
            <w:tcW w:w="5140" w:type="dxa"/>
            <w:vAlign w:val="bottom"/>
            <w:tcBorders>
              <w:top w:val="single" w:sz="8" w:color="auto"/>
              <w:right w:val="single" w:sz="8" w:color="auto"/>
            </w:tcBorders>
            <w:gridSpan w:val="31"/>
          </w:tcPr>
          <w:p>
            <w:pPr>
              <w:spacing w:after="0" w:line="162" w:lineRule="exact"/>
              <w:rPr>
                <w:sz w:val="20"/>
                <w:szCs w:val="20"/>
                <w:color w:val="auto"/>
              </w:rPr>
            </w:pPr>
            <w:r>
              <w:rPr>
                <w:rFonts w:ascii="Times New Roman" w:cs="Times New Roman" w:eastAsia="Times New Roman" w:hAnsi="Times New Roman"/>
                <w:sz w:val="17"/>
                <w:szCs w:val="17"/>
                <w:color w:val="0000EE"/>
              </w:rPr>
              <w:t>Description of Securities</w:t>
            </w:r>
          </w:p>
        </w:tc>
        <w:tc>
          <w:tcPr>
            <w:tcW w:w="68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4.2</w:t>
            </w:r>
          </w:p>
        </w:tc>
        <w:tc>
          <w:tcPr>
            <w:tcW w:w="5140" w:type="dxa"/>
            <w:vAlign w:val="bottom"/>
            <w:tcBorders>
              <w:bottom w:val="single" w:sz="8" w:color="auto"/>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Specimen Ordinary Share Certificate of Taboola.com Ltd.</w:t>
              </w:r>
            </w:hyperlink>
          </w:p>
        </w:tc>
        <w:tc>
          <w:tcPr>
            <w:tcW w:w="680" w:type="dxa"/>
            <w:vAlign w:val="bottom"/>
            <w:tcBorders>
              <w:bottom w:val="single" w:sz="8" w:color="auto"/>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tcBorders>
              <w:bottom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4.5</w:t>
            </w:r>
          </w:p>
        </w:tc>
        <w:tc>
          <w:tcPr>
            <w:tcW w:w="126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4.3</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Specimen Warrant Certificate of Taboola.com Ltd.</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4.6</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w:t>
            </w:r>
          </w:p>
        </w:tc>
        <w:tc>
          <w:tcPr>
            <w:tcW w:w="5140" w:type="dxa"/>
            <w:vAlign w:val="bottom"/>
            <w:tcBorders>
              <w:bottom w:val="single" w:sz="8" w:color="auto"/>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Form of Director and Officer Indemnification Agreement</w:t>
              </w:r>
            </w:hyperlink>
          </w:p>
        </w:tc>
        <w:tc>
          <w:tcPr>
            <w:tcW w:w="680" w:type="dxa"/>
            <w:vAlign w:val="bottom"/>
            <w:tcBorders>
              <w:bottom w:val="single" w:sz="8" w:color="auto"/>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tcBorders>
              <w:bottom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10.10</w:t>
            </w:r>
          </w:p>
        </w:tc>
        <w:tc>
          <w:tcPr>
            <w:tcW w:w="126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10.2††</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Compensation Policy for Officers and Directors</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20-F</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4.5</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March 24, 2022</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10.3††</w:t>
            </w:r>
          </w:p>
        </w:tc>
        <w:tc>
          <w:tcPr>
            <w:tcW w:w="5140" w:type="dxa"/>
            <w:vAlign w:val="bottom"/>
            <w:tcBorders>
              <w:bottom w:val="single" w:sz="8" w:color="auto"/>
              <w:right w:val="single" w:sz="8" w:color="auto"/>
            </w:tcBorders>
            <w:gridSpan w:val="31"/>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Compensation Policy for Non-Employee Directors</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10.4††</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Form of 2021 Taboola.com Ltd. Share Incentive Plan</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10.8</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10.5††</w:t>
            </w:r>
          </w:p>
        </w:tc>
        <w:tc>
          <w:tcPr>
            <w:tcW w:w="5140" w:type="dxa"/>
            <w:vAlign w:val="bottom"/>
            <w:tcBorders>
              <w:bottom w:val="single" w:sz="8" w:color="auto"/>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Form of Taboola.com Ltd. Employee Stock Purchase Plan</w:t>
              </w:r>
            </w:hyperlink>
          </w:p>
        </w:tc>
        <w:tc>
          <w:tcPr>
            <w:tcW w:w="680" w:type="dxa"/>
            <w:vAlign w:val="bottom"/>
            <w:tcBorders>
              <w:bottom w:val="single" w:sz="8" w:color="auto"/>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tcBorders>
              <w:bottom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10.9</w:t>
            </w:r>
          </w:p>
        </w:tc>
        <w:tc>
          <w:tcPr>
            <w:tcW w:w="1260" w:type="dxa"/>
            <w:vAlign w:val="bottom"/>
            <w:tcBorders>
              <w:bottom w:val="single" w:sz="8" w:color="auto"/>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10.6†</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w w:val="97"/>
              </w:rPr>
            </w:pPr>
            <w:hyperlink r:id="rId201">
              <w:r>
                <w:rPr>
                  <w:rFonts w:ascii="Times New Roman" w:cs="Times New Roman" w:eastAsia="Times New Roman" w:hAnsi="Times New Roman"/>
                  <w:sz w:val="17"/>
                  <w:szCs w:val="17"/>
                  <w:color w:val="0000EE"/>
                  <w:w w:val="97"/>
                </w:rPr>
                <w:t>Stock Purchase Agreement dated as of July 22, 2021, by and among Taboola</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F-1/A</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333-257879</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2.3</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September 1,</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bottom w:val="single" w:sz="8" w:color="0000EE"/>
              <w:right w:val="single" w:sz="8" w:color="auto"/>
            </w:tcBorders>
            <w:gridSpan w:val="31"/>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Inc., Shop Management LLC, and for certain specified sections of the</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ind w:left="60"/>
              <w:spacing w:after="0" w:line="179" w:lineRule="exact"/>
              <w:rPr>
                <w:sz w:val="20"/>
                <w:szCs w:val="20"/>
                <w:color w:val="auto"/>
              </w:rPr>
            </w:pPr>
            <w:r>
              <w:rPr>
                <w:rFonts w:ascii="Times New Roman" w:cs="Times New Roman" w:eastAsia="Times New Roman" w:hAnsi="Times New Roman"/>
                <w:sz w:val="17"/>
                <w:szCs w:val="17"/>
                <w:color w:val="auto"/>
              </w:rPr>
              <w:t>2021</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gridSpan w:val="31"/>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Purchase Agreement, Taboola.com Ltd.</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10.7</w:t>
            </w:r>
          </w:p>
        </w:tc>
        <w:tc>
          <w:tcPr>
            <w:tcW w:w="5140" w:type="dxa"/>
            <w:vAlign w:val="bottom"/>
            <w:tcBorders>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w w:val="97"/>
              </w:rPr>
            </w:pPr>
            <w:hyperlink r:id="rId202">
              <w:r>
                <w:rPr>
                  <w:rFonts w:ascii="Times New Roman" w:cs="Times New Roman" w:eastAsia="Times New Roman" w:hAnsi="Times New Roman"/>
                  <w:sz w:val="17"/>
                  <w:szCs w:val="17"/>
                  <w:color w:val="0000EE"/>
                  <w:w w:val="97"/>
                </w:rPr>
                <w:t>Amended and Restated Investors’ Rights Agreement, dated as of January 25,</w:t>
              </w:r>
            </w:hyperlink>
          </w:p>
        </w:tc>
        <w:tc>
          <w:tcPr>
            <w:tcW w:w="680" w:type="dxa"/>
            <w:vAlign w:val="bottom"/>
            <w:tcBorders>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F-4</w:t>
            </w:r>
          </w:p>
        </w:tc>
        <w:tc>
          <w:tcPr>
            <w:tcW w:w="8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4"/>
              </w:rPr>
              <w:t>333-255684</w:t>
            </w:r>
          </w:p>
        </w:tc>
        <w:tc>
          <w:tcPr>
            <w:tcW w:w="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4.10</w:t>
            </w:r>
          </w:p>
        </w:tc>
        <w:tc>
          <w:tcPr>
            <w:tcW w:w="126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April 30, 2021</w:t>
            </w:r>
          </w:p>
        </w:tc>
        <w:tc>
          <w:tcPr>
            <w:tcW w:w="12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126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140" w:type="dxa"/>
            <w:vAlign w:val="bottom"/>
            <w:tcBorders>
              <w:bottom w:val="single" w:sz="8" w:color="0000EE"/>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2021,  by  and  among  Taboola.com  Ltd.  and  certain  shareholders  of</w:t>
              </w:r>
            </w:hyperlink>
          </w:p>
        </w:tc>
        <w:tc>
          <w:tcPr>
            <w:tcW w:w="680" w:type="dxa"/>
            <w:vAlign w:val="bottom"/>
            <w:tcBorders>
              <w:bottom w:val="single" w:sz="8" w:color="CCEEFF"/>
              <w:right w:val="single" w:sz="8" w:color="auto"/>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spacing w:after="0"/>
              <w:rPr>
                <w:sz w:val="15"/>
                <w:szCs w:val="15"/>
                <w:color w:val="auto"/>
              </w:rPr>
            </w:pPr>
          </w:p>
        </w:tc>
        <w:tc>
          <w:tcPr>
            <w:tcW w:w="1260" w:type="dxa"/>
            <w:vAlign w:val="bottom"/>
            <w:tcBorders>
              <w:bottom w:val="single" w:sz="8" w:color="CCEEFF"/>
              <w:right w:val="single" w:sz="8" w:color="auto"/>
            </w:tcBorders>
            <w:shd w:val="clear" w:color="auto" w:fill="CCEEFF"/>
          </w:tcPr>
          <w:p>
            <w:pPr>
              <w:spacing w:after="0"/>
              <w:rPr>
                <w:sz w:val="15"/>
                <w:szCs w:val="15"/>
                <w:color w:val="auto"/>
              </w:rPr>
            </w:pPr>
          </w:p>
        </w:tc>
        <w:tc>
          <w:tcPr>
            <w:tcW w:w="120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Taboola.com Ltd.</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10.8</w:t>
            </w:r>
          </w:p>
        </w:tc>
        <w:tc>
          <w:tcPr>
            <w:tcW w:w="5140" w:type="dxa"/>
            <w:vAlign w:val="bottom"/>
            <w:tcBorders>
              <w:bottom w:val="single" w:sz="8" w:color="0000EE"/>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Registration  Rights  Agreement  between  Taboola.com  Ltd.  and  Shop</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6-K</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99.2</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September 1,</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gridSpan w:val="31"/>
          </w:tcPr>
          <w:p>
            <w:pPr>
              <w:spacing w:after="0" w:line="17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Management, LLC dated as of September 1, 2021</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ind w:left="60"/>
              <w:spacing w:after="0" w:line="179" w:lineRule="exact"/>
              <w:rPr>
                <w:sz w:val="20"/>
                <w:szCs w:val="20"/>
                <w:color w:val="auto"/>
              </w:rPr>
            </w:pPr>
            <w:r>
              <w:rPr>
                <w:rFonts w:ascii="Times New Roman" w:cs="Times New Roman" w:eastAsia="Times New Roman" w:hAnsi="Times New Roman"/>
                <w:sz w:val="17"/>
                <w:szCs w:val="17"/>
                <w:color w:val="auto"/>
              </w:rPr>
              <w:t>2021</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10.9</w:t>
            </w:r>
          </w:p>
        </w:tc>
        <w:tc>
          <w:tcPr>
            <w:tcW w:w="5140" w:type="dxa"/>
            <w:vAlign w:val="bottom"/>
            <w:tcBorders>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Credit  Agreement,  dated  as  of  September  1,  2021,  by  and  among</w:t>
              </w:r>
            </w:hyperlink>
          </w:p>
        </w:tc>
        <w:tc>
          <w:tcPr>
            <w:tcW w:w="680" w:type="dxa"/>
            <w:vAlign w:val="bottom"/>
            <w:tcBorders>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6-K</w:t>
            </w:r>
          </w:p>
        </w:tc>
        <w:tc>
          <w:tcPr>
            <w:tcW w:w="8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99.3</w:t>
            </w:r>
          </w:p>
        </w:tc>
        <w:tc>
          <w:tcPr>
            <w:tcW w:w="1260" w:type="dxa"/>
            <w:vAlign w:val="bottom"/>
            <w:tcBorders>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September 1,</w:t>
            </w:r>
          </w:p>
        </w:tc>
        <w:tc>
          <w:tcPr>
            <w:tcW w:w="12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126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140" w:type="dxa"/>
            <w:vAlign w:val="bottom"/>
            <w:tcBorders>
              <w:bottom w:val="single" w:sz="8" w:color="0000EE"/>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w w:val="99"/>
              </w:rPr>
            </w:pPr>
            <w:hyperlink r:id="rId204">
              <w:r>
                <w:rPr>
                  <w:rFonts w:ascii="Times New Roman" w:cs="Times New Roman" w:eastAsia="Times New Roman" w:hAnsi="Times New Roman"/>
                  <w:sz w:val="17"/>
                  <w:szCs w:val="17"/>
                  <w:color w:val="0000EE"/>
                  <w:w w:val="99"/>
                </w:rPr>
                <w:t>Taboola.com Ltd., Taboola, Inc., as borrower, the lenders party thereto and</w:t>
              </w:r>
            </w:hyperlink>
          </w:p>
        </w:tc>
        <w:tc>
          <w:tcPr>
            <w:tcW w:w="680" w:type="dxa"/>
            <w:vAlign w:val="bottom"/>
            <w:tcBorders>
              <w:bottom w:val="single" w:sz="8" w:color="CCEEFF"/>
              <w:right w:val="single" w:sz="8" w:color="auto"/>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spacing w:after="0"/>
              <w:rPr>
                <w:sz w:val="15"/>
                <w:szCs w:val="15"/>
                <w:color w:val="auto"/>
              </w:rPr>
            </w:pPr>
          </w:p>
        </w:tc>
        <w:tc>
          <w:tcPr>
            <w:tcW w:w="1260" w:type="dxa"/>
            <w:vAlign w:val="bottom"/>
            <w:tcBorders>
              <w:bottom w:val="single" w:sz="8" w:color="CCEEFF"/>
              <w:right w:val="single" w:sz="8" w:color="auto"/>
            </w:tcBorders>
            <w:shd w:val="clear" w:color="auto" w:fill="CCEEFF"/>
          </w:tcPr>
          <w:p>
            <w:pPr>
              <w:ind w:left="60"/>
              <w:spacing w:after="0" w:line="179" w:lineRule="exact"/>
              <w:rPr>
                <w:sz w:val="20"/>
                <w:szCs w:val="20"/>
                <w:color w:val="auto"/>
              </w:rPr>
            </w:pPr>
            <w:r>
              <w:rPr>
                <w:rFonts w:ascii="Times New Roman" w:cs="Times New Roman" w:eastAsia="Times New Roman" w:hAnsi="Times New Roman"/>
                <w:sz w:val="17"/>
                <w:szCs w:val="17"/>
                <w:color w:val="auto"/>
              </w:rPr>
              <w:t>2021</w:t>
            </w:r>
          </w:p>
        </w:tc>
        <w:tc>
          <w:tcPr>
            <w:tcW w:w="120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JPMorgan Chase Bank, N.A., as administrative agent.</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10.10†</w:t>
            </w:r>
          </w:p>
        </w:tc>
        <w:tc>
          <w:tcPr>
            <w:tcW w:w="5140" w:type="dxa"/>
            <w:vAlign w:val="bottom"/>
            <w:tcBorders>
              <w:bottom w:val="single" w:sz="8" w:color="0000EE"/>
              <w:right w:val="single" w:sz="8" w:color="auto"/>
            </w:tcBorders>
            <w:gridSpan w:val="31"/>
          </w:tcPr>
          <w:p>
            <w:pPr>
              <w:spacing w:after="0" w:line="162" w:lineRule="exact"/>
              <w:rPr>
                <w:rFonts w:ascii="Times New Roman" w:cs="Times New Roman" w:eastAsia="Times New Roman" w:hAnsi="Times New Roman"/>
                <w:sz w:val="17"/>
                <w:szCs w:val="17"/>
                <w:color w:val="0000EE"/>
                <w:w w:val="99"/>
              </w:rPr>
            </w:pPr>
            <w:hyperlink r:id="rId205">
              <w:r>
                <w:rPr>
                  <w:rFonts w:ascii="Times New Roman" w:cs="Times New Roman" w:eastAsia="Times New Roman" w:hAnsi="Times New Roman"/>
                  <w:sz w:val="17"/>
                  <w:szCs w:val="17"/>
                  <w:color w:val="0000EE"/>
                  <w:w w:val="99"/>
                </w:rPr>
                <w:t>Incremental Facility Amendment No. 1, dated as of August 9, 2022, by and</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6-K</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99.1</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August 22, 2022</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gridSpan w:val="31"/>
          </w:tcPr>
          <w:p>
            <w:pPr>
              <w:spacing w:after="0" w:line="17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among Taboola.com Ltd., Taboola, Inc., as borrower, the lenders party</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00" w:type="dxa"/>
            <w:vAlign w:val="bottom"/>
            <w:tcBorders>
              <w:top w:val="single" w:sz="8" w:color="0000EE"/>
            </w:tcBorders>
            <w:gridSpan w:val="30"/>
          </w:tcPr>
          <w:p>
            <w:pPr>
              <w:spacing w:after="0" w:line="17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thereto and JPMorgan Chase Bank, N.A., as administrative agent</w:t>
              </w:r>
            </w:hyperlink>
          </w:p>
        </w:tc>
        <w:tc>
          <w:tcPr>
            <w:tcW w:w="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10.11†</w:t>
            </w:r>
          </w:p>
        </w:tc>
        <w:tc>
          <w:tcPr>
            <w:tcW w:w="5140" w:type="dxa"/>
            <w:vAlign w:val="bottom"/>
            <w:tcBorders>
              <w:bottom w:val="single" w:sz="8" w:color="0000EE"/>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Amendment No. 2, dated as of June 12, 2023, to the Credit Agreement by</w:t>
              </w:r>
            </w:hyperlink>
          </w:p>
        </w:tc>
        <w:tc>
          <w:tcPr>
            <w:tcW w:w="680" w:type="dxa"/>
            <w:vAlign w:val="bottom"/>
            <w:tcBorders>
              <w:bottom w:val="single" w:sz="8" w:color="CCEEFF"/>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10-Q</w:t>
            </w:r>
          </w:p>
        </w:tc>
        <w:tc>
          <w:tcPr>
            <w:tcW w:w="860" w:type="dxa"/>
            <w:vAlign w:val="bottom"/>
            <w:tcBorders>
              <w:bottom w:val="single" w:sz="8" w:color="CCEEFF"/>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10.2</w:t>
            </w:r>
          </w:p>
        </w:tc>
        <w:tc>
          <w:tcPr>
            <w:tcW w:w="1260" w:type="dxa"/>
            <w:vAlign w:val="bottom"/>
            <w:tcBorders>
              <w:bottom w:val="single" w:sz="8" w:color="CCEEFF"/>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August 9, 2023</w:t>
            </w:r>
          </w:p>
        </w:tc>
        <w:tc>
          <w:tcPr>
            <w:tcW w:w="12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140" w:type="dxa"/>
            <w:vAlign w:val="bottom"/>
            <w:tcBorders>
              <w:bottom w:val="single" w:sz="8" w:color="0000EE"/>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w w:val="99"/>
              </w:rPr>
            </w:pPr>
            <w:hyperlink r:id="rId206">
              <w:r>
                <w:rPr>
                  <w:rFonts w:ascii="Times New Roman" w:cs="Times New Roman" w:eastAsia="Times New Roman" w:hAnsi="Times New Roman"/>
                  <w:sz w:val="17"/>
                  <w:szCs w:val="17"/>
                  <w:color w:val="0000EE"/>
                  <w:w w:val="99"/>
                </w:rPr>
                <w:t>and among Taboola.com Ltd., Taboola, Inc., as borrower, the lenders party</w:t>
              </w:r>
            </w:hyperlink>
          </w:p>
        </w:tc>
        <w:tc>
          <w:tcPr>
            <w:tcW w:w="680" w:type="dxa"/>
            <w:vAlign w:val="bottom"/>
            <w:tcBorders>
              <w:bottom w:val="single" w:sz="8" w:color="CCEEFF"/>
              <w:right w:val="single" w:sz="8" w:color="auto"/>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spacing w:after="0"/>
              <w:rPr>
                <w:sz w:val="15"/>
                <w:szCs w:val="15"/>
                <w:color w:val="auto"/>
              </w:rPr>
            </w:pPr>
          </w:p>
        </w:tc>
        <w:tc>
          <w:tcPr>
            <w:tcW w:w="1260" w:type="dxa"/>
            <w:vAlign w:val="bottom"/>
            <w:tcBorders>
              <w:bottom w:val="single" w:sz="8" w:color="CCEEFF"/>
              <w:right w:val="single" w:sz="8" w:color="auto"/>
            </w:tcBorders>
            <w:shd w:val="clear" w:color="auto" w:fill="CCEEFF"/>
          </w:tcPr>
          <w:p>
            <w:pPr>
              <w:spacing w:after="0"/>
              <w:rPr>
                <w:sz w:val="15"/>
                <w:szCs w:val="15"/>
                <w:color w:val="auto"/>
              </w:rPr>
            </w:pPr>
          </w:p>
        </w:tc>
        <w:tc>
          <w:tcPr>
            <w:tcW w:w="120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thereto and JPMorgan Chase Bank, N.A., as administrative agent</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10.12†</w:t>
            </w:r>
          </w:p>
        </w:tc>
        <w:tc>
          <w:tcPr>
            <w:tcW w:w="5140" w:type="dxa"/>
            <w:vAlign w:val="bottom"/>
            <w:tcBorders>
              <w:bottom w:val="single" w:sz="8" w:color="0000EE"/>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Omnibus Agreement, dated as of November 28, 2022, by and among</w:t>
              </w:r>
            </w:hyperlink>
          </w:p>
        </w:tc>
        <w:tc>
          <w:tcPr>
            <w:tcW w:w="6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rPr>
              <w:t>10.1</w:t>
            </w:r>
          </w:p>
        </w:tc>
        <w:tc>
          <w:tcPr>
            <w:tcW w:w="126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7"/>
                <w:szCs w:val="17"/>
                <w:color w:val="auto"/>
                <w:w w:val="99"/>
              </w:rPr>
              <w:t>January 17, 2023</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gridSpan w:val="31"/>
          </w:tcPr>
          <w:p>
            <w:pPr>
              <w:spacing w:after="0" w:line="179" w:lineRule="exact"/>
              <w:rPr>
                <w:rFonts w:ascii="Times New Roman" w:cs="Times New Roman" w:eastAsia="Times New Roman" w:hAnsi="Times New Roman"/>
                <w:sz w:val="17"/>
                <w:szCs w:val="17"/>
                <w:color w:val="0000EE"/>
                <w:w w:val="97"/>
              </w:rPr>
            </w:pPr>
            <w:hyperlink r:id="rId207">
              <w:r>
                <w:rPr>
                  <w:rFonts w:ascii="Times New Roman" w:cs="Times New Roman" w:eastAsia="Times New Roman" w:hAnsi="Times New Roman"/>
                  <w:sz w:val="17"/>
                  <w:szCs w:val="17"/>
                  <w:color w:val="0000EE"/>
                  <w:w w:val="97"/>
                </w:rPr>
                <w:t>Taboola.com Ltd., College Top Holdings, Inc., and Yahoo AdTech JV, LLC</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10.13†</w:t>
            </w:r>
          </w:p>
        </w:tc>
        <w:tc>
          <w:tcPr>
            <w:tcW w:w="5140" w:type="dxa"/>
            <w:vAlign w:val="bottom"/>
            <w:tcBorders>
              <w:bottom w:val="single" w:sz="8" w:color="0000EE"/>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Investor Rights Agreement, dated as of January 17, 2023 by and between</w:t>
              </w:r>
            </w:hyperlink>
          </w:p>
        </w:tc>
        <w:tc>
          <w:tcPr>
            <w:tcW w:w="680" w:type="dxa"/>
            <w:vAlign w:val="bottom"/>
            <w:tcBorders>
              <w:bottom w:val="single" w:sz="8" w:color="CCEEFF"/>
              <w:right w:val="single" w:sz="8" w:color="auto"/>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8-K</w:t>
            </w:r>
          </w:p>
        </w:tc>
        <w:tc>
          <w:tcPr>
            <w:tcW w:w="860" w:type="dxa"/>
            <w:vAlign w:val="bottom"/>
            <w:tcBorders>
              <w:bottom w:val="single" w:sz="8" w:color="CCEEFF"/>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rPr>
              <w:t>10.2</w:t>
            </w:r>
          </w:p>
        </w:tc>
        <w:tc>
          <w:tcPr>
            <w:tcW w:w="1260" w:type="dxa"/>
            <w:vAlign w:val="bottom"/>
            <w:tcBorders>
              <w:bottom w:val="single" w:sz="8" w:color="CCEEFF"/>
              <w:right w:val="single" w:sz="8" w:color="auto"/>
            </w:tcBorders>
            <w:shd w:val="clear" w:color="auto" w:fill="CCEEFF"/>
          </w:tcPr>
          <w:p>
            <w:pPr>
              <w:ind w:left="60"/>
              <w:spacing w:after="0" w:line="162" w:lineRule="exact"/>
              <w:rPr>
                <w:sz w:val="20"/>
                <w:szCs w:val="20"/>
                <w:color w:val="auto"/>
              </w:rPr>
            </w:pPr>
            <w:r>
              <w:rPr>
                <w:rFonts w:ascii="Times New Roman" w:cs="Times New Roman" w:eastAsia="Times New Roman" w:hAnsi="Times New Roman"/>
                <w:sz w:val="17"/>
                <w:szCs w:val="17"/>
                <w:color w:val="auto"/>
                <w:w w:val="99"/>
              </w:rPr>
              <w:t>January 17, 2023</w:t>
            </w:r>
          </w:p>
        </w:tc>
        <w:tc>
          <w:tcPr>
            <w:tcW w:w="12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Taboola.com Ltd. and College Top Holdings, Inc.</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10.14††</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Employment Agreement, dated April 20, 2017, by and between Taboola,</w:t>
              </w:r>
            </w:hyperlink>
          </w:p>
        </w:tc>
        <w:tc>
          <w:tcPr>
            <w:tcW w:w="680" w:type="dxa"/>
            <w:vAlign w:val="bottom"/>
            <w:tcBorders>
              <w:right w:val="single" w:sz="8" w:color="auto"/>
            </w:tcBorders>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10.12</w:t>
            </w:r>
          </w:p>
        </w:tc>
        <w:tc>
          <w:tcPr>
            <w:tcW w:w="12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00" w:type="dxa"/>
            <w:vAlign w:val="bottom"/>
            <w:tcBorders>
              <w:top w:val="single" w:sz="8" w:color="0000EE"/>
            </w:tcBorders>
            <w:gridSpan w:val="30"/>
          </w:tcPr>
          <w:p>
            <w:pPr>
              <w:spacing w:after="0" w:line="179"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Inc. and Adam Singolda</w:t>
              </w:r>
            </w:hyperlink>
          </w:p>
        </w:tc>
        <w:tc>
          <w:tcPr>
            <w:tcW w:w="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10.15††</w:t>
            </w:r>
          </w:p>
        </w:tc>
        <w:tc>
          <w:tcPr>
            <w:tcW w:w="5140" w:type="dxa"/>
            <w:vAlign w:val="bottom"/>
            <w:tcBorders>
              <w:bottom w:val="single" w:sz="8" w:color="0000EE"/>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w w:val="98"/>
              </w:rPr>
            </w:pPr>
            <w:hyperlink r:id="rId210">
              <w:r>
                <w:rPr>
                  <w:rFonts w:ascii="Times New Roman" w:cs="Times New Roman" w:eastAsia="Times New Roman" w:hAnsi="Times New Roman"/>
                  <w:sz w:val="17"/>
                  <w:szCs w:val="17"/>
                  <w:color w:val="0000EE"/>
                  <w:w w:val="98"/>
                </w:rPr>
                <w:t>Amendment to Compensation Package, dated June 1, 2023, by and between</w:t>
              </w:r>
            </w:hyperlink>
          </w:p>
        </w:tc>
        <w:tc>
          <w:tcPr>
            <w:tcW w:w="680" w:type="dxa"/>
            <w:vAlign w:val="bottom"/>
            <w:tcBorders>
              <w:bottom w:val="single" w:sz="8" w:color="CCEEFF"/>
              <w:right w:val="single" w:sz="8" w:color="auto"/>
            </w:tcBorders>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10-Q</w:t>
            </w:r>
          </w:p>
        </w:tc>
        <w:tc>
          <w:tcPr>
            <w:tcW w:w="860" w:type="dxa"/>
            <w:vAlign w:val="bottom"/>
            <w:tcBorders>
              <w:bottom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w:t>
            </w:r>
          </w:p>
        </w:tc>
        <w:tc>
          <w:tcPr>
            <w:tcW w:w="1260" w:type="dxa"/>
            <w:vAlign w:val="bottom"/>
            <w:tcBorders>
              <w:bottom w:val="single" w:sz="8" w:color="CCEEFF"/>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August 9, 2023</w:t>
            </w:r>
          </w:p>
        </w:tc>
        <w:tc>
          <w:tcPr>
            <w:tcW w:w="12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Taboola.com Ltd. and Adam Singolda</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10.16#††</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Employment  Agreement,  dated  August  31,  2012,  by  and  between</w:t>
              </w:r>
            </w:hyperlink>
          </w:p>
        </w:tc>
        <w:tc>
          <w:tcPr>
            <w:tcW w:w="680" w:type="dxa"/>
            <w:vAlign w:val="bottom"/>
            <w:tcBorders>
              <w:right w:val="single" w:sz="8" w:color="auto"/>
            </w:tcBorders>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10.14</w:t>
            </w:r>
          </w:p>
        </w:tc>
        <w:tc>
          <w:tcPr>
            <w:tcW w:w="12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00" w:type="dxa"/>
            <w:vAlign w:val="bottom"/>
            <w:tcBorders>
              <w:top w:val="single" w:sz="8" w:color="0000EE"/>
            </w:tcBorders>
            <w:gridSpan w:val="30"/>
          </w:tcPr>
          <w:p>
            <w:pPr>
              <w:spacing w:after="0" w:line="179"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Taboola.com Ltd. and Eldad Maniv</w:t>
              </w:r>
            </w:hyperlink>
          </w:p>
        </w:tc>
        <w:tc>
          <w:tcPr>
            <w:tcW w:w="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10.17††</w:t>
            </w:r>
          </w:p>
        </w:tc>
        <w:tc>
          <w:tcPr>
            <w:tcW w:w="5140" w:type="dxa"/>
            <w:vAlign w:val="bottom"/>
            <w:tcBorders>
              <w:bottom w:val="single" w:sz="8" w:color="0000EE"/>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Amendment to Employment Agreement dated January 24, 2021 by and</w:t>
              </w:r>
            </w:hyperlink>
          </w:p>
        </w:tc>
        <w:tc>
          <w:tcPr>
            <w:tcW w:w="680" w:type="dxa"/>
            <w:vAlign w:val="bottom"/>
            <w:tcBorders>
              <w:bottom w:val="single" w:sz="8" w:color="CCEEFF"/>
              <w:right w:val="single" w:sz="8" w:color="auto"/>
            </w:tcBorders>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tcBorders>
              <w:bottom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10.15</w:t>
            </w:r>
          </w:p>
        </w:tc>
        <w:tc>
          <w:tcPr>
            <w:tcW w:w="1260" w:type="dxa"/>
            <w:vAlign w:val="bottom"/>
            <w:tcBorders>
              <w:bottom w:val="single" w:sz="8" w:color="CCEEFF"/>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between Taboola.com Ltd. and Eldad Maniv</w:t>
              </w:r>
            </w:hyperlink>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10.18††</w:t>
            </w:r>
          </w:p>
        </w:tc>
        <w:tc>
          <w:tcPr>
            <w:tcW w:w="5140" w:type="dxa"/>
            <w:vAlign w:val="bottom"/>
            <w:tcBorders>
              <w:bottom w:val="single" w:sz="8" w:color="0000EE"/>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Amendment and Restated Employment Agreement, dated January 1, 2011,</w:t>
              </w:r>
            </w:hyperlink>
          </w:p>
        </w:tc>
        <w:tc>
          <w:tcPr>
            <w:tcW w:w="680" w:type="dxa"/>
            <w:vAlign w:val="bottom"/>
            <w:tcBorders>
              <w:right w:val="single" w:sz="8" w:color="auto"/>
            </w:tcBorders>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10.16</w:t>
            </w:r>
          </w:p>
        </w:tc>
        <w:tc>
          <w:tcPr>
            <w:tcW w:w="12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gridSpan w:val="31"/>
          </w:tcPr>
          <w:p>
            <w:pPr>
              <w:spacing w:after="0" w:line="179"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by and between Taboola.com Ltd. and Lior Golan</w:t>
              </w:r>
            </w:hyperlink>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10.19††</w:t>
            </w:r>
          </w:p>
        </w:tc>
        <w:tc>
          <w:tcPr>
            <w:tcW w:w="5140" w:type="dxa"/>
            <w:vAlign w:val="bottom"/>
            <w:tcBorders>
              <w:right w:val="single" w:sz="8" w:color="auto"/>
            </w:tcBorders>
            <w:gridSpan w:val="31"/>
            <w:shd w:val="clear" w:color="auto" w:fill="CCEEFF"/>
          </w:tcPr>
          <w:p>
            <w:pPr>
              <w:spacing w:after="0" w:line="162"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Amended and Restated Offer Letter, dated March 3, 2023 by and between</w:t>
              </w:r>
            </w:hyperlink>
          </w:p>
        </w:tc>
        <w:tc>
          <w:tcPr>
            <w:tcW w:w="680" w:type="dxa"/>
            <w:vAlign w:val="bottom"/>
            <w:tcBorders>
              <w:right w:val="single" w:sz="8" w:color="auto"/>
            </w:tcBorders>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10.17</w:t>
            </w:r>
          </w:p>
        </w:tc>
        <w:tc>
          <w:tcPr>
            <w:tcW w:w="12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8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5100" w:type="dxa"/>
            <w:vAlign w:val="bottom"/>
            <w:tcBorders>
              <w:top w:val="single" w:sz="8" w:color="0000EE"/>
              <w:bottom w:val="single" w:sz="8" w:color="auto"/>
            </w:tcBorders>
            <w:gridSpan w:val="30"/>
            <w:shd w:val="clear" w:color="auto" w:fill="CCEEFF"/>
          </w:tcPr>
          <w:p>
            <w:pPr>
              <w:spacing w:after="0" w:line="179"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Taboola, Inc. and Stephen Walker</w:t>
              </w:r>
            </w:hyperlink>
          </w:p>
        </w:tc>
        <w:tc>
          <w:tcPr>
            <w:tcW w:w="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68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86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2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10.20††</w:t>
            </w:r>
          </w:p>
        </w:tc>
        <w:tc>
          <w:tcPr>
            <w:tcW w:w="5140" w:type="dxa"/>
            <w:vAlign w:val="bottom"/>
            <w:tcBorders>
              <w:right w:val="single" w:sz="8" w:color="auto"/>
            </w:tcBorders>
            <w:gridSpan w:val="31"/>
          </w:tcPr>
          <w:p>
            <w:pPr>
              <w:spacing w:after="0" w:line="162"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Offer Letter, dated September 4, 2019, by and between Taboola, Inc. and</w:t>
              </w:r>
            </w:hyperlink>
          </w:p>
        </w:tc>
        <w:tc>
          <w:tcPr>
            <w:tcW w:w="680" w:type="dxa"/>
            <w:vAlign w:val="bottom"/>
            <w:tcBorders>
              <w:right w:val="single" w:sz="8" w:color="auto"/>
            </w:tcBorders>
          </w:tcPr>
          <w:p>
            <w:pPr>
              <w:ind w:left="120"/>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86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001-40566</w:t>
            </w: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10.18</w:t>
            </w:r>
          </w:p>
        </w:tc>
        <w:tc>
          <w:tcPr>
            <w:tcW w:w="12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March 13, 2023</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right w:val="single" w:sz="8" w:color="auto"/>
            </w:tcBorders>
          </w:tcPr>
          <w:p>
            <w:pPr>
              <w:spacing w:after="0"/>
              <w:rPr>
                <w:sz w:val="15"/>
                <w:szCs w:val="15"/>
                <w:color w:val="auto"/>
              </w:rPr>
            </w:pPr>
          </w:p>
        </w:tc>
        <w:tc>
          <w:tcPr>
            <w:tcW w:w="5100" w:type="dxa"/>
            <w:vAlign w:val="bottom"/>
            <w:tcBorders>
              <w:top w:val="single" w:sz="8" w:color="0000EE"/>
            </w:tcBorders>
            <w:gridSpan w:val="30"/>
          </w:tcPr>
          <w:p>
            <w:pPr>
              <w:spacing w:after="0" w:line="179"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Kristy Sundjaja</w:t>
              </w:r>
            </w:hyperlink>
          </w:p>
        </w:tc>
        <w:tc>
          <w:tcPr>
            <w:tcW w:w="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CCEEFF"/>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10.21††</w:t>
            </w:r>
          </w:p>
        </w:tc>
        <w:tc>
          <w:tcPr>
            <w:tcW w:w="5140" w:type="dxa"/>
            <w:vAlign w:val="bottom"/>
            <w:tcBorders>
              <w:bottom w:val="single" w:sz="8" w:color="0000EE"/>
              <w:right w:val="single" w:sz="8" w:color="auto"/>
            </w:tcBorders>
            <w:gridSpan w:val="31"/>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Form of Restricted Share Unit Grant Agreement under Taboola.com Ltd.’s</w:t>
            </w:r>
          </w:p>
        </w:tc>
        <w:tc>
          <w:tcPr>
            <w:tcW w:w="68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shd w:val="clear" w:color="auto" w:fill="CCEEFF"/>
          </w:tcPr>
          <w:p>
            <w:pPr>
              <w:spacing w:after="0"/>
              <w:rPr>
                <w:sz w:val="14"/>
                <w:szCs w:val="14"/>
                <w:color w:val="auto"/>
              </w:rPr>
            </w:pPr>
          </w:p>
        </w:tc>
        <w:tc>
          <w:tcPr>
            <w:tcW w:w="1260" w:type="dxa"/>
            <w:vAlign w:val="bottom"/>
            <w:tcBorders>
              <w:bottom w:val="single" w:sz="8" w:color="CCEEFF"/>
              <w:right w:val="single" w:sz="8" w:color="auto"/>
            </w:tcBorders>
            <w:shd w:val="clear" w:color="auto" w:fill="CCEEFF"/>
          </w:tcPr>
          <w:p>
            <w:pPr>
              <w:spacing w:after="0"/>
              <w:rPr>
                <w:sz w:val="14"/>
                <w:szCs w:val="14"/>
                <w:color w:val="auto"/>
              </w:rPr>
            </w:pPr>
          </w:p>
        </w:tc>
        <w:tc>
          <w:tcPr>
            <w:tcW w:w="1200" w:type="dxa"/>
            <w:vAlign w:val="bottom"/>
            <w:tcBorders>
              <w:bottom w:val="single" w:sz="8" w:color="CCEEFF"/>
              <w:right w:val="single" w:sz="8" w:color="auto"/>
            </w:tcBorders>
            <w:shd w:val="clear" w:color="auto" w:fill="CCEEFF"/>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1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140" w:type="dxa"/>
            <w:vAlign w:val="bottom"/>
            <w:tcBorders>
              <w:bottom w:val="single" w:sz="8" w:color="auto"/>
              <w:right w:val="single" w:sz="8" w:color="auto"/>
            </w:tcBorders>
            <w:gridSpan w:val="31"/>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2021 Share Incentive Plan</w:t>
            </w:r>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5140" w:type="dxa"/>
            <w:vAlign w:val="bottom"/>
            <w:tcBorders>
              <w:right w:val="single" w:sz="8" w:color="auto"/>
            </w:tcBorders>
            <w:gridSpan w:val="31"/>
          </w:tcPr>
          <w:p>
            <w:pPr>
              <w:spacing w:after="0" w:line="162" w:lineRule="exact"/>
              <w:rPr>
                <w:sz w:val="20"/>
                <w:szCs w:val="20"/>
                <w:color w:val="auto"/>
              </w:rPr>
            </w:pPr>
            <w:r>
              <w:rPr>
                <w:rFonts w:ascii="Times New Roman" w:cs="Times New Roman" w:eastAsia="Times New Roman" w:hAnsi="Times New Roman"/>
                <w:sz w:val="17"/>
                <w:szCs w:val="17"/>
                <w:color w:val="0000EE"/>
              </w:rPr>
              <w:t>Significant Subsidiaries of Taboola.com Ltd.</w:t>
            </w:r>
          </w:p>
        </w:tc>
        <w:tc>
          <w:tcPr>
            <w:tcW w:w="6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23</w:t>
            </w:r>
          </w:p>
        </w:tc>
        <w:tc>
          <w:tcPr>
            <w:tcW w:w="5140" w:type="dxa"/>
            <w:vAlign w:val="bottom"/>
            <w:tcBorders>
              <w:right w:val="single" w:sz="8" w:color="auto"/>
            </w:tcBorders>
            <w:gridSpan w:val="31"/>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Consent of Kost Forer Gabbay &amp; Kasierer,a member of Ernst &amp; Young</w:t>
            </w:r>
          </w:p>
        </w:tc>
        <w:tc>
          <w:tcPr>
            <w:tcW w:w="68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00" w:type="dxa"/>
            <w:vAlign w:val="bottom"/>
            <w:tcBorders>
              <w:right w:val="single" w:sz="8" w:color="auto"/>
            </w:tcBorders>
            <w:vMerge w:val="restart"/>
            <w:shd w:val="clear" w:color="auto" w:fill="CCEEFF"/>
          </w:tcPr>
          <w:p>
            <w:pPr>
              <w:jc w:val="right"/>
              <w:ind w:right="9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7"/>
        </w:trPr>
        <w:tc>
          <w:tcPr>
            <w:tcW w:w="108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5100" w:type="dxa"/>
            <w:vAlign w:val="bottom"/>
            <w:tcBorders>
              <w:top w:val="single" w:sz="8" w:color="0000EE"/>
            </w:tcBorders>
            <w:gridSpan w:val="30"/>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Global, independent registered accounting firm for the Registrant.</w:t>
            </w:r>
          </w:p>
        </w:tc>
        <w:tc>
          <w:tcPr>
            <w:tcW w:w="40" w:type="dxa"/>
            <w:vAlign w:val="bottom"/>
            <w:tcBorders>
              <w:top w:val="single" w:sz="8" w:color="CCEEFF"/>
              <w:right w:val="single" w:sz="8" w:color="auto"/>
            </w:tcBorders>
            <w:vMerge w:val="restart"/>
            <w:shd w:val="clear" w:color="auto" w:fill="CCEEFF"/>
          </w:tcPr>
          <w:p>
            <w:pPr>
              <w:spacing w:after="0"/>
              <w:rPr>
                <w:sz w:val="10"/>
                <w:szCs w:val="10"/>
                <w:color w:val="auto"/>
              </w:rPr>
            </w:pPr>
          </w:p>
        </w:tc>
        <w:tc>
          <w:tcPr>
            <w:tcW w:w="680" w:type="dxa"/>
            <w:vAlign w:val="bottom"/>
            <w:tcBorders>
              <w:top w:val="single" w:sz="8" w:color="CCEEFF"/>
              <w:right w:val="single" w:sz="8" w:color="auto"/>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auto"/>
            </w:tcBorders>
            <w:shd w:val="clear" w:color="auto" w:fill="CCEEFF"/>
          </w:tcPr>
          <w:p>
            <w:pPr>
              <w:spacing w:after="0"/>
              <w:rPr>
                <w:sz w:val="10"/>
                <w:szCs w:val="10"/>
                <w:color w:val="auto"/>
              </w:rPr>
            </w:pPr>
          </w:p>
        </w:tc>
        <w:tc>
          <w:tcPr>
            <w:tcW w:w="840" w:type="dxa"/>
            <w:vAlign w:val="bottom"/>
            <w:tcBorders>
              <w:top w:val="single" w:sz="8" w:color="CCEEFF"/>
              <w:right w:val="single" w:sz="8" w:color="auto"/>
            </w:tcBorders>
            <w:shd w:val="clear" w:color="auto" w:fill="CCEEFF"/>
          </w:tcPr>
          <w:p>
            <w:pPr>
              <w:spacing w:after="0"/>
              <w:rPr>
                <w:sz w:val="10"/>
                <w:szCs w:val="10"/>
                <w:color w:val="auto"/>
              </w:rPr>
            </w:pPr>
          </w:p>
        </w:tc>
        <w:tc>
          <w:tcPr>
            <w:tcW w:w="126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5100" w:type="dxa"/>
            <w:vAlign w:val="bottom"/>
            <w:tcBorders>
              <w:bottom w:val="single" w:sz="8" w:color="auto"/>
            </w:tcBorders>
            <w:gridSpan w:val="30"/>
            <w:vMerge w:val="continue"/>
            <w:shd w:val="clear" w:color="auto" w:fill="CCEEFF"/>
          </w:tcPr>
          <w:p>
            <w:pPr>
              <w:spacing w:after="0"/>
              <w:rPr>
                <w:sz w:val="9"/>
                <w:szCs w:val="9"/>
                <w:color w:val="auto"/>
              </w:rPr>
            </w:pPr>
          </w:p>
        </w:tc>
        <w:tc>
          <w:tcPr>
            <w:tcW w:w="4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680" w:type="dxa"/>
            <w:vAlign w:val="bottom"/>
            <w:tcBorders>
              <w:bottom w:val="single" w:sz="8" w:color="auto"/>
              <w:right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right w:val="single" w:sz="8" w:color="auto"/>
            </w:tcBorders>
            <w:shd w:val="clear" w:color="auto" w:fill="CCEEFF"/>
          </w:tcPr>
          <w:p>
            <w:pPr>
              <w:spacing w:after="0"/>
              <w:rPr>
                <w:sz w:val="9"/>
                <w:szCs w:val="9"/>
                <w:color w:val="auto"/>
              </w:rPr>
            </w:pPr>
          </w:p>
        </w:tc>
        <w:tc>
          <w:tcPr>
            <w:tcW w:w="840" w:type="dxa"/>
            <w:vAlign w:val="bottom"/>
            <w:tcBorders>
              <w:bottom w:val="single" w:sz="8" w:color="auto"/>
              <w:right w:val="single" w:sz="8" w:color="auto"/>
            </w:tcBorders>
            <w:shd w:val="clear" w:color="auto" w:fill="CCEEFF"/>
          </w:tcPr>
          <w:p>
            <w:pPr>
              <w:spacing w:after="0"/>
              <w:rPr>
                <w:sz w:val="9"/>
                <w:szCs w:val="9"/>
                <w:color w:val="auto"/>
              </w:rPr>
            </w:pPr>
          </w:p>
        </w:tc>
        <w:tc>
          <w:tcPr>
            <w:tcW w:w="1260" w:type="dxa"/>
            <w:vAlign w:val="bottom"/>
            <w:tcBorders>
              <w:bottom w:val="single" w:sz="8" w:color="auto"/>
              <w:right w:val="single" w:sz="8" w:color="auto"/>
            </w:tcBorders>
            <w:shd w:val="clear" w:color="auto" w:fill="CCEEFF"/>
          </w:tcPr>
          <w:p>
            <w:pPr>
              <w:spacing w:after="0"/>
              <w:rPr>
                <w:sz w:val="9"/>
                <w:szCs w:val="9"/>
                <w:color w:val="auto"/>
              </w:rPr>
            </w:pPr>
          </w:p>
        </w:tc>
        <w:tc>
          <w:tcPr>
            <w:tcW w:w="12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31.1</w:t>
            </w:r>
          </w:p>
        </w:tc>
        <w:tc>
          <w:tcPr>
            <w:tcW w:w="5140" w:type="dxa"/>
            <w:vAlign w:val="bottom"/>
            <w:tcBorders>
              <w:right w:val="single" w:sz="8" w:color="auto"/>
            </w:tcBorders>
            <w:gridSpan w:val="31"/>
          </w:tcPr>
          <w:p>
            <w:pPr>
              <w:spacing w:after="0" w:line="162" w:lineRule="exact"/>
              <w:rPr>
                <w:sz w:val="20"/>
                <w:szCs w:val="20"/>
                <w:color w:val="auto"/>
              </w:rPr>
            </w:pPr>
            <w:r>
              <w:rPr>
                <w:rFonts w:ascii="Times New Roman" w:cs="Times New Roman" w:eastAsia="Times New Roman" w:hAnsi="Times New Roman"/>
                <w:sz w:val="17"/>
                <w:szCs w:val="17"/>
                <w:color w:val="0000EE"/>
              </w:rPr>
              <w:t>Rule 13a-14(a)/15d-14(a) Certification of Chief Executive Officer</w:t>
            </w:r>
          </w:p>
        </w:tc>
        <w:tc>
          <w:tcPr>
            <w:tcW w:w="6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31.2</w:t>
            </w:r>
          </w:p>
        </w:tc>
        <w:tc>
          <w:tcPr>
            <w:tcW w:w="5140" w:type="dxa"/>
            <w:vAlign w:val="bottom"/>
            <w:tcBorders>
              <w:bottom w:val="single" w:sz="8" w:color="auto"/>
              <w:right w:val="single" w:sz="8" w:color="auto"/>
            </w:tcBorders>
            <w:gridSpan w:val="31"/>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Rule 13a-14(a)/15d-14(a) Certification of Chief Financial Officer</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7"/>
                <w:szCs w:val="17"/>
                <w:color w:val="auto"/>
              </w:rPr>
              <w:t>32</w:t>
            </w:r>
          </w:p>
        </w:tc>
        <w:tc>
          <w:tcPr>
            <w:tcW w:w="5140" w:type="dxa"/>
            <w:vAlign w:val="bottom"/>
            <w:tcBorders>
              <w:right w:val="single" w:sz="8" w:color="auto"/>
            </w:tcBorders>
            <w:gridSpan w:val="31"/>
          </w:tcPr>
          <w:p>
            <w:pPr>
              <w:spacing w:after="0" w:line="162" w:lineRule="exact"/>
              <w:rPr>
                <w:sz w:val="20"/>
                <w:szCs w:val="20"/>
                <w:color w:val="auto"/>
              </w:rPr>
            </w:pPr>
            <w:r>
              <w:rPr>
                <w:rFonts w:ascii="Times New Roman" w:cs="Times New Roman" w:eastAsia="Times New Roman" w:hAnsi="Times New Roman"/>
                <w:sz w:val="17"/>
                <w:szCs w:val="17"/>
                <w:color w:val="0000EE"/>
              </w:rPr>
              <w:t>Section 1350 Certifications</w:t>
            </w:r>
          </w:p>
        </w:tc>
        <w:tc>
          <w:tcPr>
            <w:tcW w:w="6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97</w:t>
            </w:r>
          </w:p>
        </w:tc>
        <w:tc>
          <w:tcPr>
            <w:tcW w:w="5140" w:type="dxa"/>
            <w:vAlign w:val="bottom"/>
            <w:tcBorders>
              <w:bottom w:val="single" w:sz="8" w:color="auto"/>
              <w:right w:val="single" w:sz="8" w:color="auto"/>
            </w:tcBorders>
            <w:gridSpan w:val="31"/>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Policy for Recovery of Erroneously Awarded Compensation</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jc w:val="right"/>
              <w:ind w:right="977"/>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101.INS</w:t>
            </w:r>
          </w:p>
        </w:tc>
        <w:tc>
          <w:tcPr>
            <w:tcW w:w="514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6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101.SCH</w:t>
            </w:r>
          </w:p>
        </w:tc>
        <w:tc>
          <w:tcPr>
            <w:tcW w:w="5140" w:type="dxa"/>
            <w:vAlign w:val="bottom"/>
            <w:tcBorders>
              <w:bottom w:val="single" w:sz="8" w:color="auto"/>
              <w:right w:val="single" w:sz="8" w:color="auto"/>
            </w:tcBorders>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101.CAL</w:t>
            </w:r>
          </w:p>
        </w:tc>
        <w:tc>
          <w:tcPr>
            <w:tcW w:w="514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6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101.DEF</w:t>
            </w:r>
          </w:p>
        </w:tc>
        <w:tc>
          <w:tcPr>
            <w:tcW w:w="5140" w:type="dxa"/>
            <w:vAlign w:val="bottom"/>
            <w:tcBorders>
              <w:bottom w:val="single" w:sz="8" w:color="auto"/>
              <w:right w:val="single" w:sz="8" w:color="auto"/>
            </w:tcBorders>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101.LAB</w:t>
            </w:r>
          </w:p>
        </w:tc>
        <w:tc>
          <w:tcPr>
            <w:tcW w:w="514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6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101.PRE</w:t>
            </w:r>
          </w:p>
        </w:tc>
        <w:tc>
          <w:tcPr>
            <w:tcW w:w="5140" w:type="dxa"/>
            <w:vAlign w:val="bottom"/>
            <w:tcBorders>
              <w:bottom w:val="single" w:sz="8" w:color="auto"/>
              <w:right w:val="single" w:sz="8" w:color="auto"/>
            </w:tcBorders>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Borders>
              <w:left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7"/>
                <w:szCs w:val="17"/>
                <w:color w:val="auto"/>
              </w:rPr>
              <w:t>104</w:t>
            </w:r>
          </w:p>
        </w:tc>
        <w:tc>
          <w:tcPr>
            <w:tcW w:w="5140" w:type="dxa"/>
            <w:vAlign w:val="bottom"/>
            <w:tcBorders>
              <w:right w:val="single" w:sz="8" w:color="auto"/>
            </w:tcBorders>
            <w:gridSpan w:val="31"/>
          </w:tcPr>
          <w:p>
            <w:pPr>
              <w:spacing w:after="0" w:line="183" w:lineRule="exact"/>
              <w:rPr>
                <w:sz w:val="20"/>
                <w:szCs w:val="20"/>
                <w:color w:val="auto"/>
              </w:rPr>
            </w:pPr>
            <w:r>
              <w:rPr>
                <w:rFonts w:ascii="Times New Roman" w:cs="Times New Roman" w:eastAsia="Times New Roman" w:hAnsi="Times New Roman"/>
                <w:sz w:val="17"/>
                <w:szCs w:val="17"/>
                <w:color w:val="auto"/>
              </w:rPr>
              <w:t>Cover  Page  Interactive  Data  File  (embedded  with  the  Inline  XBRL</w:t>
            </w:r>
          </w:p>
        </w:tc>
        <w:tc>
          <w:tcPr>
            <w:tcW w:w="6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rPr>
              <w:t>document)</w:t>
            </w:r>
          </w:p>
        </w:tc>
        <w:tc>
          <w:tcPr>
            <w:tcW w:w="6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Certain confidential portions (indicated by brackets and asterisks) have been omitted from this exhibit.</w:t>
      </w:r>
    </w:p>
    <w:p>
      <w:pPr>
        <w:sectPr>
          <w:pgSz w:w="11900" w:h="16838" w:orient="portrait"/>
          <w:cols w:equalWidth="0" w:num="1">
            <w:col w:w="11240"/>
          </w:cols>
          <w:pgMar w:left="320" w:top="118" w:right="339" w:bottom="102" w:gutter="0" w:footer="0" w:header="0"/>
        </w:sectPr>
      </w:pPr>
    </w:p>
    <w:bookmarkStart w:id="136" w:name="page137"/>
    <w:bookmarkEnd w:id="136"/>
    <w:p>
      <w:pPr>
        <w:spacing w:after="0" w:line="269" w:lineRule="auto"/>
        <w:tabs>
          <w:tab w:leader="none" w:pos="16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to this Exhibit omitted pursuant to Regulation S-K Item 601(b)(2). The Registrant agrees to furnish supplementally a copy of any omitted schedule or exhibit to the SEC upon request.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a management contract or compensatory plan.</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 In this Annual Report:</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“Advertisers” means advertisers, merchants, affiliate networks and their respective brands and agencies.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“Board” means the Taboola.com Ltd. Board of Directors.</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“Business Combination” means the merger pursuant to the Merger Agreement, whereby Merger Sub merged with and into ION, with ION surviving the merger, and the other transactions contemplated by the Merger Agreement, which we consummated on June 29, 2021.</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“Connexity” means, Shop Holding Corporation, a Delaware corporation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“Effective Time” means the effective time of the closing of the Business Combination.</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“Investors’ Rights Agreement” means the Amended and Restated Investors’ Rights Agreement, effective as of the Effective Time, pursuant to which each of the Sponsors, and certain of Taboola’s shareholders were granted certain resale registration rights with respect to any Ordinary shares or Warrants.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“ION” means ION Acquisition Corp. 1 Ltd., a Cayman Islands exempted company.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“Merger Agreement” means the agreement and plan of merger, dated as of January 25, 2021, by and among ION, Taboola and Merger Sub.</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“Merger Sub” means Toronto Sub Ltd., a Cayman Islands exempted company and wholly owned subsidiary of the Company.</w:t>
      </w:r>
    </w:p>
    <w:p>
      <w:pPr>
        <w:spacing w:after="0" w:line="203"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“Non-voting Ordinary shares” means each non-voting ordinary share of Taboola, no par value per share, originally issued in connection with the Yahoo partnership and not entitled to vote, except in limited circumstances as provided in Taboola’s Amended and Restated Articles of Association.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“Ordinary shares” means each ordinary share of Taboola, no par value per share, listed on NASDAQ and entitled to vote.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“Sponsors” means ION Holdings 1, LP and ION Co-Investment LLC.</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“Taboola” means Taboola.com Ltd., a company organized under the laws of the State of Israel and its consolidated subsidiaries.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“Warrants” means warrants of Taboola issued to ION warrant holders and the Ordinary shares underlying such warrants.</w:t>
      </w:r>
    </w:p>
    <w:p>
      <w:pPr>
        <w:spacing w:after="0" w:line="203"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on February 28, 2024, hereunto duly authorized.</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Stephen C. Walker</w:t>
      </w:r>
    </w:p>
    <w:p>
      <w:pPr>
        <w:spacing w:after="0" w:line="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Name: Stephen C. Walker</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8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on February 28, 2024 by the following persons on behalf of the registrant and in the capacities indicated.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Signature</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Title</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Adam Singolda</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Stephen C. Walker</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Zvi Limon</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Chairman of the Board</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Deirdre Bigley</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Lynda Clarizio</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Monica Mijaleski</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Nechemia J. Peres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Richard Scanlon</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Erez Shachar</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Gilad Shany</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378"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4311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4.1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86" w:lineRule="exact"/>
        <w:rPr>
          <w:sz w:val="20"/>
          <w:szCs w:val="20"/>
          <w:color w:val="auto"/>
        </w:rPr>
      </w:pPr>
    </w:p>
    <w:p>
      <w:pPr>
        <w:jc w:val="both"/>
        <w:ind w:firstLine="299"/>
        <w:spacing w:after="0" w:line="269" w:lineRule="auto"/>
        <w:rPr>
          <w:sz w:val="20"/>
          <w:szCs w:val="20"/>
          <w:color w:val="auto"/>
        </w:rPr>
      </w:pPr>
      <w:r>
        <w:rPr>
          <w:rFonts w:ascii="Times New Roman" w:cs="Times New Roman" w:eastAsia="Times New Roman" w:hAnsi="Times New Roman"/>
          <w:sz w:val="17"/>
          <w:szCs w:val="17"/>
          <w:color w:val="auto"/>
        </w:rPr>
        <w:t>As of December 31, 2023, Taboola.com Ltd. had two class of securities registered under Section 12 of the Securities Exchange Act of 1934, as amended: ordinary shares and warrants to purchase ordinary shares.</w:t>
      </w:r>
    </w:p>
    <w:p>
      <w:pPr>
        <w:spacing w:after="0" w:line="159" w:lineRule="exact"/>
        <w:rPr>
          <w:sz w:val="20"/>
          <w:szCs w:val="20"/>
          <w:color w:val="auto"/>
        </w:rPr>
      </w:pPr>
    </w:p>
    <w:p>
      <w:pPr>
        <w:jc w:val="both"/>
        <w:ind w:firstLine="299"/>
        <w:spacing w:after="0" w:line="252" w:lineRule="auto"/>
        <w:rPr>
          <w:sz w:val="20"/>
          <w:szCs w:val="20"/>
          <w:color w:val="auto"/>
        </w:rPr>
      </w:pPr>
      <w:r>
        <w:rPr>
          <w:rFonts w:ascii="Times New Roman" w:cs="Times New Roman" w:eastAsia="Times New Roman" w:hAnsi="Times New Roman"/>
          <w:sz w:val="17"/>
          <w:szCs w:val="17"/>
          <w:color w:val="auto"/>
        </w:rPr>
        <w:t>References herein to “we,” “us,” “our” “Taboola” and the “Company” refer to Taboola.com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the Company’s annual report on Form 10-K for the year ended December 31, 2023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Capital</w:t>
      </w:r>
    </w:p>
    <w:p>
      <w:pPr>
        <w:spacing w:after="0" w:line="207"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The authorized share capital of the Company consists of 700,000,000 ordinary shares, no par value and 46,000,000 non-voting ordinary shares, no par value. As of December 31, 2023 we had 295,670,620 ordinary shares issued and outstanding and as of February 1, 2024 we had 45,198,702 non-voting shares issued and outstanding.</w:t>
      </w:r>
    </w:p>
    <w:p>
      <w:pPr>
        <w:spacing w:after="0" w:line="136"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All of our outstanding ordinary shares and non-voting ordinary shares are validly issued, fully paid and non-assessable. Our ordinary shares and non-voting ordinary shares are not redeemable and do not have any preemptive rights.</w:t>
      </w:r>
    </w:p>
    <w:p>
      <w:pPr>
        <w:spacing w:after="0" w:line="159"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Taboola’s board of directors may determine the issue prices and terms for such shares or other securities, and may further determine any other provision relating to such issue of shares or securities. Taboola may also issue and redeem redeemable securities on such terms and in such manner as Taboola’s board of directors shall determine.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Number and Purposes of the Company</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We are registered with the Israeli Registrar of Companies. Our registration number is 51-387068-3. Our affairs are governed by our Amended and Restated Articles of Association, applicable Israeli law and specifically, the Companies Law. Our purpose as set forth in our Amended and Restated Articles of Association is to engage in any lawful act or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07" w:lineRule="exact"/>
        <w:rPr>
          <w:sz w:val="20"/>
          <w:szCs w:val="20"/>
          <w:color w:val="auto"/>
        </w:rPr>
      </w:pPr>
    </w:p>
    <w:p>
      <w:pPr>
        <w:ind w:right="60" w:firstLine="332"/>
        <w:spacing w:after="0" w:line="252" w:lineRule="auto"/>
        <w:rPr>
          <w:sz w:val="20"/>
          <w:szCs w:val="20"/>
          <w:color w:val="auto"/>
        </w:rPr>
      </w:pPr>
      <w:r>
        <w:rPr>
          <w:rFonts w:ascii="Times New Roman" w:cs="Times New Roman" w:eastAsia="Times New Roman" w:hAnsi="Times New Roman"/>
          <w:sz w:val="17"/>
          <w:szCs w:val="17"/>
          <w:color w:val="auto"/>
        </w:rPr>
        <w:t>All of our ordinary shares are identical in all respects, except that our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will have rights identical to the rights of ordinary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of Shares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Our fully paid ordinary shares are issued in registered form and may be freely transferred under our Amended and Restated Articles of Association, unless the transfer is restricted or prohibited by another instrument, applicable law or the rules of Nasdaq.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311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i w:val="1"/>
          <w:iCs w:val="1"/>
          <w:color w:val="auto"/>
        </w:rPr>
        <w:t>Election of Directors</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7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and Liquidation Rights</w:t>
      </w:r>
    </w:p>
    <w:p>
      <w:pPr>
        <w:spacing w:after="0" w:line="207"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74" w:lineRule="exact"/>
        <w:rPr>
          <w:sz w:val="20"/>
          <w:szCs w:val="20"/>
          <w:color w:val="auto"/>
        </w:rPr>
      </w:pPr>
    </w:p>
    <w:p>
      <w:pPr>
        <w:jc w:val="both"/>
        <w:ind w:firstLine="332"/>
        <w:spacing w:after="0" w:line="270" w:lineRule="auto"/>
        <w:rPr>
          <w:sz w:val="20"/>
          <w:szCs w:val="20"/>
          <w:color w:val="auto"/>
        </w:rPr>
      </w:pPr>
      <w:r>
        <w:rPr>
          <w:rFonts w:ascii="Times New Roman" w:cs="Times New Roman" w:eastAsia="Times New Roman" w:hAnsi="Times New Roman"/>
          <w:sz w:val="16"/>
          <w:szCs w:val="16"/>
          <w:color w:val="auto"/>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60"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In the event of Taboola’s liquidation, after satisfaction of liabilities to creditors, its assets will be distributed to the holders of its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Controls</w:t>
      </w:r>
    </w:p>
    <w:p>
      <w:pPr>
        <w:spacing w:after="0" w:line="207" w:lineRule="exact"/>
        <w:rPr>
          <w:sz w:val="20"/>
          <w:szCs w:val="20"/>
          <w:color w:val="auto"/>
        </w:rPr>
      </w:pPr>
    </w:p>
    <w:p>
      <w:pPr>
        <w:jc w:val="both"/>
        <w:ind w:firstLine="332"/>
        <w:spacing w:after="0" w:line="301" w:lineRule="auto"/>
        <w:rPr>
          <w:sz w:val="20"/>
          <w:szCs w:val="20"/>
          <w:color w:val="auto"/>
        </w:rPr>
      </w:pPr>
      <w:r>
        <w:rPr>
          <w:rFonts w:ascii="Times New Roman" w:cs="Times New Roman" w:eastAsia="Times New Roman" w:hAnsi="Times New Roman"/>
          <w:sz w:val="16"/>
          <w:szCs w:val="16"/>
          <w:color w:val="auto"/>
        </w:rPr>
        <w:t>There are currently no Israeli currency control restrictions on remittances of dividends on our ordinary shares, proceeds from the sale of our srdinary shares or interest or other payments to non-residents of Israel, except for shareholders who are subjects of countries that at the time are, or have been, in a state of war with Israel.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Meetings</w:t>
      </w:r>
    </w:p>
    <w:p>
      <w:pPr>
        <w:spacing w:after="0" w:line="207"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Under Israeli law, Taboola is required to hold an annual general meeting of its shareholders once every calendar year and no later than 15 months after the date of the previous annual general meeting. All meetings other than the annual general meeting of shareholders are referred to in the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Taboola’s issued and outstanding shares and 1% or more of Taboola’s outstanding voting power or (b) 5% or more of Taboola’s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4311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1" w:name="page142"/>
    <w:bookmarkEnd w:id="141"/>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79" w:lineRule="exact"/>
        <w:rPr>
          <w:sz w:val="20"/>
          <w:szCs w:val="20"/>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articles of association;</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terms of service and termination of services of auditors;</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of directors, including external directors (if applicable);</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certain related party transactions;</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reductions of authorized share capital;</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and</w:t>
      </w:r>
    </w:p>
    <w:p>
      <w:pPr>
        <w:spacing w:after="0" w:line="202" w:lineRule="exact"/>
        <w:rPr>
          <w:rFonts w:ascii="Times New Roman" w:cs="Times New Roman" w:eastAsia="Times New Roman" w:hAnsi="Times New Roman"/>
          <w:sz w:val="17"/>
          <w:szCs w:val="17"/>
          <w:color w:val="auto"/>
        </w:rPr>
      </w:pPr>
    </w:p>
    <w:p>
      <w:pPr>
        <w:ind w:left="740" w:right="360" w:hanging="442"/>
        <w:spacing w:after="0" w:line="269" w:lineRule="auto"/>
        <w:tabs>
          <w:tab w:leader="none" w:pos="7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of the board of director’s powers by a general meeting, if the board of directors is unable to exercise its powers and the exercise of any of its powers is required for proper management of the company.</w:t>
      </w:r>
    </w:p>
    <w:p>
      <w:pPr>
        <w:spacing w:after="0" w:line="159"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Quorum</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6"/>
          <w:szCs w:val="16"/>
          <w:color w:val="auto"/>
        </w:rPr>
        <w:t>Pursuant to our Amended and Restated Articles of Association, holders of our ordinary shares have one vote for each ordinary share held on all matters submitted to a vote of the shareholders at a general meeting of shareholders. The quorum required for our general meetings of shareholders consists of at least two shareholders present in person or by proxy who hold or represent at least 33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∕3% of the total outstanding voting power of our shares, except that if (i) any such general meeting was initiated by and convened pursuant to a resolution adopted by the board of directors and (ii) at the time of such general meeting we qualify as a “foreign private issuer,” the requisite quorum will consist of two or more shareholders present in person or by proxy who hold or represent at least 25% of the total outstanding voting power of our shares. The requisite quorum may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w:t>
      </w:r>
      <w:r>
        <w:rPr>
          <w:rFonts w:ascii="Times New Roman" w:cs="Times New Roman" w:eastAsia="Times New Roman" w:hAnsi="Times New Roman"/>
          <w:sz w:val="16"/>
          <w:szCs w:val="16"/>
          <w:i w:val="1"/>
          <w:i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4311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i w:val="1"/>
          <w:iCs w:val="1"/>
          <w:color w:val="auto"/>
        </w:rPr>
        <w:t>Vote Requirements</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2"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a majority of the shareholders present and represented at the meeting, and holding at least 75% of the voting rights represented at the meeting and voting on the resolution.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Access to Corporate Records</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Taboola is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Taboola may deny a request to review a document if it determines that the request was not made in good faith, that the document contains a commercial secret or a patent or that the document’s disclosure may otherwise impair its interests.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 under Israeli Law</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Full Tender Offer</w:t>
      </w:r>
    </w:p>
    <w:p>
      <w:pPr>
        <w:spacing w:after="0" w:line="205" w:lineRule="exact"/>
        <w:rPr>
          <w:sz w:val="20"/>
          <w:szCs w:val="20"/>
          <w:color w:val="auto"/>
        </w:rPr>
      </w:pPr>
    </w:p>
    <w:p>
      <w:pPr>
        <w:jc w:val="both"/>
        <w:ind w:firstLine="332"/>
        <w:spacing w:after="0" w:line="263" w:lineRule="auto"/>
        <w:rPr>
          <w:sz w:val="20"/>
          <w:szCs w:val="20"/>
          <w:color w:val="auto"/>
        </w:rPr>
      </w:pPr>
      <w:r>
        <w:rPr>
          <w:rFonts w:ascii="Times New Roman" w:cs="Times New Roman" w:eastAsia="Times New Roman" w:hAnsi="Times New Roman"/>
          <w:sz w:val="16"/>
          <w:szCs w:val="16"/>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714311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ind w:left="340"/>
        <w:spacing w:after="0"/>
        <w:rPr>
          <w:sz w:val="20"/>
          <w:szCs w:val="20"/>
          <w:color w:val="auto"/>
        </w:rPr>
      </w:pPr>
      <w:r>
        <w:rPr>
          <w:rFonts w:ascii="Times New Roman" w:cs="Times New Roman" w:eastAsia="Times New Roman" w:hAnsi="Times New Roman"/>
          <w:sz w:val="17"/>
          <w:szCs w:val="17"/>
          <w:i w:val="1"/>
          <w:iCs w:val="1"/>
          <w:color w:val="auto"/>
        </w:rPr>
        <w:t>Special Tender Offer</w:t>
      </w:r>
    </w:p>
    <w:p>
      <w:pPr>
        <w:spacing w:after="0" w:line="205" w:lineRule="exact"/>
        <w:rPr>
          <w:sz w:val="20"/>
          <w:szCs w:val="20"/>
          <w:color w:val="auto"/>
        </w:rPr>
      </w:pPr>
    </w:p>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80"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79"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159"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Merger</w:t>
      </w:r>
    </w:p>
    <w:p>
      <w:pPr>
        <w:spacing w:after="0" w:line="20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4311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85"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74"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Anti-Takeover Measures</w:t>
      </w:r>
    </w:p>
    <w:p>
      <w:pPr>
        <w:spacing w:after="0" w:line="205"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our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as described above in “</w:t>
      </w:r>
      <w:r>
        <w:rPr>
          <w:rFonts w:ascii="Times New Roman" w:cs="Times New Roman" w:eastAsia="Times New Roman" w:hAnsi="Times New Roman"/>
          <w:sz w:val="17"/>
          <w:szCs w:val="17"/>
          <w:i w:val="1"/>
          <w:iCs w:val="1"/>
          <w:color w:val="auto"/>
        </w:rPr>
        <w:t>Shareholder Meetings</w:t>
      </w:r>
      <w:r>
        <w:rPr>
          <w:rFonts w:ascii="Times New Roman" w:cs="Times New Roman" w:eastAsia="Times New Roman" w:hAnsi="Times New Roman"/>
          <w:sz w:val="17"/>
          <w:szCs w:val="17"/>
          <w:color w:val="auto"/>
        </w:rPr>
        <w:t>.” In addition, as disclosed under “</w:t>
      </w:r>
      <w:r>
        <w:rPr>
          <w:rFonts w:ascii="Times New Roman" w:cs="Times New Roman" w:eastAsia="Times New Roman" w:hAnsi="Times New Roman"/>
          <w:sz w:val="17"/>
          <w:szCs w:val="17"/>
          <w:i w:val="1"/>
          <w:iCs w:val="1"/>
          <w:color w:val="auto"/>
        </w:rPr>
        <w:t>Election of Directors</w:t>
      </w:r>
      <w:r>
        <w:rPr>
          <w:rFonts w:ascii="Times New Roman" w:cs="Times New Roman" w:eastAsia="Times New Roman" w:hAnsi="Times New Roman"/>
          <w:sz w:val="17"/>
          <w:szCs w:val="17"/>
          <w:color w:val="auto"/>
        </w:rPr>
        <w:t>,” we have a classified board structure, which effectively limits the ability of any investor or potential investor or group of investors or potential investors to gain control of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Borrowing Powers</w:t>
      </w:r>
    </w:p>
    <w:p>
      <w:pPr>
        <w:spacing w:after="0" w:line="207"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4311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Capital</w:t>
      </w:r>
    </w:p>
    <w:p>
      <w:pPr>
        <w:spacing w:after="0" w:line="207" w:lineRule="exact"/>
        <w:rPr>
          <w:sz w:val="20"/>
          <w:szCs w:val="20"/>
          <w:color w:val="auto"/>
        </w:rPr>
      </w:pPr>
    </w:p>
    <w:p>
      <w:pPr>
        <w:jc w:val="both"/>
        <w:ind w:firstLine="332"/>
        <w:spacing w:after="0" w:line="280" w:lineRule="auto"/>
        <w:rPr>
          <w:sz w:val="20"/>
          <w:szCs w:val="20"/>
          <w:color w:val="auto"/>
        </w:rPr>
      </w:pPr>
      <w:r>
        <w:rPr>
          <w:rFonts w:ascii="Times New Roman" w:cs="Times New Roman" w:eastAsia="Times New Roman" w:hAnsi="Times New Roman"/>
          <w:sz w:val="16"/>
          <w:szCs w:val="16"/>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p>
      <w:pPr>
        <w:spacing w:after="0" w:line="207"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transfer agent and registrar for our ordinary shares is Broadridge Corporate Issuer Solutions, Inc. Its address is 51 Mercedes Way, Edgewood, NY 11717.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07"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ordinary share at a price of $11.50 per share, subject to adjustment as discussed below, at any time, provided in each case that there is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assignment, assumption and amendment agreement) and such shares are registered, qualified or exempt from registration under the securities, or blue sky, laws of the state of residence of the holder. Pursuant to the warrant assignment, assumption and amendment agreement, a warrant holder may exercise its warrants only for a whole number of our ordinary shares. This means only a whole warrant may be exercised at a given time by a warrant holder. No fractional warrants will be issued upon separation of the units and only whole warrants will trade. The warrants (other than the warrants held by ION Co-Investment LLC, which will expire five years from October 1, 2021) will expire June 29, 2026 or earlier upon redemption or liquidation.</w:t>
      </w:r>
    </w:p>
    <w:p>
      <w:pPr>
        <w:spacing w:after="0" w:line="182" w:lineRule="exact"/>
        <w:rPr>
          <w:sz w:val="20"/>
          <w:szCs w:val="20"/>
          <w:color w:val="auto"/>
        </w:rPr>
      </w:pPr>
    </w:p>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us satisfying our registration obligations. No warrant will be exercisable and we will not be obligated to issue ordinary shares upon exercise of a warrant unless the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The company is not required to net cash settle any warrant other than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4311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6" w:name="page147"/>
    <w:bookmarkEnd w:id="146"/>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have agreed that the ordinary shares issuable upon exercise of the warrants will be registered on a registration statement on Form F-1 and filed such registration statement with the SEC on July 13, 2021. We will use our best efforts to maintain the effectiveness of such registration statement, and a current prospectus relating thereto, until the expiration of the warrants in accordance with the provisions of the warrant assignment, assumption and amendment agreement. Warrant holders may, during any period when we will have failed to maintain an effective registration statement covering the ordinary shares issuable upon exercise of the warrants, exercise warrants on a “cashless basis” in accordance with Section 3(a)(9) of the Securities Act or another exemption.</w:t>
      </w:r>
    </w:p>
    <w:p>
      <w:pPr>
        <w:spacing w:after="0" w:line="176"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Notwithstanding the above, if our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74"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7"/>
          <w:szCs w:val="17"/>
          <w:i w:val="1"/>
          <w:iCs w:val="1"/>
          <w:color w:val="auto"/>
        </w:rPr>
        <w:t>Redemption of warrants when the price per ordinary share equals or exceeds $18.00</w:t>
      </w:r>
      <w:r>
        <w:rPr>
          <w:rFonts w:ascii="Times New Roman" w:cs="Times New Roman" w:eastAsia="Times New Roman" w:hAnsi="Times New Roman"/>
          <w:sz w:val="17"/>
          <w:szCs w:val="17"/>
          <w:color w:val="auto"/>
        </w:rPr>
        <w:t>. Once the warrants become exercisable, we may redeem the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warrants (except as described herein with respect to the private placement warrants):</w:t>
      </w:r>
    </w:p>
    <w:p>
      <w:pPr>
        <w:spacing w:after="0" w:line="158" w:lineRule="exact"/>
        <w:rPr>
          <w:sz w:val="20"/>
          <w:szCs w:val="20"/>
          <w:color w:val="auto"/>
        </w:rPr>
      </w:pPr>
    </w:p>
    <w:p>
      <w:pPr>
        <w:ind w:left="740" w:hanging="442"/>
        <w:spacing w:after="0"/>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(the “30-day redemption period”); and</w:t>
      </w:r>
    </w:p>
    <w:p>
      <w:pPr>
        <w:spacing w:after="0" w:line="202" w:lineRule="exact"/>
        <w:rPr>
          <w:rFonts w:ascii="Times New Roman" w:cs="Times New Roman" w:eastAsia="Times New Roman" w:hAnsi="Times New Roman"/>
          <w:sz w:val="17"/>
          <w:szCs w:val="17"/>
          <w:color w:val="auto"/>
        </w:rPr>
      </w:pPr>
    </w:p>
    <w:p>
      <w:pPr>
        <w:jc w:val="both"/>
        <w:ind w:left="740" w:right="80" w:hanging="442"/>
        <w:spacing w:after="0" w:line="256" w:lineRule="auto"/>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and only if, the closing price of the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 Redemption Procedures — Anti-dilution Adjustments”</w:t>
      </w:r>
      <w:r>
        <w:rPr>
          <w:rFonts w:ascii="Times New Roman" w:cs="Times New Roman" w:eastAsia="Times New Roman" w:hAnsi="Times New Roman"/>
          <w:sz w:val="17"/>
          <w:szCs w:val="17"/>
          <w:color w:val="auto"/>
        </w:rPr>
        <w:t>) for any 20 trading days within a 30-trading day period ending three business days before the notice of redemption is sent to the warrant holders.</w:t>
      </w:r>
    </w:p>
    <w:p>
      <w:pPr>
        <w:spacing w:after="0" w:line="171" w:lineRule="exact"/>
        <w:rPr>
          <w:sz w:val="20"/>
          <w:szCs w:val="20"/>
          <w:color w:val="auto"/>
        </w:rPr>
      </w:pPr>
    </w:p>
    <w:p>
      <w:pPr>
        <w:jc w:val="both"/>
        <w:ind w:firstLine="332"/>
        <w:spacing w:after="0" w:line="269" w:lineRule="auto"/>
        <w:rPr>
          <w:sz w:val="20"/>
          <w:szCs w:val="20"/>
          <w:color w:val="auto"/>
        </w:rPr>
      </w:pPr>
      <w:r>
        <w:rPr>
          <w:rFonts w:ascii="Times New Roman" w:cs="Times New Roman" w:eastAsia="Times New Roman" w:hAnsi="Times New Roman"/>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159"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74" w:lineRule="exact"/>
        <w:rPr>
          <w:sz w:val="20"/>
          <w:szCs w:val="20"/>
          <w:color w:val="auto"/>
        </w:rPr>
      </w:pPr>
    </w:p>
    <w:p>
      <w:pPr>
        <w:jc w:val="both"/>
        <w:ind w:firstLine="33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Redemption of warrants when the price per ordinary share equals or exceeds $10.00. </w:t>
      </w:r>
      <w:r>
        <w:rPr>
          <w:rFonts w:ascii="Times New Roman" w:cs="Times New Roman" w:eastAsia="Times New Roman" w:hAnsi="Times New Roman"/>
          <w:sz w:val="17"/>
          <w:szCs w:val="17"/>
          <w:color w:val="auto"/>
        </w:rPr>
        <w:t>Once the warrants become exercisable, we may redeem the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warrants (except as described herein with respect to the private placement warrants):</w:t>
      </w:r>
    </w:p>
    <w:p>
      <w:pPr>
        <w:spacing w:after="0" w:line="158" w:lineRule="exact"/>
        <w:rPr>
          <w:sz w:val="20"/>
          <w:szCs w:val="20"/>
          <w:color w:val="auto"/>
        </w:rPr>
      </w:pPr>
    </w:p>
    <w:p>
      <w:pPr>
        <w:ind w:left="740" w:hanging="442"/>
        <w:spacing w:after="0"/>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2"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$0.10 per warrant;</w:t>
      </w:r>
    </w:p>
    <w:p>
      <w:pPr>
        <w:spacing w:after="0" w:line="202" w:lineRule="exact"/>
        <w:rPr>
          <w:rFonts w:ascii="Times New Roman" w:cs="Times New Roman" w:eastAsia="Times New Roman" w:hAnsi="Times New Roman"/>
          <w:sz w:val="17"/>
          <w:szCs w:val="17"/>
          <w:color w:val="auto"/>
        </w:rPr>
      </w:pPr>
    </w:p>
    <w:p>
      <w:pPr>
        <w:jc w:val="both"/>
        <w:ind w:left="740" w:right="440" w:hanging="442"/>
        <w:spacing w:after="0" w:line="256" w:lineRule="auto"/>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the ordinary shares except as otherwise described below; and</w:t>
      </w:r>
    </w:p>
    <w:p>
      <w:pPr>
        <w:spacing w:after="0" w:line="170" w:lineRule="exact"/>
        <w:rPr>
          <w:rFonts w:ascii="Times New Roman" w:cs="Times New Roman" w:eastAsia="Times New Roman" w:hAnsi="Times New Roman"/>
          <w:sz w:val="17"/>
          <w:szCs w:val="17"/>
          <w:color w:val="auto"/>
        </w:rPr>
      </w:pPr>
    </w:p>
    <w:p>
      <w:pPr>
        <w:jc w:val="both"/>
        <w:ind w:left="740" w:right="40" w:hanging="442"/>
        <w:spacing w:after="0" w:line="256" w:lineRule="auto"/>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and only if, the closing price of the ordinary Sshares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 Redemption Procedures — Anti-dilution Adjustments”)</w:t>
      </w:r>
      <w:r>
        <w:rPr>
          <w:rFonts w:ascii="Times New Roman" w:cs="Times New Roman" w:eastAsia="Times New Roman" w:hAnsi="Times New Roman"/>
          <w:sz w:val="17"/>
          <w:szCs w:val="17"/>
          <w:color w:val="auto"/>
        </w:rPr>
        <w:t xml:space="preserve"> for any 20 trading days within the 30-trading day period ending three trading days before the notice of redemption is sent to the 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4311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jc w:val="both"/>
        <w:ind w:firstLine="332"/>
        <w:spacing w:after="0" w:line="248" w:lineRule="auto"/>
        <w:rPr>
          <w:sz w:val="20"/>
          <w:szCs w:val="20"/>
          <w:color w:val="auto"/>
        </w:rPr>
      </w:pPr>
      <w:r>
        <w:rPr>
          <w:rFonts w:ascii="Times New Roman" w:cs="Times New Roman" w:eastAsia="Times New Roman" w:hAnsi="Times New Roman"/>
          <w:sz w:val="17"/>
          <w:szCs w:val="17"/>
          <w:color w:val="auto"/>
        </w:rPr>
        <w:t>Beginning on the date the notice of redemption is given and until the warrants are redeemed or exercised,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the volume-weighted average price of the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9"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 xml:space="preserve">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7"/>
          <w:szCs w:val="17"/>
          <w:i w:val="1"/>
          <w:iCs w:val="1"/>
          <w:color w:val="auto"/>
        </w:rPr>
        <w:t>“— Redemption Procedures — Anti-dilution Adjustments”</w:t>
      </w:r>
      <w:r>
        <w:rPr>
          <w:rFonts w:ascii="Times New Roman" w:cs="Times New Roman" w:eastAsia="Times New Roman" w:hAnsi="Times New Roman"/>
          <w:sz w:val="17"/>
          <w:szCs w:val="17"/>
          <w:color w:val="auto"/>
        </w:rPr>
        <w:t xml:space="preserve">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175"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 xml:space="preserve">If the exercise price of a warrant is adjusted, (a) in the case of an adjustment pursuant to the fifth paragraph under the heading </w:t>
      </w:r>
      <w:r>
        <w:rPr>
          <w:rFonts w:ascii="Times New Roman" w:cs="Times New Roman" w:eastAsia="Times New Roman" w:hAnsi="Times New Roman"/>
          <w:sz w:val="17"/>
          <w:szCs w:val="17"/>
          <w:i w:val="1"/>
          <w:iCs w:val="1"/>
          <w:color w:val="auto"/>
        </w:rPr>
        <w:t xml:space="preserve">“— Redemption Procedures — Anti-dilution Adjustments” </w:t>
      </w:r>
      <w:r>
        <w:rPr>
          <w:rFonts w:ascii="Times New Roman" w:cs="Times New Roman" w:eastAsia="Times New Roman" w:hAnsi="Times New Roman"/>
          <w:sz w:val="17"/>
          <w:szCs w:val="17"/>
          <w:color w:val="auto"/>
        </w:rPr>
        <w:t>below, the adjusted share prices in the column headings will equal the unadjusted share prices multiplied by a fraction, the numerator of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higher of the Market Value and the Newly Issued Price as set forth under the heading </w:t>
      </w:r>
      <w:r>
        <w:rPr>
          <w:rFonts w:ascii="Times New Roman" w:cs="Times New Roman" w:eastAsia="Times New Roman" w:hAnsi="Times New Roman"/>
          <w:sz w:val="17"/>
          <w:szCs w:val="17"/>
          <w:i w:val="1"/>
          <w:iCs w:val="1"/>
          <w:color w:val="auto"/>
        </w:rPr>
        <w:t>“— Redemption Procedures — Anti-dilution Adjustments”</w:t>
      </w:r>
      <w:r>
        <w:rPr>
          <w:rFonts w:ascii="Times New Roman" w:cs="Times New Roman" w:eastAsia="Times New Roman" w:hAnsi="Times New Roman"/>
          <w:sz w:val="17"/>
          <w:szCs w:val="17"/>
          <w:color w:val="auto"/>
        </w:rPr>
        <w:t xml:space="preserve"> and the denominator of which is $10.00 and (b) in the case of an adjustment pursuant to the second paragraph under the heading </w:t>
      </w:r>
      <w:r>
        <w:rPr>
          <w:rFonts w:ascii="Times New Roman" w:cs="Times New Roman" w:eastAsia="Times New Roman" w:hAnsi="Times New Roman"/>
          <w:sz w:val="17"/>
          <w:szCs w:val="17"/>
          <w:i w:val="1"/>
          <w:iCs w:val="1"/>
          <w:color w:val="auto"/>
        </w:rPr>
        <w:t>“— Redemption Procedures — Anti-dilution Adjustments”</w:t>
      </w:r>
      <w:r>
        <w:rPr>
          <w:rFonts w:ascii="Times New Roman" w:cs="Times New Roman" w:eastAsia="Times New Roman" w:hAnsi="Times New Roman"/>
          <w:sz w:val="17"/>
          <w:szCs w:val="17"/>
          <w:color w:val="auto"/>
        </w:rPr>
        <w:t xml:space="preserve"> below, the adjusted share prices in the column headings will equal the unadjusted share prices less the decrease in the exercise price of a warrant pursuant to such exercise price adjustment.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Redemption Date</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7"/>
                <w:szCs w:val="17"/>
                <w:b w:val="1"/>
                <w:bCs w:val="1"/>
                <w:color w:val="auto"/>
              </w:rPr>
              <w:t>Fair Market Value of Ordinary Shares</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1660" w:type="dxa"/>
            <w:vAlign w:val="bottom"/>
          </w:tcPr>
          <w:p>
            <w:pPr>
              <w:ind w:left="480"/>
              <w:spacing w:after="0" w:line="179" w:lineRule="exact"/>
              <w:rPr>
                <w:sz w:val="20"/>
                <w:szCs w:val="20"/>
                <w:color w:val="auto"/>
              </w:rPr>
            </w:pPr>
            <w:r>
              <w:rPr>
                <w:rFonts w:ascii="Times New Roman" w:cs="Times New Roman" w:eastAsia="Times New Roman" w:hAnsi="Times New Roman"/>
                <w:sz w:val="17"/>
                <w:szCs w:val="17"/>
                <w:b w:val="1"/>
                <w:bCs w:val="1"/>
                <w:color w:val="auto"/>
              </w:rPr>
              <w:t>(period to</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4"/>
        </w:trPr>
        <w:tc>
          <w:tcPr>
            <w:tcW w:w="1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6"/>
              </w:rPr>
              <w:t>expiration of warrants)</w:t>
            </w:r>
          </w:p>
        </w:tc>
        <w:tc>
          <w:tcPr>
            <w:tcW w:w="8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$11.00</w:t>
            </w:r>
          </w:p>
        </w:tc>
        <w:tc>
          <w:tcPr>
            <w:tcW w:w="20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$12.00</w:t>
            </w:r>
          </w:p>
        </w:tc>
        <w:tc>
          <w:tcPr>
            <w:tcW w:w="220" w:type="dxa"/>
            <w:vAlign w:val="bottom"/>
          </w:tcPr>
          <w:p>
            <w:pPr>
              <w:spacing w:after="0"/>
              <w:rPr>
                <w:sz w:val="19"/>
                <w:szCs w:val="19"/>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$13.00</w:t>
            </w:r>
          </w:p>
        </w:tc>
        <w:tc>
          <w:tcPr>
            <w:tcW w:w="24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$14.00</w:t>
            </w:r>
          </w:p>
        </w:tc>
        <w:tc>
          <w:tcPr>
            <w:tcW w:w="10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$15.00</w:t>
            </w:r>
          </w:p>
        </w:tc>
        <w:tc>
          <w:tcPr>
            <w:tcW w:w="2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$16.00</w:t>
            </w:r>
          </w:p>
        </w:tc>
        <w:tc>
          <w:tcPr>
            <w:tcW w:w="22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$17.00</w:t>
            </w:r>
          </w:p>
        </w:tc>
        <w:tc>
          <w:tcPr>
            <w:tcW w:w="2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≥$18.00</w:t>
            </w:r>
          </w:p>
        </w:tc>
        <w:tc>
          <w:tcPr>
            <w:tcW w:w="60" w:type="dxa"/>
            <w:vAlign w:val="bottom"/>
          </w:tcPr>
          <w:p>
            <w:pPr>
              <w:spacing w:after="0"/>
              <w:rPr>
                <w:sz w:val="19"/>
                <w:szCs w:val="19"/>
                <w:color w:val="auto"/>
              </w:rPr>
            </w:pPr>
          </w:p>
        </w:tc>
      </w:tr>
      <w:tr>
        <w:trPr>
          <w:trHeight w:val="199"/>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60 months</w:t>
            </w: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0.261</w:t>
            </w: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0.281</w:t>
            </w: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0.311</w:t>
            </w:r>
          </w:p>
        </w:tc>
        <w:tc>
          <w:tcPr>
            <w:tcW w:w="2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0.358</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57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0.257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0.277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0.294</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0.310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0.337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54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0.252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0.272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0.291</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0.307</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51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0.246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0.268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0.287</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0.304</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0.320</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0.333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48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0.241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0.263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0.283</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0.301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45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0.235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0.258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0.279</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0.298</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0.315</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0.330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42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0.228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0.252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0.274</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0.294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39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0.221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0.246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0.269</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0.290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0.309</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0.325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36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0.213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0.239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0.263</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0.285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0.305</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33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0.205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0.232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0.257</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0.280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0.301</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0.320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0.196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0.250</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0.274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0.316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27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0.185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0.242</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0.268</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0.291</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0.313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24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0.173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0.204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0.233</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0.260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0.308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21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0.161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0.193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0.223</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0.252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0.279</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0.304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0.326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18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0.146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0.179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0.211</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0.242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0.271</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0.298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15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0.130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0.164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0.197</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0.230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0.262</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0.291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0.111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0.146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0.181</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0.216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0.282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9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0.090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0.125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0.162</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0.199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0.237</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0.272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0.305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0.065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0.099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0.137</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8"/>
              </w:rPr>
              <w:t>0.178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0.219</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0.259</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3 months</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0.034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0.065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0.104</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88"/>
              </w:rPr>
              <w:t>0.150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0.197</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0.243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0.286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tcPr>
          <w:p>
            <w:pPr>
              <w:spacing w:after="0"/>
              <w:rPr>
                <w:sz w:val="17"/>
                <w:szCs w:val="17"/>
                <w:color w:val="auto"/>
              </w:rPr>
            </w:pP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 months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0.042</w:t>
            </w: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0.115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0.179</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0.233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60" w:type="dxa"/>
            <w:vAlign w:val="bottom"/>
            <w:shd w:val="clear" w:color="auto" w:fill="CCEEFF"/>
          </w:tcPr>
          <w:p>
            <w:pPr>
              <w:spacing w:after="0"/>
              <w:rPr>
                <w:sz w:val="17"/>
                <w:szCs w:val="17"/>
                <w:color w:val="auto"/>
              </w:rPr>
            </w:pPr>
          </w:p>
        </w:tc>
      </w:tr>
      <w:tr>
        <w:trPr>
          <w:trHeight w:val="366"/>
        </w:trPr>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48" w:name="page149"/>
    <w:bookmarkEnd w:id="148"/>
    <w:p>
      <w:pPr>
        <w:jc w:val="both"/>
        <w:ind w:firstLine="332"/>
        <w:spacing w:after="0" w:line="263" w:lineRule="auto"/>
        <w:rPr>
          <w:sz w:val="20"/>
          <w:szCs w:val="20"/>
          <w:color w:val="auto"/>
        </w:rPr>
      </w:pPr>
      <w:r>
        <w:rPr>
          <w:rFonts w:ascii="Times New Roman" w:cs="Times New Roman" w:eastAsia="Times New Roman" w:hAnsi="Times New Roman"/>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ordinary shares for each whole warrant. For an example where the exact fair market value and redemption date are not as set forth in the table above, if the volume-weighted average price of our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ordinary shares for each whole warrant. In no event will the warrants be exercisable on a cashless basis in connection with this redemption feature for more than 0.361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ordinary shares.</w:t>
      </w:r>
    </w:p>
    <w:p>
      <w:pPr>
        <w:spacing w:after="0" w:line="169" w:lineRule="exact"/>
        <w:rPr>
          <w:sz w:val="20"/>
          <w:szCs w:val="20"/>
          <w:color w:val="auto"/>
        </w:rPr>
      </w:pPr>
    </w:p>
    <w:p>
      <w:pPr>
        <w:jc w:val="both"/>
        <w:ind w:firstLine="332"/>
        <w:spacing w:after="0" w:line="249" w:lineRule="auto"/>
        <w:rPr>
          <w:sz w:val="20"/>
          <w:szCs w:val="20"/>
          <w:color w:val="auto"/>
        </w:rPr>
      </w:pPr>
      <w:r>
        <w:rPr>
          <w:rFonts w:ascii="Times New Roman" w:cs="Times New Roman" w:eastAsia="Times New Roman" w:hAnsi="Times New Roman"/>
          <w:sz w:val="17"/>
          <w:szCs w:val="17"/>
          <w:color w:val="auto"/>
        </w:rPr>
        <w:t xml:space="preserve">This redemption feature differs from the typical warrant redemption features used in many other blank check company offerings, which typically only provide for a redemption of warrants for cash (other than the private placement warrants) when the trading price for the ordinary shares exceeds $18.00 per share for a specified period of time. This redemption feature is structured to allow for all of the outstanding warrants to be redeemed when the ordinary shares are trading at or above $10.00 per public share, which may be at a time when the trading price of the ordinary shares is below the exercise price of the warrants. This redemption feature was established to provide the flexibility to redeem the warrants without the warrants having to reach the $18.00 per share threshold set forth above under </w:t>
      </w:r>
      <w:r>
        <w:rPr>
          <w:rFonts w:ascii="Times New Roman" w:cs="Times New Roman" w:eastAsia="Times New Roman" w:hAnsi="Times New Roman"/>
          <w:sz w:val="17"/>
          <w:szCs w:val="17"/>
          <w:i w:val="1"/>
          <w:iCs w:val="1"/>
          <w:color w:val="auto"/>
        </w:rPr>
        <w:t>“— Redemption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 when the price per ordinary share equals or exceeds $18.00</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As stated above, we can redeem the warrants when the ordinary shares are trading at a price starting at $10.00, which is below the exercise price of $11.50, because we will provide certainty with respect to our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wait to exercise their warrants for ordinary shares if and when such ordinary shares were trading at a price higher than the exercise price of $11.50.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4311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9" w:name="page150"/>
    <w:bookmarkEnd w:id="149"/>
    <w:p>
      <w:pPr>
        <w:ind w:left="340"/>
        <w:spacing w:after="0"/>
        <w:rPr>
          <w:sz w:val="20"/>
          <w:szCs w:val="20"/>
          <w:color w:val="auto"/>
        </w:rPr>
      </w:pPr>
      <w:r>
        <w:rPr>
          <w:rFonts w:ascii="Times New Roman" w:cs="Times New Roman" w:eastAsia="Times New Roman" w:hAnsi="Times New Roman"/>
          <w:sz w:val="17"/>
          <w:szCs w:val="17"/>
          <w:i w:val="1"/>
          <w:iCs w:val="1"/>
          <w:color w:val="auto"/>
        </w:rPr>
        <w:t>Redemption Procedures</w:t>
      </w:r>
    </w:p>
    <w:p>
      <w:pPr>
        <w:spacing w:after="0" w:line="205"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Anti-dilution Adjustments</w:t>
      </w:r>
    </w:p>
    <w:p>
      <w:pPr>
        <w:spacing w:after="0" w:line="205" w:lineRule="exact"/>
        <w:rPr>
          <w:sz w:val="20"/>
          <w:szCs w:val="20"/>
          <w:color w:val="auto"/>
        </w:rPr>
      </w:pPr>
    </w:p>
    <w:p>
      <w:pPr>
        <w:jc w:val="both"/>
        <w:ind w:firstLine="332"/>
        <w:spacing w:after="0" w:line="264" w:lineRule="auto"/>
        <w:rPr>
          <w:sz w:val="20"/>
          <w:szCs w:val="20"/>
          <w:color w:val="auto"/>
        </w:rPr>
      </w:pPr>
      <w:r>
        <w:rPr>
          <w:rFonts w:ascii="Times New Roman" w:cs="Times New Roman" w:eastAsia="Times New Roman" w:hAnsi="Times New Roman"/>
          <w:sz w:val="16"/>
          <w:szCs w:val="16"/>
          <w:color w:val="auto"/>
        </w:rPr>
        <w:t>If the number of outstanding ordinary shares is increased by a share capitalization payable in ordinary shares, or by a sub-division of ordinary shares or other similar event, then, on the effective date of such share capitalization, sub-division or similar event, the number of ordinary shares issuable on exercise of each warrant will be increased in proportion to such increase in the outstanding ordinary shares. A rights offering made to all or substantially all holders of ordinary shares entitling holders to purchase our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our ordinary shares) and (ii) the quotient of (x) the price per ordinary share paid in such rights offering and (y) the fair market value. For these purposes (i) if the rights offering is for securities convertible into or exercisable for our ordinary shares, in determining the price payable for the ordinary shares, there will be taken into account any consideration received for such rights, as well as any additional amount payable upon exercise or conversion and (ii) fair market value means the volume weighted average price of the ordinary shares as reported during the 10 trading day period ending on the trading day prior to the first date on which the ordinary shares trade on the applicable exchange or in the applicable market, regular way, without the right to receive such rights.</w:t>
      </w:r>
    </w:p>
    <w:p>
      <w:pPr>
        <w:spacing w:after="0" w:line="166"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makes a distribution in cash, securities or other assets to the holders of all or substantially all of its ordinary shares on account of such ordinary shares (or other securities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74" w:lineRule="exact"/>
        <w:rPr>
          <w:sz w:val="20"/>
          <w:szCs w:val="20"/>
          <w:color w:val="auto"/>
        </w:rPr>
      </w:pPr>
    </w:p>
    <w:p>
      <w:pPr>
        <w:jc w:val="both"/>
        <w:ind w:firstLine="332"/>
        <w:spacing w:after="0" w:line="256" w:lineRule="auto"/>
        <w:rPr>
          <w:sz w:val="20"/>
          <w:szCs w:val="20"/>
          <w:color w:val="auto"/>
        </w:rPr>
      </w:pPr>
      <w:r>
        <w:rPr>
          <w:rFonts w:ascii="Times New Roman" w:cs="Times New Roman" w:eastAsia="Times New Roman" w:hAnsi="Times New Roman"/>
          <w:sz w:val="17"/>
          <w:szCs w:val="17"/>
          <w:color w:val="auto"/>
        </w:rPr>
        <w:t>If, the number of outstanding ordinary shares is decreased by a consolidation, combination, reverse share sub-division or reclassification of the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the outstanding ordinary shares.</w:t>
      </w:r>
    </w:p>
    <w:p>
      <w:pPr>
        <w:spacing w:after="0" w:line="171" w:lineRule="exact"/>
        <w:rPr>
          <w:sz w:val="20"/>
          <w:szCs w:val="20"/>
          <w:color w:val="auto"/>
        </w:rPr>
      </w:pPr>
    </w:p>
    <w:p>
      <w:pPr>
        <w:jc w:val="both"/>
        <w:ind w:firstLine="332"/>
        <w:spacing w:after="0" w:line="252" w:lineRule="auto"/>
        <w:rPr>
          <w:sz w:val="20"/>
          <w:szCs w:val="20"/>
          <w:color w:val="auto"/>
        </w:rPr>
      </w:pPr>
      <w:r>
        <w:rPr>
          <w:rFonts w:ascii="Times New Roman" w:cs="Times New Roman" w:eastAsia="Times New Roman" w:hAnsi="Times New Roman"/>
          <w:sz w:val="17"/>
          <w:szCs w:val="17"/>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311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both"/>
        <w:ind w:firstLine="332"/>
        <w:spacing w:after="0" w:line="246"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ordinary shares (other than those described above or that solely affects the par value of such ordinary shares), or in the case of any merger or consolidation of Taboola with or into another corporation (other than a consolidation or merger in which Taboola is the continuing corporation and that does not result in any reclassification or reorganization of Taboola’s issued and outstanding ordinary shares), or in the case of any sale or conveyance to another corporation or entity of the assets or other property of Taboola as an entirety or substantially as an entirety in connection with which Taboola is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the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assignment, assumption and amendment agreement based on the Black-Scholes Warrant Value (as defined in the warrant assignment, assumption and amendment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0" w:lineRule="exact"/>
        <w:rPr>
          <w:sz w:val="20"/>
          <w:szCs w:val="20"/>
          <w:color w:val="auto"/>
        </w:rPr>
      </w:pPr>
    </w:p>
    <w:p>
      <w:pPr>
        <w:jc w:val="both"/>
        <w:ind w:firstLine="332"/>
        <w:spacing w:after="0" w:line="247" w:lineRule="auto"/>
        <w:rPr>
          <w:sz w:val="20"/>
          <w:szCs w:val="20"/>
          <w:color w:val="auto"/>
        </w:rPr>
      </w:pPr>
      <w:r>
        <w:rPr>
          <w:rFonts w:ascii="Times New Roman" w:cs="Times New Roman" w:eastAsia="Times New Roman" w:hAnsi="Times New Roman"/>
          <w:sz w:val="17"/>
          <w:szCs w:val="17"/>
          <w:color w:val="auto"/>
        </w:rPr>
        <w:t>The warrant assignment, assumption and amendment agreement provides that the terms of the warrants may be amended without the consent of any holder for the purpose of (i) curing any ambiguity or to correct any defective provision or mistake, including to conform the provisions of the warrant assignment, assumption and amendment agreement to the description of the terms of the warrants and the warrant assignment, assumption and amendment agreement set forth in this prospectus, (ii) adjusting the provisions relating to cash dividends on ordinary shares as contemplated by and in accordance with the warrant assignment, assumption and amendment agreement or (iii) adding or changing any provisions with respect to matters or questions arising under the warrant assignment, assumption and amendment agreement as the parties to the warrant assignment, assumption and amendment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assignment, assumption and amendment agreement for a complete description of the terms and conditions applicable to the warrants.</w:t>
      </w:r>
    </w:p>
    <w:p>
      <w:pPr>
        <w:spacing w:after="0" w:line="178" w:lineRule="exact"/>
        <w:rPr>
          <w:sz w:val="20"/>
          <w:szCs w:val="20"/>
          <w:color w:val="auto"/>
        </w:rPr>
      </w:pPr>
    </w:p>
    <w:p>
      <w:pPr>
        <w:jc w:val="both"/>
        <w:ind w:firstLine="332"/>
        <w:spacing w:after="0" w:line="25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4311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10.3</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Compensation Policy for Non-Employee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Borders>
              <w:right w:val="single" w:sz="8" w:color="auto"/>
            </w:tcBorders>
          </w:tcPr>
          <w:p>
            <w:pPr>
              <w:spacing w:after="0"/>
              <w:rPr>
                <w:sz w:val="21"/>
                <w:szCs w:val="21"/>
                <w:color w:val="auto"/>
              </w:rPr>
            </w:pPr>
          </w:p>
        </w:tc>
        <w:tc>
          <w:tcPr>
            <w:tcW w:w="44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 Element</w:t>
            </w:r>
          </w:p>
        </w:tc>
        <w:tc>
          <w:tcPr>
            <w:tcW w:w="22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240" w:type="dxa"/>
            <w:vAlign w:val="bottom"/>
          </w:tcPr>
          <w:p>
            <w:pPr>
              <w:spacing w:after="0"/>
              <w:rPr>
                <w:sz w:val="21"/>
                <w:szCs w:val="21"/>
                <w:color w:val="auto"/>
              </w:rPr>
            </w:pPr>
          </w:p>
        </w:tc>
      </w:tr>
      <w:tr>
        <w:trPr>
          <w:trHeight w:val="183"/>
        </w:trPr>
        <w:tc>
          <w:tcPr>
            <w:tcW w:w="2280" w:type="dxa"/>
            <w:vAlign w:val="bottom"/>
            <w:tcBorders>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Board Annual Cash Retainer</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$35,000</w:t>
            </w:r>
          </w:p>
        </w:tc>
        <w:tc>
          <w:tcPr>
            <w:tcW w:w="2240" w:type="dxa"/>
            <w:vAlign w:val="bottom"/>
          </w:tcPr>
          <w:p>
            <w:pPr>
              <w:spacing w:after="0"/>
              <w:rPr>
                <w:sz w:val="19"/>
                <w:szCs w:val="19"/>
                <w:color w:val="auto"/>
              </w:rPr>
            </w:pPr>
          </w:p>
        </w:tc>
      </w:tr>
      <w:tr>
        <w:trPr>
          <w:trHeight w:val="183"/>
        </w:trPr>
        <w:tc>
          <w:tcPr>
            <w:tcW w:w="2280" w:type="dxa"/>
            <w:vAlign w:val="bottom"/>
            <w:tcBorders>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b w:val="1"/>
                <w:bCs w:val="1"/>
                <w:color w:val="auto"/>
              </w:rPr>
              <w:t>Initial Equity Award</w:t>
            </w:r>
          </w:p>
        </w:tc>
        <w:tc>
          <w:tcPr>
            <w:tcW w:w="2240" w:type="dxa"/>
            <w:vAlign w:val="bottom"/>
            <w:tcBorders>
              <w:right w:val="single" w:sz="8" w:color="auto"/>
            </w:tcBorders>
          </w:tcPr>
          <w:p>
            <w:pPr>
              <w:ind w:left="140"/>
              <w:spacing w:after="0" w:line="179" w:lineRule="exact"/>
              <w:rPr>
                <w:sz w:val="20"/>
                <w:szCs w:val="20"/>
                <w:color w:val="auto"/>
              </w:rPr>
            </w:pPr>
            <w:r>
              <w:rPr>
                <w:rFonts w:ascii="Times New Roman" w:cs="Times New Roman" w:eastAsia="Times New Roman" w:hAnsi="Times New Roman"/>
                <w:sz w:val="17"/>
                <w:szCs w:val="17"/>
                <w:color w:val="auto"/>
              </w:rPr>
              <w:t>$360,000 (2x Annual)</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(for new directors)</w:t>
            </w:r>
          </w:p>
        </w:tc>
        <w:tc>
          <w:tcPr>
            <w:tcW w:w="2240" w:type="dxa"/>
            <w:vAlign w:val="bottom"/>
            <w:tcBorders>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r>
      <w:tr>
        <w:trPr>
          <w:trHeight w:val="204"/>
        </w:trPr>
        <w:tc>
          <w:tcPr>
            <w:tcW w:w="228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Annual RSU Award</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$180,000</w:t>
            </w:r>
          </w:p>
        </w:tc>
        <w:tc>
          <w:tcPr>
            <w:tcW w:w="2240" w:type="dxa"/>
            <w:vAlign w:val="bottom"/>
          </w:tcPr>
          <w:p>
            <w:pPr>
              <w:spacing w:after="0"/>
              <w:rPr>
                <w:sz w:val="19"/>
                <w:szCs w:val="19"/>
                <w:color w:val="auto"/>
              </w:rPr>
            </w:pPr>
          </w:p>
        </w:tc>
      </w:tr>
      <w:tr>
        <w:trPr>
          <w:trHeight w:val="183"/>
        </w:trPr>
        <w:tc>
          <w:tcPr>
            <w:tcW w:w="2280" w:type="dxa"/>
            <w:vAlign w:val="bottom"/>
            <w:tcBorders>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b w:val="1"/>
                <w:bCs w:val="1"/>
                <w:color w:val="auto"/>
              </w:rPr>
              <w:t>Total Board Comp</w:t>
            </w:r>
          </w:p>
        </w:tc>
        <w:tc>
          <w:tcPr>
            <w:tcW w:w="2240" w:type="dxa"/>
            <w:vAlign w:val="bottom"/>
            <w:tcBorders>
              <w:right w:val="single" w:sz="8" w:color="auto"/>
            </w:tcBorders>
          </w:tcPr>
          <w:p>
            <w:pPr>
              <w:ind w:left="140"/>
              <w:spacing w:after="0" w:line="179" w:lineRule="exact"/>
              <w:rPr>
                <w:sz w:val="20"/>
                <w:szCs w:val="20"/>
                <w:color w:val="auto"/>
              </w:rPr>
            </w:pPr>
            <w:r>
              <w:rPr>
                <w:rFonts w:ascii="Times New Roman" w:cs="Times New Roman" w:eastAsia="Times New Roman" w:hAnsi="Times New Roman"/>
                <w:sz w:val="17"/>
                <w:szCs w:val="17"/>
                <w:b w:val="1"/>
                <w:bCs w:val="1"/>
                <w:color w:val="auto"/>
              </w:rPr>
              <w:t>$215,000</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(Sum of: Annual Cash Retainer + Annual Equity Award)</w:t>
            </w:r>
          </w:p>
        </w:tc>
        <w:tc>
          <w:tcPr>
            <w:tcW w:w="2240" w:type="dxa"/>
            <w:vAlign w:val="bottom"/>
            <w:tcBorders>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r>
      <w:tr>
        <w:trPr>
          <w:trHeight w:val="204"/>
        </w:trPr>
        <w:tc>
          <w:tcPr>
            <w:tcW w:w="228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b w:val="1"/>
                <w:bCs w:val="1"/>
                <w:color w:val="auto"/>
              </w:rPr>
              <w:t>Audit Committee Chair</w:t>
            </w:r>
          </w:p>
        </w:tc>
        <w:tc>
          <w:tcPr>
            <w:tcW w:w="2240" w:type="dxa"/>
            <w:vAlign w:val="bottom"/>
            <w:tcBorders>
              <w:right w:val="single" w:sz="8" w:color="auto"/>
            </w:tcBorders>
          </w:tcPr>
          <w:p>
            <w:pPr>
              <w:ind w:left="140"/>
              <w:spacing w:after="0" w:line="179" w:lineRule="exact"/>
              <w:rPr>
                <w:sz w:val="20"/>
                <w:szCs w:val="20"/>
                <w:color w:val="auto"/>
              </w:rPr>
            </w:pPr>
            <w:r>
              <w:rPr>
                <w:rFonts w:ascii="Times New Roman" w:cs="Times New Roman" w:eastAsia="Times New Roman" w:hAnsi="Times New Roman"/>
                <w:sz w:val="17"/>
                <w:szCs w:val="17"/>
                <w:color w:val="auto"/>
              </w:rPr>
              <w:t>$20,000</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Audit Committee Member</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$10,000</w:t>
            </w:r>
          </w:p>
        </w:tc>
        <w:tc>
          <w:tcPr>
            <w:tcW w:w="2240" w:type="dxa"/>
            <w:vAlign w:val="bottom"/>
          </w:tcPr>
          <w:p>
            <w:pPr>
              <w:spacing w:after="0"/>
              <w:rPr>
                <w:sz w:val="19"/>
                <w:szCs w:val="19"/>
                <w:color w:val="auto"/>
              </w:rPr>
            </w:pPr>
          </w:p>
        </w:tc>
      </w:tr>
      <w:tr>
        <w:trPr>
          <w:trHeight w:val="204"/>
        </w:trPr>
        <w:tc>
          <w:tcPr>
            <w:tcW w:w="228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b w:val="1"/>
                <w:bCs w:val="1"/>
                <w:color w:val="auto"/>
              </w:rPr>
              <w:t>Comp Committee Chair</w:t>
            </w:r>
          </w:p>
        </w:tc>
        <w:tc>
          <w:tcPr>
            <w:tcW w:w="2240" w:type="dxa"/>
            <w:vAlign w:val="bottom"/>
            <w:tcBorders>
              <w:right w:val="single" w:sz="8" w:color="auto"/>
            </w:tcBorders>
          </w:tcPr>
          <w:p>
            <w:pPr>
              <w:ind w:left="140"/>
              <w:spacing w:after="0" w:line="179" w:lineRule="exact"/>
              <w:rPr>
                <w:sz w:val="20"/>
                <w:szCs w:val="20"/>
                <w:color w:val="auto"/>
              </w:rPr>
            </w:pPr>
            <w:r>
              <w:rPr>
                <w:rFonts w:ascii="Times New Roman" w:cs="Times New Roman" w:eastAsia="Times New Roman" w:hAnsi="Times New Roman"/>
                <w:sz w:val="17"/>
                <w:szCs w:val="17"/>
                <w:color w:val="auto"/>
              </w:rPr>
              <w:t>$15,000</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Comp Committee Member</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$7,500</w:t>
            </w:r>
          </w:p>
        </w:tc>
        <w:tc>
          <w:tcPr>
            <w:tcW w:w="2240" w:type="dxa"/>
            <w:vAlign w:val="bottom"/>
          </w:tcPr>
          <w:p>
            <w:pPr>
              <w:spacing w:after="0"/>
              <w:rPr>
                <w:sz w:val="19"/>
                <w:szCs w:val="19"/>
                <w:color w:val="auto"/>
              </w:rPr>
            </w:pPr>
          </w:p>
        </w:tc>
      </w:tr>
      <w:tr>
        <w:trPr>
          <w:trHeight w:val="204"/>
        </w:trPr>
        <w:tc>
          <w:tcPr>
            <w:tcW w:w="228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b w:val="1"/>
                <w:bCs w:val="1"/>
                <w:color w:val="auto"/>
              </w:rPr>
              <w:t>Nom/Gov. or other Committee Chair</w:t>
            </w:r>
          </w:p>
        </w:tc>
        <w:tc>
          <w:tcPr>
            <w:tcW w:w="2240" w:type="dxa"/>
            <w:vAlign w:val="bottom"/>
            <w:tcBorders>
              <w:right w:val="single" w:sz="8" w:color="auto"/>
            </w:tcBorders>
          </w:tcPr>
          <w:p>
            <w:pPr>
              <w:ind w:left="140"/>
              <w:spacing w:after="0" w:line="179" w:lineRule="exact"/>
              <w:rPr>
                <w:sz w:val="20"/>
                <w:szCs w:val="20"/>
                <w:color w:val="auto"/>
              </w:rPr>
            </w:pPr>
            <w:r>
              <w:rPr>
                <w:rFonts w:ascii="Times New Roman" w:cs="Times New Roman" w:eastAsia="Times New Roman" w:hAnsi="Times New Roman"/>
                <w:sz w:val="17"/>
                <w:szCs w:val="17"/>
                <w:color w:val="auto"/>
              </w:rPr>
              <w:t>$7,500</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Nom/Gov. or other Committee Member</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$3,000</w:t>
            </w:r>
          </w:p>
        </w:tc>
        <w:tc>
          <w:tcPr>
            <w:tcW w:w="2240" w:type="dxa"/>
            <w:vAlign w:val="bottom"/>
          </w:tcPr>
          <w:p>
            <w:pPr>
              <w:spacing w:after="0"/>
              <w:rPr>
                <w:sz w:val="19"/>
                <w:szCs w:val="19"/>
                <w:color w:val="auto"/>
              </w:rPr>
            </w:pPr>
          </w:p>
        </w:tc>
      </w:tr>
      <w:tr>
        <w:trPr>
          <w:trHeight w:val="204"/>
        </w:trPr>
        <w:tc>
          <w:tcPr>
            <w:tcW w:w="228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Additional Premium for Board Chair</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$75,000</w:t>
            </w:r>
          </w:p>
        </w:tc>
        <w:tc>
          <w:tcPr>
            <w:tcW w:w="2240" w:type="dxa"/>
            <w:vAlign w:val="bottom"/>
          </w:tcPr>
          <w:p>
            <w:pPr>
              <w:spacing w:after="0"/>
              <w:rPr>
                <w:sz w:val="19"/>
                <w:szCs w:val="19"/>
                <w:color w:val="auto"/>
              </w:rPr>
            </w:pPr>
          </w:p>
        </w:tc>
      </w:tr>
      <w:tr>
        <w:trPr>
          <w:trHeight w:val="183"/>
        </w:trPr>
        <w:tc>
          <w:tcPr>
            <w:tcW w:w="2280" w:type="dxa"/>
            <w:vAlign w:val="bottom"/>
            <w:tcBorders>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228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7"/>
                <w:szCs w:val="17"/>
                <w:b w:val="1"/>
                <w:bCs w:val="1"/>
                <w:color w:val="auto"/>
              </w:rPr>
              <w:t>Stock Ownership Guidelines</w:t>
            </w:r>
          </w:p>
        </w:tc>
        <w:tc>
          <w:tcPr>
            <w:tcW w:w="2240" w:type="dxa"/>
            <w:vAlign w:val="bottom"/>
            <w:tcBorders>
              <w:right w:val="single" w:sz="8" w:color="auto"/>
            </w:tcBorders>
          </w:tcPr>
          <w:p>
            <w:pPr>
              <w:ind w:left="140"/>
              <w:spacing w:after="0" w:line="183" w:lineRule="exact"/>
              <w:rPr>
                <w:sz w:val="20"/>
                <w:szCs w:val="20"/>
                <w:color w:val="auto"/>
              </w:rPr>
            </w:pPr>
            <w:r>
              <w:rPr>
                <w:rFonts w:ascii="Times New Roman" w:cs="Times New Roman" w:eastAsia="Times New Roman" w:hAnsi="Times New Roman"/>
                <w:sz w:val="17"/>
                <w:szCs w:val="17"/>
                <w:color w:val="auto"/>
              </w:rPr>
              <w:t>4x annual cash retainer</w:t>
            </w:r>
          </w:p>
        </w:tc>
        <w:tc>
          <w:tcPr>
            <w:tcW w:w="2240" w:type="dxa"/>
            <w:vAlign w:val="bottom"/>
          </w:tcPr>
          <w:p>
            <w:pPr>
              <w:spacing w:after="0"/>
              <w:rPr>
                <w:sz w:val="15"/>
                <w:szCs w:val="15"/>
                <w:color w:val="auto"/>
              </w:rPr>
            </w:pPr>
          </w:p>
        </w:tc>
      </w:tr>
      <w:tr>
        <w:trPr>
          <w:trHeight w:val="220"/>
        </w:trPr>
        <w:tc>
          <w:tcPr>
            <w:tcW w:w="2280" w:type="dxa"/>
            <w:vAlign w:val="bottom"/>
            <w:tcBorders>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Time to achieve: 5 years</w:t>
            </w:r>
          </w:p>
        </w:tc>
        <w:tc>
          <w:tcPr>
            <w:tcW w:w="2240" w:type="dxa"/>
            <w:vAlign w:val="bottom"/>
          </w:tcPr>
          <w:p>
            <w:pPr>
              <w:spacing w:after="0"/>
              <w:rPr>
                <w:sz w:val="19"/>
                <w:szCs w:val="19"/>
                <w:color w:val="auto"/>
              </w:rPr>
            </w:pPr>
          </w:p>
        </w:tc>
      </w:tr>
      <w:tr>
        <w:trPr>
          <w:trHeight w:val="478"/>
        </w:trPr>
        <w:tc>
          <w:tcPr>
            <w:tcW w:w="2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10.21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RESTRICTED SHARE UNIT GRANT</w:t>
      </w:r>
    </w:p>
    <w:p>
      <w:pPr>
        <w:spacing w:after="0" w:line="203"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17"/>
          <w:szCs w:val="17"/>
          <w:color w:val="auto"/>
        </w:rPr>
        <w:t>You (“</w:t>
      </w:r>
      <w:r>
        <w:rPr>
          <w:rFonts w:ascii="Times New Roman" w:cs="Times New Roman" w:eastAsia="Times New Roman" w:hAnsi="Times New Roman"/>
          <w:sz w:val="17"/>
          <w:szCs w:val="17"/>
          <w:b w:val="1"/>
          <w:bCs w:val="1"/>
          <w:color w:val="auto"/>
        </w:rPr>
        <w:t>Grantee</w:t>
      </w:r>
      <w:r>
        <w:rPr>
          <w:rFonts w:ascii="Times New Roman" w:cs="Times New Roman" w:eastAsia="Times New Roman" w:hAnsi="Times New Roman"/>
          <w:sz w:val="17"/>
          <w:szCs w:val="17"/>
          <w:color w:val="auto"/>
        </w:rPr>
        <w:t>”) have been granted the following Restricted Share Units (the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settled in ordinary shares, of no par value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Taboola.com Ltd., a company incorporated in Israel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pursuant and subject to the terms and conditions of the Company’s 2021 Share Incentive Plan, that is viewable at https://bit.ly/3iS7ovU (as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xml:space="preserve">”), and the additional terms and conditions contained herein. </w:t>
      </w:r>
      <w:r>
        <w:rPr>
          <w:rFonts w:ascii="Times New Roman" w:cs="Times New Roman" w:eastAsia="Times New Roman" w:hAnsi="Times New Roman"/>
          <w:sz w:val="17"/>
          <w:szCs w:val="17"/>
          <w:i w:val="1"/>
          <w:iCs w:val="1"/>
          <w:color w:val="auto"/>
        </w:rPr>
        <w:t>Unless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otherwise defined, capitalized terms used herein shall have the meaning ascribed to them under the Plan.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31115</wp:posOffset>
            </wp:positionV>
            <wp:extent cx="4709160"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4709160" cy="15875"/>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31115</wp:posOffset>
            </wp:positionV>
            <wp:extent cx="470916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4709160" cy="1587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such date being subject to Section 9.4 of the Plan and Section 7.2 of the RSU Award Agreement appended hereto (the “RSU Award Agreement”)</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Intended Type of Award: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Share Units</w:t>
            </w:r>
          </w:p>
        </w:tc>
        <w:tc>
          <w:tcPr>
            <w:tcW w:w="3560" w:type="dxa"/>
            <w:vAlign w:val="bottom"/>
          </w:tcPr>
          <w:p>
            <w:pPr>
              <w:spacing w:after="0"/>
              <w:rPr>
                <w:sz w:val="19"/>
                <w:szCs w:val="19"/>
                <w:color w:val="auto"/>
              </w:rPr>
            </w:pPr>
          </w:p>
        </w:tc>
      </w:tr>
      <w:tr>
        <w:trPr>
          <w:trHeight w:val="278"/>
        </w:trPr>
        <w:tc>
          <w:tcPr>
            <w:tcW w:w="3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7"/>
                <w:szCs w:val="17"/>
                <w:b w:val="1"/>
                <w:bCs w:val="1"/>
                <w:i w:val="1"/>
                <w:iCs w:val="1"/>
                <w:color w:val="auto"/>
              </w:rPr>
              <w:t>check one</w:t>
            </w:r>
            <w:r>
              <w:rPr>
                <w:rFonts w:ascii="Times New Roman" w:cs="Times New Roman" w:eastAsia="Times New Roman" w:hAnsi="Times New Roman"/>
                <w:sz w:val="17"/>
                <w:szCs w:val="17"/>
                <w:b w:val="1"/>
                <w:bCs w:val="1"/>
                <w:color w:val="auto"/>
              </w:rPr>
              <w:t>):</w:t>
            </w:r>
          </w:p>
        </w:tc>
        <w:tc>
          <w:tcPr>
            <w:tcW w:w="660" w:type="dxa"/>
            <w:vAlign w:val="bottom"/>
            <w:tcBorders>
              <w:bottom w:val="single" w:sz="8" w:color="auto"/>
            </w:tcBorders>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7"/>
              </w:rPr>
              <w:t>designated as 102</w:t>
            </w:r>
          </w:p>
        </w:tc>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Gains Track Award (with Trustee) (Israel)</w:t>
            </w:r>
          </w:p>
        </w:tc>
      </w:tr>
      <w:tr>
        <w:trPr>
          <w:trHeight w:val="254"/>
        </w:trPr>
        <w:tc>
          <w:tcPr>
            <w:tcW w:w="38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7"/>
              </w:rPr>
              <w:t>designated as 102</w:t>
            </w:r>
          </w:p>
        </w:tc>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6"/>
              </w:rPr>
              <w:t>Ordinary Income Track Award (with Trustee) (Israel)</w:t>
            </w:r>
          </w:p>
        </w:tc>
      </w:tr>
      <w:tr>
        <w:trPr>
          <w:trHeight w:val="237"/>
        </w:trPr>
        <w:tc>
          <w:tcPr>
            <w:tcW w:w="3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7"/>
              </w:rPr>
              <w:t>designated as 102</w:t>
            </w:r>
          </w:p>
        </w:tc>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Non-Trustee Award (Israel)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7620</wp:posOffset>
            </wp:positionV>
            <wp:extent cx="426720"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426720" cy="15875"/>
                    </a:xfrm>
                    <a:prstGeom prst="rect">
                      <a:avLst/>
                    </a:prstGeom>
                    <a:noFill/>
                  </pic:spPr>
                </pic:pic>
              </a:graphicData>
            </a:graphic>
          </wp:anchor>
        </w:drawing>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designated as 3(9) Award (Israel)</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Non-qualified Award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10160</wp:posOffset>
            </wp:positionV>
            <wp:extent cx="42672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426720" cy="15875"/>
                    </a:xfrm>
                    <a:prstGeom prst="rect">
                      <a:avLst/>
                    </a:prstGeom>
                    <a:noFill/>
                  </pic:spPr>
                </pic:pic>
              </a:graphicData>
            </a:graphic>
          </wp:anchor>
        </w:drawing>
      </w:r>
    </w:p>
    <w:p>
      <w:pPr>
        <w:spacing w:after="0" w:line="4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20955</wp:posOffset>
            </wp:positionV>
            <wp:extent cx="42672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426720" cy="1587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the above being subject to Section 6 of the RSU Award Agreement, Section 17.4 of the Plan and applicable law.</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Number of Shares Underlying Upon Grant of</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10160</wp:posOffset>
            </wp:positionV>
            <wp:extent cx="4709160"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4709160" cy="15875"/>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Restriction (Vesting) Commencement Date </w:t>
      </w:r>
      <w:r>
        <w:rPr>
          <w:rFonts w:ascii="Times New Roman" w:cs="Times New Roman" w:eastAsia="Times New Roman" w:hAnsi="Times New Roman"/>
          <w:sz w:val="17"/>
          <w:szCs w:val="17"/>
          <w:color w:val="auto"/>
        </w:rPr>
        <w:t>(the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Vesting Commencement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10160</wp:posOffset>
            </wp:positionV>
            <wp:extent cx="470916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4709160" cy="15875"/>
                    </a:xfrm>
                    <a:prstGeom prst="rect">
                      <a:avLst/>
                    </a:prstGeom>
                    <a:noFill/>
                  </pic:spPr>
                </pic:pic>
              </a:graphicData>
            </a:graphic>
          </wp:anchor>
        </w:drawing>
      </w:r>
    </w:p>
    <w:p>
      <w:pPr>
        <w:spacing w:after="0" w:line="274" w:lineRule="exact"/>
        <w:rPr>
          <w:sz w:val="20"/>
          <w:szCs w:val="20"/>
          <w:color w:val="auto"/>
        </w:rPr>
      </w:pPr>
    </w:p>
    <w:p>
      <w:pPr>
        <w:ind w:left="3860" w:right="20" w:hanging="3832"/>
        <w:spacing w:after="0" w:line="269" w:lineRule="auto"/>
        <w:tabs>
          <w:tab w:leader="none" w:pos="3840" w:val="left"/>
        </w:tabs>
        <w:rPr>
          <w:sz w:val="20"/>
          <w:szCs w:val="20"/>
          <w:color w:val="auto"/>
        </w:rPr>
      </w:pPr>
      <w:r>
        <w:rPr>
          <w:rFonts w:ascii="Times New Roman" w:cs="Times New Roman" w:eastAsia="Times New Roman" w:hAnsi="Times New Roman"/>
          <w:sz w:val="17"/>
          <w:szCs w:val="17"/>
          <w:b w:val="1"/>
          <w:bCs w:val="1"/>
          <w:color w:val="auto"/>
        </w:rPr>
        <w:t>Period of Restriction (Vesting Schedule):</w:t>
      </w:r>
      <w:r>
        <w:rPr>
          <w:sz w:val="20"/>
          <w:szCs w:val="20"/>
          <w:color w:val="auto"/>
        </w:rPr>
        <w:tab/>
      </w:r>
      <w:r>
        <w:rPr>
          <w:rFonts w:ascii="Times New Roman" w:cs="Times New Roman" w:eastAsia="Times New Roman" w:hAnsi="Times New Roman"/>
          <w:sz w:val="17"/>
          <w:szCs w:val="17"/>
          <w:color w:val="auto"/>
        </w:rPr>
        <w:t>Subject to the terms of the Plan (including Sections 6.6, 6.7 and 6.8 thereof), the RSUs shall vest and convert into Shares under the following schedule: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40" w:type="dxa"/>
            <w:vAlign w:val="bottom"/>
          </w:tcPr>
          <w:p>
            <w:pPr>
              <w:spacing w:after="0"/>
              <w:rPr>
                <w:sz w:val="21"/>
                <w:szCs w:val="21"/>
                <w:color w:val="auto"/>
              </w:rPr>
            </w:pPr>
          </w:p>
        </w:tc>
        <w:tc>
          <w:tcPr>
            <w:tcW w:w="1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2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Amount to vest</w:t>
            </w:r>
          </w:p>
        </w:tc>
        <w:tc>
          <w:tcPr>
            <w:tcW w:w="2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Cumulative Vested</w:t>
            </w:r>
          </w:p>
        </w:tc>
      </w:tr>
      <w:tr>
        <w:trPr>
          <w:trHeight w:val="30"/>
        </w:trPr>
        <w:tc>
          <w:tcPr>
            <w:tcW w:w="384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254"/>
        </w:trPr>
        <w:tc>
          <w:tcPr>
            <w:tcW w:w="3840" w:type="dxa"/>
            <w:vAlign w:val="bottom"/>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r>
      <w:tr>
        <w:trPr>
          <w:trHeight w:val="366"/>
        </w:trPr>
        <w:tc>
          <w:tcPr>
            <w:tcW w:w="3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53" w:name="page154"/>
    <w:bookmarkEnd w:id="153"/>
    <w:p>
      <w:pPr>
        <w:jc w:val="both"/>
        <w:spacing w:after="0" w:line="249" w:lineRule="auto"/>
        <w:rPr>
          <w:sz w:val="20"/>
          <w:szCs w:val="20"/>
          <w:color w:val="auto"/>
        </w:rPr>
      </w:pPr>
      <w:r>
        <w:rPr>
          <w:rFonts w:ascii="Times New Roman" w:cs="Times New Roman" w:eastAsia="Times New Roman" w:hAnsi="Times New Roman"/>
          <w:sz w:val="17"/>
          <w:szCs w:val="17"/>
          <w:color w:val="auto"/>
        </w:rPr>
        <w:t>The RSUs are governed by this Notice and by the provisions of the Plan and the RSU Award Agreement, both of which are made an integral part of this Notice. By signing the RSU Award Agreement, the Grantee (1) acknowledges (i) receipt of the RSU Award Agreement and (ii) that the Plan was made available to the Grantee, (2) represents that the Grantee read and is familiar with their provisions, and (3) accepts the RSUs subject to all of their terms and conditions. Notwithstanding anything to the contrary, the RSUs and the terms hereof supersede, replace and terminate any promise or other right in connection with the share capital of the Company, which Grantee has or may have pursuant to any service, employment or other agreement with the Company or any Affiliate, without, however, affecting any currently outstanding shares of the Company or other Awards, if any, previously issued or granted thereto.</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estricted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hare</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nit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has granted to the Grantee named in the Notice of Restricted Share Units Grant (the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to which this Restricted Share Unit Award Agreement (this “</w:t>
      </w:r>
      <w:r>
        <w:rPr>
          <w:rFonts w:ascii="Times New Roman" w:cs="Times New Roman" w:eastAsia="Times New Roman" w:hAnsi="Times New Roman"/>
          <w:sz w:val="17"/>
          <w:szCs w:val="17"/>
          <w:b w:val="1"/>
          <w:bCs w:val="1"/>
          <w:color w:val="auto"/>
        </w:rPr>
        <w:t>RSU Award Agreement</w:t>
      </w:r>
      <w:r>
        <w:rPr>
          <w:rFonts w:ascii="Times New Roman" w:cs="Times New Roman" w:eastAsia="Times New Roman" w:hAnsi="Times New Roman"/>
          <w:sz w:val="17"/>
          <w:szCs w:val="17"/>
          <w:color w:val="auto"/>
        </w:rPr>
        <w:t>”) is attached Restricted Share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xml:space="preserve">”) upon the terms and conditions set forth in the Notice and this RSU Award Agreement. The RSUs have been granted pursuant to and shall in all respects be subject to the terms and conditions of the Notice, this RSU Award Agreement and the Plan, the provisions of which are incorporated herein by reference and made an integral part of this RSU Award Agreement. </w:t>
      </w:r>
      <w:r>
        <w:rPr>
          <w:rFonts w:ascii="Times New Roman" w:cs="Times New Roman" w:eastAsia="Times New Roman" w:hAnsi="Times New Roman"/>
          <w:sz w:val="17"/>
          <w:szCs w:val="17"/>
          <w:i w:val="1"/>
          <w:iCs w:val="1"/>
          <w:color w:val="auto"/>
        </w:rPr>
        <w:t>Unless otherwise defined, capitalized terms used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herein shall have the meaning ascribed to them under the Plan.</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By signing this Agreement, the Grantee: (a) represents that the Grantee has received copies of, and has read and is familiar with the terms and conditions of, the Notice, the Plan and this RSU Award Agreement, (b) accepts the RSUs and agrees that the RSUs, the Shares issued upon the settlement thereof and/or any securities issued or distributed with respect thereto, are subject to all of the terms and conditions of the Notice, the Plan, this RSU Award Agreement, the Trust Agreement (if applicable), and any other documents ancillary hereto or thereto, and (c) agrees to accept as binding, conclusive and final all decisions and interpretations of the Board or the Committee upon any questions arising under the Notice, the Plan or this RSU Award Agreement (whether before or after the issuance of Shares pursuant to the RSUs). While certain terms and conditions are included in this RSU Award Agreement, such terms and conditions shall not in any way derogate from the applicability of all other terms and conditions set forth in the Plan. The Grantee acknowledges that the terms and conditions of the Plan may be amended from time to time as set forth therein, and therefore, any reference to the Plan shall be deemed to refer to the Plan as amended from time to time, including any amendments adopted after the Date of Grant. Further, the Grantee is aware that the Company may in the future issue additional Shares and grant additional Awards to various entities and individuals, as the Company in its sole discretion shall determine. Unless otherwise stated, in the event of any inconsistency or contradiction between any of the terms of this RSU Award Agreement and the provisions of the Plan, the terms and provisions of this RSU Award Agreement shall prevail.</w:t>
      </w:r>
    </w:p>
    <w:p>
      <w:pPr>
        <w:spacing w:after="0" w:line="181" w:lineRule="exact"/>
        <w:rPr>
          <w:sz w:val="20"/>
          <w:szCs w:val="20"/>
          <w:color w:val="auto"/>
        </w:rPr>
      </w:pPr>
    </w:p>
    <w:p>
      <w:pPr>
        <w:jc w:val="both"/>
        <w:spacing w:after="0" w:line="259" w:lineRule="auto"/>
        <w:tabs>
          <w:tab w:leader="none" w:pos="60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Disposition of RSUs</w:t>
      </w:r>
      <w:r>
        <w:rPr>
          <w:rFonts w:ascii="Times New Roman" w:cs="Times New Roman" w:eastAsia="Times New Roman" w:hAnsi="Times New Roman"/>
          <w:sz w:val="17"/>
          <w:szCs w:val="17"/>
          <w:color w:val="auto"/>
        </w:rPr>
        <w:t>. The RSUs shall not be pledged or otherwise transferred (whether by operation of law or otherwise), and shall not be subject to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execution, attachment, levy or similar process, other than by will or by the laws of descent and distribution, unless otherwise determined by the Committee or under the Plan.</w:t>
      </w:r>
    </w:p>
    <w:p>
      <w:pPr>
        <w:spacing w:after="0" w:line="163"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Issuance and Disposition of RSUs and Shares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587"/>
        <w:spacing w:after="0" w:line="24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Legal Compliance</w:t>
      </w:r>
      <w:r>
        <w:rPr>
          <w:rFonts w:ascii="Times New Roman" w:cs="Times New Roman" w:eastAsia="Times New Roman" w:hAnsi="Times New Roman"/>
          <w:sz w:val="17"/>
          <w:szCs w:val="17"/>
          <w:color w:val="auto"/>
        </w:rPr>
        <w:t>. The grant of RSUs and the issuance of Shares upon settlement of RSUs shall be subject to compliance with all Applicable Laws as determined by the Company or the Committee, including, applicable requirements of federal, state and foreign law with respect to such securities. The Company shall have no obligations to issue Shares pursuant to the settlement of an RSU and RSUs may not be settled, if the issuance of Shares upon settlement would constitute a violation of any Applicable Laws as determined by the Company, including, applicable federal, state or foreign securities laws or other law or regulations or the requirements of the Nasdaq Global Select Market or any stock exchange or market system on which the Shares may then be listed. In addition, no RSUs may be settled unless (i) a registration statement under the Securities Act or equivalent laws of other applicable jurisdictions shall at the time of settlement of the RSUs be in effect with respect to the shares issuable upon settlement of the RSUs, or (ii) in the opinion of legal counsel to the Company, the shares issuable upon settlement of the RSUs may be issued in accordance with the terms of an applicable exemption from the registration requirements of the Securities Act or equivalent laws of other applicable jurisdictions.</w:t>
      </w:r>
    </w:p>
    <w:p>
      <w:pPr>
        <w:spacing w:after="0" w:line="180" w:lineRule="exact"/>
        <w:rPr>
          <w:sz w:val="20"/>
          <w:szCs w:val="20"/>
          <w:color w:val="auto"/>
        </w:rPr>
      </w:pPr>
    </w:p>
    <w:p>
      <w:pPr>
        <w:jc w:val="both"/>
        <w:ind w:firstLine="587"/>
        <w:spacing w:after="0" w:line="247"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Provisions Governing Shares</w:t>
      </w:r>
      <w:r>
        <w:rPr>
          <w:rFonts w:ascii="Times New Roman" w:cs="Times New Roman" w:eastAsia="Times New Roman" w:hAnsi="Times New Roman"/>
          <w:sz w:val="17"/>
          <w:szCs w:val="17"/>
          <w:color w:val="auto"/>
        </w:rPr>
        <w:t>. Shares issued upon settlement of RSUs shall be subject to the restrictions referred to in Section 16 of the Plan (Conditions upon Issuance of Shares; Governing Provisions) and in this RSU Award Agreement, the Articles of Association of the Company, any other governing documents of the Company, and all policies, manuals and internal regulations adopted by the Company from time to time, in each case, as may be amended from time to time, including, without limitation, any provisions included therein concerning restrictions or limitations on disposition of Shares (such as, but not limited to, lock-up/market stand-off), any provisions concerning restrictions on the use of inside information and other provisions deemed by the Company to be appropriate in order to ensure compliance with Applicable Laws and with the requirements of any transaction entered into or proposed to be entered into by the Company. The Grantee shall execute (and authorizes any person designated by the Company to so execute, as well as (if applicable) the Trustee holding any Shares for the Grantee’s behalf), such separate agreement(s) as may be requested by the Company relating to matters set forth in or otherwise for the purpose of implementing this Section 2.2. The execution of such separate agreement(s) may be a condition by the Company to the settlement of any Award and the Company (and, if applicable, the Trustee) may exercise its authorization above and sign such agreement on behalf of the Grantee or subject the Grantee to the provisions of such agreements.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5" w:name="page156"/>
    <w:bookmarkEnd w:id="155"/>
    <w:p>
      <w:pPr>
        <w:jc w:val="both"/>
        <w:ind w:firstLine="587"/>
        <w:spacing w:after="0" w:line="24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Additional or Substituted Securities</w:t>
      </w:r>
      <w:r>
        <w:rPr>
          <w:rFonts w:ascii="Times New Roman" w:cs="Times New Roman" w:eastAsia="Times New Roman" w:hAnsi="Times New Roman"/>
          <w:sz w:val="17"/>
          <w:szCs w:val="17"/>
          <w:color w:val="auto"/>
        </w:rPr>
        <w:t>. In the event that in connection with the declaration of a share dividend (bonus shares), a share split, a reverse share split, a reorganization (which may include a combination or exchange of shares), a consolidation, a spin-off or other corporate divestiture or division, a recapitalization, a reclassification or other similar occurrence affecting the Company’s outstanding securities without receipt of consideration, any new, substituted or additional securities or other property (other than cash dividend) are distributed by reason of such occurrence with respect to any Shares which are subject to this Section 2, or into which such Shares thereby become convertible, then such substituted or additional securities or other property (if distributed) shall immediately be subject to this Section 2. Any adjustments to reflect the distribution of such securities or other property shall be conclusively determined by the Company. The terms and conditions contained herein and in the Plan in respect of the RSUs and/or the Shares shall apply to any new, substituted or additional securities or other property resulting from the above adjustments.</w:t>
      </w:r>
    </w:p>
    <w:p>
      <w:pPr>
        <w:spacing w:after="0" w:line="182"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u w:val="single" w:color="auto"/>
          <w:color w:val="auto"/>
        </w:rPr>
        <w:t>Merger/Sale</w:t>
      </w:r>
      <w:r>
        <w:rPr>
          <w:rFonts w:ascii="Times New Roman" w:cs="Times New Roman" w:eastAsia="Times New Roman" w:hAnsi="Times New Roman"/>
          <w:sz w:val="16"/>
          <w:szCs w:val="16"/>
          <w:color w:val="auto"/>
        </w:rPr>
        <w:t>. In the event of a Merger/Sale, the provisions of Section 14.2 of the Plan shall apply.</w:t>
      </w:r>
    </w:p>
    <w:p>
      <w:pPr>
        <w:spacing w:after="0" w:line="203" w:lineRule="exact"/>
        <w:rPr>
          <w:sz w:val="20"/>
          <w:szCs w:val="20"/>
          <w:color w:val="auto"/>
        </w:rPr>
      </w:pPr>
    </w:p>
    <w:p>
      <w:pPr>
        <w:jc w:val="both"/>
        <w:ind w:firstLine="587"/>
        <w:spacing w:after="0" w:line="246"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Data Privacy; Data Transfer</w:t>
      </w:r>
      <w:r>
        <w:rPr>
          <w:rFonts w:ascii="Times New Roman" w:cs="Times New Roman" w:eastAsia="Times New Roman" w:hAnsi="Times New Roman"/>
          <w:sz w:val="17"/>
          <w:szCs w:val="17"/>
          <w:color w:val="auto"/>
        </w:rPr>
        <w:t>. Information related to the Grantee and Award(s) hereunder, as shall be received from Grantee or others, and/or held by, the Company or its Affiliates from time to time, and which information may include sensitive and personal information related to the Grantee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will be used by the Company or its Affiliates (or third parties appointed by any of them, including the Trustee) to comply with any applicable legal requirement, or for administration of the Plan as they deems necessary or advisable, or for the respective business purposes of the Company or its Affiliates (including in connection with transactions related to any of them). The Company and its Affiliates shall be entitled to transfer the Information among the Company or its Affiliates and to third parties for the purposes set forth above, which may include persons located abroad (including, any person administering the Plan or providing services in respect of the Plan or in order to comply with legal requirements, or the Trustee, their respective officers, directors, employees and representatives, and the respective successors and assigns of any of the foregoing), and any person so receiving Information shall be entitled to transfer it for the purposes set forth above. The Company shall use commercially reasonable efforts to ensure that the transfer of such Information shall be limited to the reasonable and necessary scope. By receiving an Award hereunder, Grantee acknowledges and agrees that the Information is provided at Grantee’s free will and that Grantee hereby consents to the storage and transfer of the Information as set forth above.</w:t>
      </w:r>
    </w:p>
    <w:p>
      <w:pPr>
        <w:spacing w:after="0" w:line="181" w:lineRule="exact"/>
        <w:rPr>
          <w:sz w:val="20"/>
          <w:szCs w:val="20"/>
          <w:color w:val="auto"/>
        </w:rPr>
      </w:pPr>
    </w:p>
    <w:p>
      <w:pPr>
        <w:ind w:left="540" w:hanging="540"/>
        <w:spacing w:after="0"/>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 of Restricted Share Units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587"/>
        <w:spacing w:after="0" w:line="24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Settlement of Restricted Share Units</w:t>
      </w:r>
      <w:r>
        <w:rPr>
          <w:rFonts w:ascii="Times New Roman" w:cs="Times New Roman" w:eastAsia="Times New Roman" w:hAnsi="Times New Roman"/>
          <w:sz w:val="17"/>
          <w:szCs w:val="17"/>
          <w:color w:val="auto"/>
        </w:rPr>
        <w:t>. The Company shall cause to be delivered to the Grantee, the full number of Shares underlying the RSUs as to which such portion of the Period of Restriction has so lapsed, subject to satisfaction of applicable withholding obligations with respect thereto pursuant to Section 6 and Section 17 of the Plan, as soon as reasonably practicable following the lapse of the applicable portion of the Period of Restriction under Section 3.2 hereof, but in no event later than the earlier to occur of: (i) the last day of the calendar quarter in which the date of such lapse of Period of Restrictions occurs; (ii) immediately prior to an event giving rise to a right conferred upon by such Shares (such as, dividend); (iii) as soon as reasonably practicable following the Grantee’s written request; or (iv) a date determined by the Company.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any other provision of this RSU Award Agreement to the contrary, the Committee may provide that any Shares issued in settlement of the RSUs shall be held and/or evidenced in such manner as the Committee may, in its discretion, determine, including, without limitation, by issuing the Shares to a Trustee which shall hold such Shares for the benefit of the Grantee.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6" w:name="page157"/>
    <w:bookmarkEnd w:id="156"/>
    <w:p>
      <w:pPr>
        <w:jc w:val="both"/>
        <w:spacing w:after="0" w:line="301" w:lineRule="auto"/>
        <w:rPr>
          <w:sz w:val="20"/>
          <w:szCs w:val="20"/>
          <w:color w:val="auto"/>
        </w:rPr>
      </w:pPr>
      <w:r>
        <w:rPr>
          <w:rFonts w:ascii="Times New Roman" w:cs="Times New Roman" w:eastAsia="Times New Roman" w:hAnsi="Times New Roman"/>
          <w:sz w:val="16"/>
          <w:szCs w:val="16"/>
          <w:color w:val="auto"/>
        </w:rPr>
        <w:t>Upon settlement of the RSUs as provided above, the Company is hereby authorized by itself or any party acting on its behalf to deduct from the portion of the Shares underlying the RSUs with respect to which the Period of Restriction has so lapsed applicable tax or other compulsory payments from any amount due to the Grantee.</w:t>
      </w:r>
    </w:p>
    <w:p>
      <w:pPr>
        <w:spacing w:after="0" w:line="136" w:lineRule="exact"/>
        <w:rPr>
          <w:sz w:val="20"/>
          <w:szCs w:val="20"/>
          <w:color w:val="auto"/>
        </w:rPr>
      </w:pPr>
    </w:p>
    <w:p>
      <w:pPr>
        <w:jc w:val="both"/>
        <w:ind w:firstLine="587"/>
        <w:spacing w:after="0" w:line="25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Period of Restriction</w:t>
      </w:r>
      <w:r>
        <w:rPr>
          <w:rFonts w:ascii="Times New Roman" w:cs="Times New Roman" w:eastAsia="Times New Roman" w:hAnsi="Times New Roman"/>
          <w:sz w:val="17"/>
          <w:szCs w:val="17"/>
          <w:color w:val="auto"/>
        </w:rPr>
        <w:t>. The Period of Restriction (the vesting schedule) with respect to the RSUs shall be as set forth in the Notice. Subject to the terms of the Plan, all RSUs for which the Period of Restriction had not lapsed prior to the date of the Grantee’s Termination (for any reason) shall be immediately forfeited and terminated.</w:t>
      </w:r>
    </w:p>
    <w:p>
      <w:pPr>
        <w:spacing w:after="0" w:line="167" w:lineRule="exact"/>
        <w:rPr>
          <w:sz w:val="20"/>
          <w:szCs w:val="20"/>
          <w:color w:val="auto"/>
        </w:rPr>
      </w:pPr>
    </w:p>
    <w:p>
      <w:pPr>
        <w:jc w:val="both"/>
        <w:spacing w:after="0" w:line="254" w:lineRule="auto"/>
        <w:tabs>
          <w:tab w:leader="none" w:pos="60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w:t>
      </w:r>
      <w:r>
        <w:rPr>
          <w:rFonts w:ascii="Times New Roman" w:cs="Times New Roman" w:eastAsia="Times New Roman" w:hAnsi="Times New Roman"/>
          <w:sz w:val="17"/>
          <w:szCs w:val="17"/>
          <w:color w:val="auto"/>
        </w:rPr>
        <w:t>. The Company may at any time place legends referencing the restriction imposed on the Shares and any applicable federal, state or foreign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 restrictions on all certificates representing Shares subject to the provisions of this RSU Award Agreement. The Grantee shall, at the request of the Company, promptly present to the Company any and all certificates representing Shares acquired pursuant to RSUs in the possession of the Grantee in order to carry out the provisions of this Section.</w:t>
      </w:r>
    </w:p>
    <w:p>
      <w:pPr>
        <w:spacing w:after="0" w:line="167"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 and Expiration</w:t>
      </w:r>
      <w:r>
        <w:rPr>
          <w:rFonts w:ascii="Times New Roman" w:cs="Times New Roman" w:eastAsia="Times New Roman" w:hAnsi="Times New Roman"/>
          <w:sz w:val="17"/>
          <w:szCs w:val="17"/>
          <w:color w:val="auto"/>
        </w:rPr>
        <w:t>. The RSUs shall expire in accordance with the Plan, including in case the Grantee’s employment or service terminates for any reason.</w:t>
      </w:r>
    </w:p>
    <w:p>
      <w:pPr>
        <w:spacing w:after="0" w:line="202"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Matters and Consultation</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587"/>
        <w:spacing w:after="0" w:line="246" w:lineRule="auto"/>
        <w:rPr>
          <w:sz w:val="20"/>
          <w:szCs w:val="20"/>
          <w:color w:val="auto"/>
        </w:rPr>
      </w:pPr>
      <w:r>
        <w:rPr>
          <w:rFonts w:ascii="Times New Roman" w:cs="Times New Roman" w:eastAsia="Times New Roman" w:hAnsi="Times New Roman"/>
          <w:sz w:val="17"/>
          <w:szCs w:val="17"/>
          <w:color w:val="auto"/>
        </w:rPr>
        <w:t>6.1. THE GRANTEE IS ADVISED TO CONSULT WITH A TAX ADVISOR WITH RESPECT TO THE TAX CONSEQUENCES OF RECEIVING OR DISPOSING OR SELLING SHARES ISSUED UPON SETTLEMENT HEREUNDER. THE COMPANY DOES NOT ASSUME ANY RESPONSIBILITY TO ADVISE THE GRANTEE ON SUCH MATTERS, WHICH SHALL REMAIN SOLELY THE RESPONSIBILITY OF THE GRANTEE. Without derogating from Section 17 of the Plan, and notwithstanding anything to the contrary, including the indication under “Intended Type of Award” above, the Company does not undertake, and shall be under no duty to ensure, and no representation or commitment is made, that the RSUs qualifies or will qualify under, or that the Grantee will benefit from, any particular tax treatment (such as Section 102 or any other treatment), nor shall the Company be required to take any action for the qualification of any RSUs under such tax treatment and no indication in any document to the effect that any Award is intended to qualify for any tax treatment shall imply such an undertaking or representation. If the RSUs do not qualify under any particular tax treatment it could result in adverse tax consequences to the Grantee. By signing below, Grantee agrees that the Company and its Affiliates and the Trustee, as applicable, and their respective employees, directors, officers and shareholders shall not be liable for any tax, penalty, interest or cost incurred by Grantee as a result of such determination, nor will any of them have any liability of any kind or nature in the event that, for any reason whatsoever, if RSUs do not qualify for any particular tax treatment.</w:t>
      </w:r>
    </w:p>
    <w:p>
      <w:pPr>
        <w:spacing w:after="0" w:line="185" w:lineRule="exact"/>
        <w:rPr>
          <w:sz w:val="20"/>
          <w:szCs w:val="20"/>
          <w:color w:val="auto"/>
        </w:rPr>
      </w:pPr>
    </w:p>
    <w:p>
      <w:pPr>
        <w:jc w:val="both"/>
        <w:ind w:firstLine="587"/>
        <w:spacing w:after="0" w:line="246" w:lineRule="auto"/>
        <w:rPr>
          <w:sz w:val="20"/>
          <w:szCs w:val="20"/>
          <w:color w:val="auto"/>
        </w:rPr>
      </w:pPr>
      <w:r>
        <w:rPr>
          <w:rFonts w:ascii="Times New Roman" w:cs="Times New Roman" w:eastAsia="Times New Roman" w:hAnsi="Times New Roman"/>
          <w:sz w:val="17"/>
          <w:szCs w:val="17"/>
          <w:color w:val="auto"/>
        </w:rPr>
        <w:t>6.2. Without limiting the foregoing, upon settlement of the RSUs, or as of any other date on which the value of any RSUs otherwise becomes includible in the Grantee’s gross income for tax purposes, social security or other compulsory payment purposes, the Grantee shall pay to the Company or its Affiliate in cash, or make other arrangements satisfactory to the Committee for the satisfaction of, any taxes of any kind and social security payments payable or required by law to be withheld with respect to such RSUs; provided, however, that pursuant to any procedures, and subject to any limitations, as the Committee may prescribe, and subject to applicable law, the Company may, in its discretion, cause such withholding obligations to be satisfied in whole or in part by withholding Shares or cash otherwise deliverable or payable to the Grantee pursuant to this RSU Award Agreement in accordance with Section 17 of the Plan. The Company or an Affiliate may, in the discretion of the Committee, provide for alternative arrangements to satisfy applicable tax or other compulsory payment withholding or deduction requirements in accordance with Section 17 of the Plan. Regardless of any action the Company or any Affiliate takes with respect to any or all tax or other compulsory payment withholding or deduction (including any social security contributions) obligations, the Grantee acknowledges that the ultimate liability for all such taxes is and remains the Grantee’s responsibility, and that the Company does not: (i) make any representations or undertakings regarding the treatment of any tax withholding in connection with any aspect of the RSUs, including the grant or vesting thereof, the subsequent sale of Shares and the receipt of any dividends; or (ii) commit to structure the terms of the RSUs or any aspect of the RSUs to reduce or eliminate the Grantee’s liability for such tax.</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7" w:name="page158"/>
    <w:bookmarkEnd w:id="157"/>
    <w:p>
      <w:pPr>
        <w:jc w:val="both"/>
        <w:ind w:firstLine="587"/>
        <w:spacing w:after="0" w:line="256" w:lineRule="auto"/>
        <w:rPr>
          <w:sz w:val="20"/>
          <w:szCs w:val="20"/>
          <w:color w:val="auto"/>
        </w:rPr>
      </w:pPr>
      <w:r>
        <w:rPr>
          <w:rFonts w:ascii="Times New Roman" w:cs="Times New Roman" w:eastAsia="Times New Roman" w:hAnsi="Times New Roman"/>
          <w:sz w:val="17"/>
          <w:szCs w:val="17"/>
          <w:color w:val="auto"/>
        </w:rPr>
        <w:t>6.3. The Grantee hereby irrevocably appoints the Company or its designee as such grantee’s agent to sell such number of Shares received upon such vesting (at such price as may be obtained by the Company) as are necessary to cover such taxes (after deducting any commissions on such sale). It is understood that this agreement is an instruction entered into in compliance with Rule 10b5-1 under the Securities Exchange Act of 1934, as amended.</w:t>
      </w:r>
    </w:p>
    <w:p>
      <w:pPr>
        <w:spacing w:after="0" w:line="167" w:lineRule="exact"/>
        <w:rPr>
          <w:sz w:val="20"/>
          <w:szCs w:val="20"/>
          <w:color w:val="auto"/>
        </w:rPr>
      </w:pPr>
    </w:p>
    <w:p>
      <w:pPr>
        <w:ind w:left="540" w:hanging="540"/>
        <w:spacing w:after="0"/>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Section 102 Awards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587"/>
        <w:spacing w:after="0" w:line="25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Eligibility for Awards</w:t>
      </w:r>
      <w:r>
        <w:rPr>
          <w:rFonts w:ascii="Times New Roman" w:cs="Times New Roman" w:eastAsia="Times New Roman" w:hAnsi="Times New Roman"/>
          <w:sz w:val="17"/>
          <w:szCs w:val="17"/>
          <w:color w:val="auto"/>
        </w:rPr>
        <w:t>. Subject to Applicable Law, 102 Awards may only be granted to an “employee” within the meaning of Section 102(a) of the Ordinance (which as of the date hereof means (i) individuals employed by an Israeli company being the Company or any of its Affiliates, and (ii) individuals who are serving and are engaged personally (and not through an entity) as “office holders” by such an Israeli company), but may not be granted to a Controlling Shareholder (“</w:t>
      </w:r>
      <w:r>
        <w:rPr>
          <w:rFonts w:ascii="Times New Roman" w:cs="Times New Roman" w:eastAsia="Times New Roman" w:hAnsi="Times New Roman"/>
          <w:sz w:val="17"/>
          <w:szCs w:val="17"/>
          <w:b w:val="1"/>
          <w:bCs w:val="1"/>
          <w:color w:val="auto"/>
        </w:rPr>
        <w:t>Eligible 102 Grantees</w:t>
      </w:r>
      <w:r>
        <w:rPr>
          <w:rFonts w:ascii="Times New Roman" w:cs="Times New Roman" w:eastAsia="Times New Roman" w:hAnsi="Times New Roman"/>
          <w:sz w:val="17"/>
          <w:szCs w:val="17"/>
          <w:color w:val="auto"/>
        </w:rPr>
        <w:t>”). Eligible 102 Grantees may receive only 102 Awards, which may either be granted to a Trustee or granted under Section 102 of the Ordinance without a Trustee.</w:t>
      </w:r>
    </w:p>
    <w:p>
      <w:pPr>
        <w:spacing w:after="0" w:line="176"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6"/>
          <w:szCs w:val="16"/>
          <w:u w:val="single" w:color="auto"/>
          <w:color w:val="auto"/>
        </w:rPr>
        <w:t>102 Award Grant Date.</w:t>
      </w:r>
    </w:p>
    <w:p>
      <w:pPr>
        <w:spacing w:after="0" w:line="203"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color w:val="auto"/>
        </w:rPr>
        <w:t>7.2.1. Each 102 Award will be deemed granted on the date determined by the Committee, subject to Section 10.2.2, provided that (i) the Grantee has signed all documents required by the Company or pursuant to Applicable Law, and (ii) with respect to 102 Trustee Awards, the Company has provided all applicable documents to the Trustee in accordance with the guidelines published by the ITA, and if this RSU Award Agreement is not signed and delivered by the Grantee within 90 days from the date determined by the Committee (subject to Section 10.2.2), then such 102 Trustee Award shall be deemed granted on such later date as this RSU Award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the Notice or in any corporate resolution or any agreement.</w:t>
      </w:r>
    </w:p>
    <w:p>
      <w:pPr>
        <w:spacing w:after="0" w:line="179"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color w:val="auto"/>
        </w:rPr>
        <w:t>7.2.2.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this RSU Award Agreement and any agreement evidencing such grants (whether or not explicitly referring to such condition), and the date of grant shall be at the expiration of such 30-day period, whether or not the date of grant indicated therein corresponds with this Section 10.2. In the case of any contradiction, this provision and the date of grant determined pursuant hereto shall supersede and be deemed to amend any date of grant indicated in the Notice or in any corporate resolution or any agreement.</w:t>
      </w:r>
    </w:p>
    <w:p>
      <w:pPr>
        <w:spacing w:after="0" w:line="179" w:lineRule="exact"/>
        <w:rPr>
          <w:sz w:val="20"/>
          <w:szCs w:val="20"/>
          <w:color w:val="auto"/>
        </w:rPr>
      </w:pPr>
    </w:p>
    <w:p>
      <w:pPr>
        <w:jc w:val="both"/>
        <w:ind w:firstLine="587"/>
        <w:spacing w:after="0" w:line="249" w:lineRule="auto"/>
        <w:rPr>
          <w:sz w:val="20"/>
          <w:szCs w:val="20"/>
          <w:color w:val="auto"/>
        </w:rPr>
      </w:pPr>
      <w:r>
        <w:rPr>
          <w:rFonts w:ascii="Times New Roman" w:cs="Times New Roman" w:eastAsia="Times New Roman" w:hAnsi="Times New Roman"/>
          <w:sz w:val="17"/>
          <w:szCs w:val="17"/>
          <w:color w:val="auto"/>
        </w:rPr>
        <w:t>7.3. To the extent and with respect to 102 Trustee Awards, the Grantee acknowledges, undertakes and confirms that: (i) the Grantee fully understand that Section 102 Ordinance and the rules and regulations enacted thereunder apply to the RSUs, and (ii) the Grantee understands the provisions of Section 102 of the Ordinance, the tax track chosen thereunder and the implications thereof. If applicable, the terms of such RSUs shall also be subject to the terms of the Trust Agreement made between the Company and the Trustee for the benefit of the Grantee, and the Grantee shall sign all documents requested by the Company or the Trustee, in accordance with and under the trust agreement. A copy of the trust agreement is available for the Grantee’s review, during normal working hours, at the Company’s offices.</w:t>
      </w:r>
    </w:p>
    <w:p>
      <w:pPr>
        <w:spacing w:after="0" w:line="177" w:lineRule="exact"/>
        <w:rPr>
          <w:sz w:val="20"/>
          <w:szCs w:val="20"/>
          <w:color w:val="auto"/>
        </w:rPr>
      </w:pPr>
    </w:p>
    <w:p>
      <w:pPr>
        <w:jc w:val="both"/>
        <w:ind w:firstLine="587"/>
        <w:spacing w:after="0" w:line="256" w:lineRule="auto"/>
        <w:rPr>
          <w:sz w:val="20"/>
          <w:szCs w:val="20"/>
          <w:color w:val="auto"/>
        </w:rPr>
      </w:pPr>
      <w:r>
        <w:rPr>
          <w:rFonts w:ascii="Times New Roman" w:cs="Times New Roman" w:eastAsia="Times New Roman" w:hAnsi="Times New Roman"/>
          <w:sz w:val="17"/>
          <w:szCs w:val="17"/>
          <w:color w:val="auto"/>
        </w:rPr>
        <w:t>7.4. Without derogating from the generality of the foregoing, to the extent and with respect to any RSUs that are 102 Capital Gain Track Awards, and as required by Section 102 of the Ordinance and the Rules, the Grantee acknowledges, undertakes and confirms in writing the following (which shall be apply and relate to all Awards granted to the Grantee, whether under this Plan or other plans maintained by the Company, and whether prior to or after the date hereof, if any):</w:t>
      </w:r>
    </w:p>
    <w:p>
      <w:pPr>
        <w:spacing w:after="0" w:line="171" w:lineRule="exact"/>
        <w:rPr>
          <w:sz w:val="20"/>
          <w:szCs w:val="20"/>
          <w:color w:val="auto"/>
        </w:rPr>
      </w:pPr>
    </w:p>
    <w:p>
      <w:pPr>
        <w:jc w:val="both"/>
        <w:ind w:firstLine="1195"/>
        <w:spacing w:after="0" w:line="269" w:lineRule="auto"/>
        <w:rPr>
          <w:sz w:val="20"/>
          <w:szCs w:val="20"/>
          <w:color w:val="auto"/>
        </w:rPr>
      </w:pPr>
      <w:r>
        <w:rPr>
          <w:rFonts w:ascii="Times New Roman" w:cs="Times New Roman" w:eastAsia="Times New Roman" w:hAnsi="Times New Roman"/>
          <w:sz w:val="17"/>
          <w:szCs w:val="17"/>
          <w:color w:val="auto"/>
        </w:rPr>
        <w:t>7.4.1. The Grantee shall comply with all terms and conditions set forth in Section 102 of the Ordinance with regard to the “Capital Gain Track” and the applicable rules and regulations promulgated thereunder, as amended from time to time;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8" w:name="page159"/>
    <w:bookmarkEnd w:id="158"/>
    <w:p>
      <w:pPr>
        <w:jc w:val="both"/>
        <w:ind w:firstLine="1195"/>
        <w:spacing w:after="0" w:line="249" w:lineRule="auto"/>
        <w:rPr>
          <w:sz w:val="20"/>
          <w:szCs w:val="20"/>
          <w:color w:val="auto"/>
        </w:rPr>
      </w:pPr>
      <w:r>
        <w:rPr>
          <w:rFonts w:ascii="Times New Roman" w:cs="Times New Roman" w:eastAsia="Times New Roman" w:hAnsi="Times New Roman"/>
          <w:sz w:val="17"/>
          <w:szCs w:val="17"/>
          <w:color w:val="auto"/>
        </w:rPr>
        <w:t>7.4.2. The Grantee is familiar with, and understands the provisions of, Section 102 of the Ordinance in general, and the tax arrangement under the “Capital Gain Track” in particular, and its tax consequences; the Grantee agrees that the RSUs and Shares that may be issued upon settlement thereof (or otherwise in relation thereto), will be held by a trustee appointed pursuant to Section 102 of the Ordinance for at least the duration of the Holding Period, as defined in Section 102 under the “Capital Gain Track”. The Grantee understands that any release of such RSUs or Shares from trust, or any sale of the Share prior to the termination of the Holding Period, will result in taxation at marginal tax rate, in addition to deductions of appropriate social security, health tax contributions or other compulsory payments; and</w:t>
      </w:r>
    </w:p>
    <w:p>
      <w:pPr>
        <w:spacing w:after="0" w:line="177" w:lineRule="exact"/>
        <w:rPr>
          <w:sz w:val="20"/>
          <w:szCs w:val="20"/>
          <w:color w:val="auto"/>
        </w:rPr>
      </w:pPr>
    </w:p>
    <w:p>
      <w:pPr>
        <w:jc w:val="both"/>
        <w:ind w:firstLine="1195"/>
        <w:spacing w:after="0" w:line="269" w:lineRule="auto"/>
        <w:rPr>
          <w:sz w:val="20"/>
          <w:szCs w:val="20"/>
          <w:color w:val="auto"/>
        </w:rPr>
      </w:pPr>
      <w:r>
        <w:rPr>
          <w:rFonts w:ascii="Times New Roman" w:cs="Times New Roman" w:eastAsia="Times New Roman" w:hAnsi="Times New Roman"/>
          <w:sz w:val="17"/>
          <w:szCs w:val="17"/>
          <w:color w:val="auto"/>
        </w:rPr>
        <w:t>7.4.3. The Grantee agrees to the trust agreement signed between the Company and the trustee appointed pursuant to Section 102 of the Ordinance and shall sign all documents requested by the Company or the Trustee, in accordance with and under the trust agreement.</w:t>
      </w:r>
    </w:p>
    <w:p>
      <w:pPr>
        <w:spacing w:after="0" w:line="155" w:lineRule="exact"/>
        <w:rPr>
          <w:sz w:val="20"/>
          <w:szCs w:val="20"/>
          <w:color w:val="auto"/>
        </w:rPr>
      </w:pPr>
    </w:p>
    <w:p>
      <w:pPr>
        <w:jc w:val="both"/>
        <w:spacing w:after="0" w:line="254" w:lineRule="auto"/>
        <w:tabs>
          <w:tab w:leader="none" w:pos="57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Amendment</w:t>
      </w:r>
      <w:r>
        <w:rPr>
          <w:rFonts w:ascii="Times New Roman" w:cs="Times New Roman" w:eastAsia="Times New Roman" w:hAnsi="Times New Roman"/>
          <w:sz w:val="17"/>
          <w:szCs w:val="17"/>
          <w:color w:val="auto"/>
        </w:rPr>
        <w:t>. The Board may terminate or amend the Plan or the RSUs at any time, subject to the Plan and any such amendment shall apply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Grantee and this RSU Award Agreement (including the Shares issuable or issued pursuant thereto), without any required consent of the Grantee. In addition, the terms contained herein may be amended or terminated in the exercise of powers and authorities under the Plan or implementation of its provisions. Except as set forth above and without derogating therefrom, this RSU Award Agreement shall not be amended without the consent of the parties hereto.</w:t>
      </w:r>
    </w:p>
    <w:p>
      <w:pPr>
        <w:spacing w:after="0" w:line="167"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No Disclosure</w:t>
      </w:r>
      <w:r>
        <w:rPr>
          <w:rFonts w:ascii="Times New Roman" w:cs="Times New Roman" w:eastAsia="Times New Roman" w:hAnsi="Times New Roman"/>
          <w:sz w:val="17"/>
          <w:szCs w:val="17"/>
          <w:color w:val="auto"/>
        </w:rPr>
        <w:t>. Subject to applicable law, this RSU Award Agreement is confidential information of the Company and may not be disclosed by Grantee to any person, other than (if applicable) the Trustee or as may otherwise be reasonably required in accordance with applicable law.</w:t>
      </w:r>
    </w:p>
    <w:p>
      <w:pPr>
        <w:spacing w:after="0" w:line="159"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No Retention or Employment Rights</w:t>
      </w:r>
      <w:r>
        <w:rPr>
          <w:rFonts w:ascii="Times New Roman" w:cs="Times New Roman" w:eastAsia="Times New Roman" w:hAnsi="Times New Roman"/>
          <w:sz w:val="17"/>
          <w:szCs w:val="17"/>
          <w:color w:val="auto"/>
        </w:rPr>
        <w:t>. Nothing in the Plan or this RSU Award Agreement confers upon any Grantee the right to be (or be treated as) an employee of, or continue in the employ of, or be in the service of the Company or any Affiliate thereof as a Service Provider or to be entitled to any remuneration or benefits not set forth in this RSU Award Agreement, or to interfere with or limit in any way the right of the Company or any such Affiliate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RSUs granted under this RSU Award Agreement shall not be affected by any change in duties or position of a Grantee, subject to Section 6 of the Plan. No Grantee shall be entitled to claim and the Grantee hereby waives any claim against the Company or any Affiliate thereof that he or she was prevented from continuing to vest RSUs as of the date of termination of his or her employment with, or services to, the Company or any Affiliate thereof. No Grantee shall be entitled to any compensation in respect of the RSUs which would have vested had such Grantee’s employment or engagement with the Company (or any Affiliate thereof) not been terminated.</w:t>
      </w:r>
    </w:p>
    <w:p>
      <w:pPr>
        <w:spacing w:after="0" w:line="180" w:lineRule="exact"/>
        <w:rPr>
          <w:sz w:val="20"/>
          <w:szCs w:val="20"/>
          <w:color w:val="auto"/>
        </w:rPr>
      </w:pPr>
    </w:p>
    <w:p>
      <w:pPr>
        <w:jc w:val="both"/>
        <w:ind w:firstLine="1195"/>
        <w:spacing w:after="0" w:line="256" w:lineRule="auto"/>
        <w:rPr>
          <w:sz w:val="20"/>
          <w:szCs w:val="20"/>
          <w:color w:val="auto"/>
        </w:rPr>
      </w:pPr>
      <w:r>
        <w:rPr>
          <w:rFonts w:ascii="Times New Roman" w:cs="Times New Roman" w:eastAsia="Times New Roman" w:hAnsi="Times New Roman"/>
          <w:sz w:val="17"/>
          <w:szCs w:val="17"/>
          <w:color w:val="auto"/>
        </w:rPr>
        <w:t xml:space="preserve">9.2.1.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Grantee shall be bound by and the Shares issued upon settlement or (if applicable) the vesting of any RSUs granted hereunder shall remain subject to the Plan after the settlement or (if applicable) the vesting of RSUs, in accordance with the terms of the Plan, whether or not the Grantee is then or at any time thereafter employed or engaged by the Company or any of its Affiliates.</w:t>
      </w:r>
    </w:p>
    <w:p>
      <w:pPr>
        <w:spacing w:after="0" w:line="17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Grantee shall perform such further acts and execute such further documents as may reasonably be necessary by the Company to carry out and give full effect to the provisions of this RSU Award Agreement and the Plan.</w:t>
      </w:r>
    </w:p>
    <w:p>
      <w:pPr>
        <w:spacing w:after="0" w:line="159" w:lineRule="exact"/>
        <w:rPr>
          <w:sz w:val="20"/>
          <w:szCs w:val="20"/>
          <w:color w:val="auto"/>
        </w:rPr>
      </w:pPr>
    </w:p>
    <w:p>
      <w:pPr>
        <w:jc w:val="both"/>
        <w:ind w:right="580" w:firstLine="470"/>
        <w:spacing w:after="0" w:line="256"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 shall be issuable upon settlement or vesting of any RSUs and the number of Shares to be issued shall be rounded down to the nearest whole Share, with any Share remaining at the last vesting date due to such rounding to be issued upon settlement at such last vesting date.</w:t>
      </w:r>
    </w:p>
    <w:p>
      <w:pPr>
        <w:spacing w:after="0" w:line="171" w:lineRule="exact"/>
        <w:rPr>
          <w:sz w:val="20"/>
          <w:szCs w:val="20"/>
          <w:color w:val="auto"/>
        </w:rPr>
      </w:pPr>
    </w:p>
    <w:p>
      <w:pPr>
        <w:jc w:val="both"/>
        <w:ind w:firstLine="470"/>
        <w:spacing w:after="0" w:line="256"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RSU Award Agreement (together with the Notice and its Exhibits) and the Plan, as may be amended from time to time, constitute the full and entire understanding and agreement between the parties with regard to the subject matters hereof and thereof, and supersede all prior agreements and understandings, both written and oral (with no concession being made as to the existence of any such agreements and understandings).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9" w:name="page160"/>
    <w:bookmarkEnd w:id="159"/>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This RSU Award Agreement shall be governed by and construed according to the laws of the State of Israel, without regard to the conflict of law provisions thereof, except with respect to matters that are subject to mandatory tax laws, regulations and rules in any specific jurisdiction, which shall be governed by the respective laws, regulations and rules of such jurisdiction. Certain definitions, which refer to laws other than the laws of such jurisdiction, shall be construed in accordance with such other laws. Any dispute arising under or proceeding in relation to this RSU Award Agreement shall be resolved exclusively in the competent court in Tel Aviv-Jaffa, and each of the parties hereby irrevocably submits to the exclusive jurisdiction of such court.</w:t>
      </w:r>
    </w:p>
    <w:p>
      <w:pPr>
        <w:spacing w:after="0" w:line="176" w:lineRule="exact"/>
        <w:rPr>
          <w:sz w:val="20"/>
          <w:szCs w:val="20"/>
          <w:color w:val="auto"/>
        </w:rPr>
      </w:pPr>
    </w:p>
    <w:p>
      <w:pPr>
        <w:jc w:val="both"/>
        <w:ind w:firstLine="470"/>
        <w:spacing w:after="0" w:line="256"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RSU Award Agreement is invalid, illegal, inoperative or incapable of being enforced by any law or public policy, all other terms or provisions of this RSU Award Agreement shall nevertheless remain in full force and effect and the validity and effect of the other provisions hereof shall not be affected thereby.</w:t>
      </w:r>
    </w:p>
    <w:p>
      <w:pPr>
        <w:spacing w:after="0" w:line="17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Other Plans Unaffected</w:t>
      </w:r>
      <w:r>
        <w:rPr>
          <w:rFonts w:ascii="Times New Roman" w:cs="Times New Roman" w:eastAsia="Times New Roman" w:hAnsi="Times New Roman"/>
          <w:sz w:val="17"/>
          <w:szCs w:val="17"/>
          <w:color w:val="auto"/>
        </w:rPr>
        <w:t>. The Grantee acknowledges that any income derived from this RSU award shall not affect the Grantee’s participation in, or benefits under, any other benefit plan or other contract or arrangement maintained by the Company or any Subsidiary or Affiliate.</w:t>
      </w:r>
    </w:p>
    <w:p>
      <w:pPr>
        <w:spacing w:after="0" w:line="159" w:lineRule="exact"/>
        <w:rPr>
          <w:sz w:val="20"/>
          <w:szCs w:val="20"/>
          <w:color w:val="auto"/>
        </w:rPr>
      </w:pPr>
    </w:p>
    <w:p>
      <w:pPr>
        <w:jc w:val="both"/>
        <w:ind w:firstLine="470"/>
        <w:spacing w:after="0" w:line="256"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No Rights as a Shareholder Prior to Issuance of Shares</w:t>
      </w:r>
      <w:r>
        <w:rPr>
          <w:rFonts w:ascii="Times New Roman" w:cs="Times New Roman" w:eastAsia="Times New Roman" w:hAnsi="Times New Roman"/>
          <w:sz w:val="17"/>
          <w:szCs w:val="17"/>
          <w:color w:val="auto"/>
        </w:rPr>
        <w:t>. Neither the Grantee nor any other person shall becomes the beneficial owner of the Shares underlying the RSUs, nor have any rights to dividends or other rights as a shareholder with respect to any such Shares, until and after such Shares, if any, have been actually issued to the Grantee.</w:t>
      </w:r>
    </w:p>
    <w:p>
      <w:pPr>
        <w:spacing w:after="0" w:line="17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RSU Award Agreement and delivery of Shares under this Agreement are intended to be exempt from Section 409A of the Code and shall be administered and construed in accordance with such intent.</w:t>
      </w:r>
    </w:p>
    <w:p>
      <w:pPr>
        <w:spacing w:after="0" w:line="159"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RSU Award Agreement may be executed in one or more counterparts, each of which shall be deemed an original and enforceable against the parties, and all of which together shall be considered one and the same agreement, it being understood that all parties need not sign the same counterpart. The exchange of an executed agreement (in counterparts or otherwise) by facsimile transmission, electronic transmission or electronic signature shall be sufficient to bind the parties to the terms and conditions of this RSU Award Agreement, as an original.</w:t>
      </w:r>
    </w:p>
    <w:p>
      <w:pPr>
        <w:spacing w:after="0" w:line="170" w:lineRule="exact"/>
        <w:rPr>
          <w:sz w:val="20"/>
          <w:szCs w:val="20"/>
          <w:color w:val="auto"/>
        </w:rPr>
      </w:pPr>
    </w:p>
    <w:p>
      <w:pPr>
        <w:jc w:val="both"/>
        <w:ind w:firstLine="597"/>
        <w:spacing w:after="0" w:line="274" w:lineRule="auto"/>
        <w:rPr>
          <w:sz w:val="20"/>
          <w:szCs w:val="20"/>
          <w:color w:val="auto"/>
        </w:rPr>
      </w:pPr>
      <w:r>
        <w:rPr>
          <w:rFonts w:ascii="Times New Roman" w:cs="Times New Roman" w:eastAsia="Times New Roman" w:hAnsi="Times New Roman"/>
          <w:sz w:val="17"/>
          <w:szCs w:val="17"/>
          <w:color w:val="auto"/>
        </w:rPr>
        <w:t xml:space="preserve">IN WITNESS WHEREOF, the parties have duly executed and delivered this </w:t>
      </w:r>
      <w:r>
        <w:rPr>
          <w:rFonts w:ascii="Times New Roman" w:cs="Times New Roman" w:eastAsia="Times New Roman" w:hAnsi="Times New Roman"/>
          <w:sz w:val="17"/>
          <w:szCs w:val="17"/>
          <w:b w:val="1"/>
          <w:bCs w:val="1"/>
          <w:color w:val="auto"/>
        </w:rPr>
        <w:t>RESTRICTED SHARE UNITS AWARD AGREEMENT</w:t>
      </w:r>
      <w:r>
        <w:rPr>
          <w:rFonts w:ascii="Times New Roman" w:cs="Times New Roman" w:eastAsia="Times New Roman" w:hAnsi="Times New Roman"/>
          <w:sz w:val="17"/>
          <w:szCs w:val="17"/>
          <w:color w:val="auto"/>
        </w:rPr>
        <w:t xml:space="preserve"> as of the date last written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Grantee:</w:t>
            </w:r>
          </w:p>
        </w:tc>
        <w:tc>
          <w:tcPr>
            <w:tcW w:w="3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Taboola.com Ltd.</w:t>
            </w:r>
          </w:p>
        </w:tc>
      </w:tr>
      <w:tr>
        <w:trPr>
          <w:trHeight w:val="403"/>
        </w:trPr>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r>
      <w:tr>
        <w:trPr>
          <w:trHeight w:val="403"/>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940" w:type="dxa"/>
            <w:vAlign w:val="bottom"/>
          </w:tcPr>
          <w:p>
            <w:pPr>
              <w:spacing w:after="0"/>
              <w:rPr>
                <w:sz w:val="24"/>
                <w:szCs w:val="24"/>
                <w:color w:val="auto"/>
              </w:rPr>
            </w:pPr>
          </w:p>
        </w:tc>
        <w:tc>
          <w:tcPr>
            <w:tcW w:w="640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Name:</w:t>
            </w:r>
          </w:p>
        </w:tc>
      </w:tr>
      <w:tr>
        <w:trPr>
          <w:trHeight w:val="204"/>
        </w:trPr>
        <w:tc>
          <w:tcPr>
            <w:tcW w:w="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ID No.:</w:t>
            </w:r>
          </w:p>
        </w:tc>
        <w:tc>
          <w:tcPr>
            <w:tcW w:w="3940" w:type="dxa"/>
            <w:vAlign w:val="bottom"/>
            <w:tcBorders>
              <w:top w:val="single" w:sz="8" w:color="auto"/>
              <w:bottom w:val="single" w:sz="8" w:color="auto"/>
            </w:tcBorders>
          </w:tcPr>
          <w:p>
            <w:pPr>
              <w:spacing w:after="0"/>
              <w:rPr>
                <w:sz w:val="17"/>
                <w:szCs w:val="17"/>
                <w:color w:val="auto"/>
              </w:rPr>
            </w:pPr>
          </w:p>
        </w:tc>
        <w:tc>
          <w:tcPr>
            <w:tcW w:w="2480" w:type="dxa"/>
            <w:vAlign w:val="bottom"/>
            <w:gridSpan w:val="2"/>
          </w:tcPr>
          <w:p>
            <w:pPr>
              <w:ind w:left="1600"/>
              <w:spacing w:after="0" w:line="191" w:lineRule="exact"/>
              <w:rPr>
                <w:sz w:val="20"/>
                <w:szCs w:val="20"/>
                <w:color w:val="auto"/>
              </w:rPr>
            </w:pPr>
            <w:r>
              <w:rPr>
                <w:rFonts w:ascii="Times New Roman" w:cs="Times New Roman" w:eastAsia="Times New Roman" w:hAnsi="Times New Roman"/>
                <w:sz w:val="17"/>
                <w:szCs w:val="17"/>
                <w:color w:val="auto"/>
              </w:rPr>
              <w:t>Title:</w:t>
            </w:r>
          </w:p>
        </w:tc>
        <w:tc>
          <w:tcPr>
            <w:tcW w:w="3920" w:type="dxa"/>
            <w:vAlign w:val="bottom"/>
            <w:tcBorders>
              <w:top w:val="single" w:sz="8" w:color="auto"/>
              <w:bottom w:val="single" w:sz="8" w:color="auto"/>
            </w:tcBorders>
          </w:tcPr>
          <w:p>
            <w:pPr>
              <w:spacing w:after="0"/>
              <w:rPr>
                <w:sz w:val="17"/>
                <w:szCs w:val="17"/>
                <w:color w:val="auto"/>
              </w:rPr>
            </w:pPr>
          </w:p>
        </w:tc>
      </w:tr>
      <w:tr>
        <w:trPr>
          <w:trHeight w:val="204"/>
        </w:trPr>
        <w:tc>
          <w:tcPr>
            <w:tcW w:w="9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Date:</w:t>
            </w:r>
          </w:p>
        </w:tc>
        <w:tc>
          <w:tcPr>
            <w:tcW w:w="3940" w:type="dxa"/>
            <w:vAlign w:val="bottom"/>
            <w:tcBorders>
              <w:bottom w:val="single" w:sz="8" w:color="auto"/>
            </w:tcBorders>
          </w:tcPr>
          <w:p>
            <w:pPr>
              <w:spacing w:after="0"/>
              <w:rPr>
                <w:sz w:val="17"/>
                <w:szCs w:val="17"/>
                <w:color w:val="auto"/>
              </w:rPr>
            </w:pPr>
          </w:p>
        </w:tc>
        <w:tc>
          <w:tcPr>
            <w:tcW w:w="2480" w:type="dxa"/>
            <w:vAlign w:val="bottom"/>
            <w:gridSpan w:val="2"/>
          </w:tcPr>
          <w:p>
            <w:pPr>
              <w:ind w:left="1600"/>
              <w:spacing w:after="0" w:line="187" w:lineRule="exact"/>
              <w:rPr>
                <w:sz w:val="20"/>
                <w:szCs w:val="20"/>
                <w:color w:val="auto"/>
              </w:rPr>
            </w:pPr>
            <w:r>
              <w:rPr>
                <w:rFonts w:ascii="Times New Roman" w:cs="Times New Roman" w:eastAsia="Times New Roman" w:hAnsi="Times New Roman"/>
                <w:sz w:val="17"/>
                <w:szCs w:val="17"/>
                <w:color w:val="auto"/>
              </w:rPr>
              <w:t>Date:</w:t>
            </w:r>
          </w:p>
        </w:tc>
        <w:tc>
          <w:tcPr>
            <w:tcW w:w="3920" w:type="dxa"/>
            <w:vAlign w:val="bottom"/>
            <w:tcBorders>
              <w:bottom w:val="single" w:sz="8" w:color="auto"/>
            </w:tcBorders>
          </w:tcPr>
          <w:p>
            <w:pPr>
              <w:spacing w:after="0"/>
              <w:rPr>
                <w:sz w:val="17"/>
                <w:szCs w:val="17"/>
                <w:color w:val="auto"/>
              </w:rPr>
            </w:pPr>
          </w:p>
        </w:tc>
      </w:tr>
      <w:tr>
        <w:trPr>
          <w:trHeight w:val="550"/>
        </w:trPr>
        <w:tc>
          <w:tcPr>
            <w:tcW w:w="900" w:type="dxa"/>
            <w:vAlign w:val="bottom"/>
          </w:tcPr>
          <w:p>
            <w:pPr>
              <w:spacing w:after="0"/>
              <w:rPr>
                <w:sz w:val="24"/>
                <w:szCs w:val="24"/>
                <w:color w:val="auto"/>
              </w:rPr>
            </w:pPr>
          </w:p>
        </w:tc>
        <w:tc>
          <w:tcPr>
            <w:tcW w:w="5540" w:type="dxa"/>
            <w:vAlign w:val="bottom"/>
            <w:gridSpan w:val="2"/>
          </w:tcPr>
          <w:p>
            <w:pPr>
              <w:jc w:val="right"/>
              <w:ind w:right="697"/>
              <w:spacing w:after="0"/>
              <w:rPr>
                <w:sz w:val="20"/>
                <w:szCs w:val="20"/>
                <w:color w:val="auto"/>
              </w:rPr>
            </w:pPr>
            <w:r>
              <w:rPr>
                <w:rFonts w:ascii="Times New Roman" w:cs="Times New Roman" w:eastAsia="Times New Roman" w:hAnsi="Times New Roman"/>
                <w:sz w:val="13"/>
                <w:szCs w:val="13"/>
                <w:color w:val="auto"/>
              </w:rPr>
              <w:t>8</w:t>
            </w: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77"/>
        </w:trPr>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2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21</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Significant Subsidiaries of Taboola.com Ltd.</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uto"/>
              <w:left w:val="single" w:sz="8" w:color="auto"/>
              <w:right w:val="single" w:sz="8" w:color="auto"/>
            </w:tcBorders>
            <w:shd w:val="clear" w:color="auto" w:fill="D9D9D9"/>
          </w:tcPr>
          <w:p>
            <w:pPr>
              <w:ind w:left="1040"/>
              <w:spacing w:after="0"/>
              <w:rPr>
                <w:sz w:val="20"/>
                <w:szCs w:val="20"/>
                <w:color w:val="auto"/>
              </w:rPr>
            </w:pPr>
            <w:r>
              <w:rPr>
                <w:rFonts w:ascii="Times New Roman" w:cs="Times New Roman" w:eastAsia="Times New Roman" w:hAnsi="Times New Roman"/>
                <w:sz w:val="17"/>
                <w:szCs w:val="17"/>
                <w:b w:val="1"/>
                <w:bCs w:val="1"/>
                <w:color w:val="auto"/>
              </w:rPr>
              <w:t>Legal Name of Subsidiary</w:t>
            </w:r>
          </w:p>
        </w:tc>
        <w:tc>
          <w:tcPr>
            <w:tcW w:w="4380" w:type="dxa"/>
            <w:vAlign w:val="bottom"/>
            <w:tcBorders>
              <w:top w:val="single" w:sz="8" w:color="auto"/>
              <w:right w:val="single" w:sz="8" w:color="auto"/>
            </w:tcBorders>
            <w:shd w:val="clear" w:color="auto" w:fill="D9D9D9"/>
          </w:tcPr>
          <w:p>
            <w:pPr>
              <w:ind w:left="1340"/>
              <w:spacing w:after="0"/>
              <w:rPr>
                <w:sz w:val="20"/>
                <w:szCs w:val="20"/>
                <w:color w:val="auto"/>
              </w:rPr>
            </w:pPr>
            <w:r>
              <w:rPr>
                <w:rFonts w:ascii="Times New Roman" w:cs="Times New Roman" w:eastAsia="Times New Roman" w:hAnsi="Times New Roman"/>
                <w:sz w:val="17"/>
                <w:szCs w:val="17"/>
                <w:b w:val="1"/>
                <w:bCs w:val="1"/>
                <w:color w:val="auto"/>
              </w:rPr>
              <w:t>Direct Parent Company</w:t>
            </w:r>
          </w:p>
        </w:tc>
        <w:tc>
          <w:tcPr>
            <w:tcW w:w="29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Jurisdiction of</w:t>
            </w:r>
          </w:p>
        </w:tc>
      </w:tr>
      <w:tr>
        <w:trPr>
          <w:trHeight w:val="220"/>
        </w:trPr>
        <w:tc>
          <w:tcPr>
            <w:tcW w:w="3900" w:type="dxa"/>
            <w:vAlign w:val="bottom"/>
            <w:tcBorders>
              <w:left w:val="single" w:sz="8" w:color="auto"/>
              <w:right w:val="single" w:sz="8" w:color="auto"/>
            </w:tcBorders>
            <w:shd w:val="clear" w:color="auto" w:fill="D9D9D9"/>
          </w:tcPr>
          <w:p>
            <w:pPr>
              <w:spacing w:after="0"/>
              <w:rPr>
                <w:sz w:val="19"/>
                <w:szCs w:val="19"/>
                <w:color w:val="auto"/>
              </w:rPr>
            </w:pPr>
          </w:p>
        </w:tc>
        <w:tc>
          <w:tcPr>
            <w:tcW w:w="4380" w:type="dxa"/>
            <w:vAlign w:val="bottom"/>
            <w:tcBorders>
              <w:right w:val="single" w:sz="8" w:color="auto"/>
            </w:tcBorders>
            <w:shd w:val="clear" w:color="auto" w:fill="D9D9D9"/>
          </w:tcPr>
          <w:p>
            <w:pPr>
              <w:spacing w:after="0"/>
              <w:rPr>
                <w:sz w:val="19"/>
                <w:szCs w:val="19"/>
                <w:color w:val="auto"/>
              </w:rPr>
            </w:pPr>
          </w:p>
        </w:tc>
        <w:tc>
          <w:tcPr>
            <w:tcW w:w="29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Organization</w:t>
            </w:r>
          </w:p>
        </w:tc>
      </w:tr>
      <w:tr>
        <w:trPr>
          <w:trHeight w:val="204"/>
        </w:trPr>
        <w:tc>
          <w:tcPr>
            <w:tcW w:w="390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4380" w:type="dxa"/>
            <w:vAlign w:val="bottom"/>
            <w:tcBorders>
              <w:bottom w:val="single" w:sz="8" w:color="auto"/>
              <w:right w:val="single" w:sz="8" w:color="auto"/>
            </w:tcBorders>
            <w:shd w:val="clear" w:color="auto" w:fill="D9D9D9"/>
          </w:tcPr>
          <w:p>
            <w:pPr>
              <w:spacing w:after="0"/>
              <w:rPr>
                <w:sz w:val="17"/>
                <w:szCs w:val="17"/>
                <w:color w:val="auto"/>
              </w:rPr>
            </w:pPr>
          </w:p>
        </w:tc>
        <w:tc>
          <w:tcPr>
            <w:tcW w:w="296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04"/>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Taboola, Inc.</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Taboola.com Ltd.</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 USA</w:t>
            </w:r>
          </w:p>
        </w:tc>
      </w:tr>
      <w:tr>
        <w:trPr>
          <w:trHeight w:val="204"/>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Taboola Europe Limited</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Taboola.com Ltd.</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United Kingdom</w:t>
            </w:r>
          </w:p>
        </w:tc>
      </w:tr>
      <w:tr>
        <w:trPr>
          <w:trHeight w:val="478"/>
        </w:trPr>
        <w:tc>
          <w:tcPr>
            <w:tcW w:w="39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23</w:t>
      </w:r>
    </w:p>
    <w:p>
      <w:pPr>
        <w:spacing w:after="0" w:line="20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03" w:lineRule="exact"/>
        <w:rPr>
          <w:sz w:val="20"/>
          <w:szCs w:val="20"/>
          <w:color w:val="auto"/>
        </w:rPr>
      </w:pPr>
    </w:p>
    <w:p>
      <w:pPr>
        <w:ind w:left="600" w:hanging="302"/>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Post-effective Amendment No. 1 to Registration Statement (Form F-3 on Form S-3. No. 333-257879) of Taboola.com Ltd., and</w:t>
      </w:r>
    </w:p>
    <w:p>
      <w:pPr>
        <w:spacing w:after="0" w:line="202" w:lineRule="exact"/>
        <w:rPr>
          <w:rFonts w:ascii="Times New Roman" w:cs="Times New Roman" w:eastAsia="Times New Roman" w:hAnsi="Times New Roman"/>
          <w:sz w:val="17"/>
          <w:szCs w:val="17"/>
          <w:color w:val="auto"/>
        </w:rPr>
      </w:pPr>
    </w:p>
    <w:p>
      <w:pPr>
        <w:ind w:left="600" w:hanging="302"/>
        <w:spacing w:after="0" w:line="269"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Nos. 333-270495, 333-263827 and 333-257478) pertaining to the 2021 Share Incentive Plan, Employee Stock Purchase Plan, 2020 Share Incentive Plan, 2016 Share Incentive Plan, and 2007 Share Option Plan of Taboola.com Ltd.;</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of our reports dated February 28, 2024, with respect to the consolidated financial statements of Taboola.com Ltd. and the effectiveness of internal control over financial reporting of Taboola.com Ltd. included in this Annual Report (Form 10-K) of Taboola.com Ltd. for the year ended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February 28, 2024</w:t>
            </w:r>
          </w:p>
        </w:tc>
        <w:tc>
          <w:tcPr>
            <w:tcW w:w="6880" w:type="dxa"/>
            <w:vAlign w:val="bottom"/>
          </w:tcPr>
          <w:p>
            <w:pPr>
              <w:ind w:left="3140"/>
              <w:spacing w:after="0"/>
              <w:rPr>
                <w:sz w:val="20"/>
                <w:szCs w:val="20"/>
                <w:color w:val="auto"/>
              </w:rPr>
            </w:pPr>
            <w:r>
              <w:rPr>
                <w:rFonts w:ascii="Times New Roman" w:cs="Times New Roman" w:eastAsia="Times New Roman" w:hAnsi="Times New Roman"/>
                <w:sz w:val="17"/>
                <w:szCs w:val="17"/>
                <w:color w:val="auto"/>
              </w:rPr>
              <w:t>/s/ Kost Forer Gabbay &amp; Kasierer</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Tel-Aviv, Israel</w:t>
            </w:r>
          </w:p>
        </w:tc>
        <w:tc>
          <w:tcPr>
            <w:tcW w:w="6880" w:type="dxa"/>
            <w:vAlign w:val="bottom"/>
          </w:tcPr>
          <w:p>
            <w:pPr>
              <w:ind w:left="3140"/>
              <w:spacing w:after="0"/>
              <w:rPr>
                <w:sz w:val="20"/>
                <w:szCs w:val="20"/>
                <w:color w:val="auto"/>
              </w:rPr>
            </w:pPr>
            <w:r>
              <w:rPr>
                <w:rFonts w:ascii="Times New Roman" w:cs="Times New Roman" w:eastAsia="Times New Roman" w:hAnsi="Times New Roman"/>
                <w:sz w:val="17"/>
                <w:szCs w:val="17"/>
                <w:color w:val="auto"/>
              </w:rPr>
              <w:t>A Member of EY Global</w:t>
            </w:r>
          </w:p>
        </w:tc>
      </w:tr>
      <w:tr>
        <w:trPr>
          <w:trHeight w:val="478"/>
        </w:trPr>
        <w:tc>
          <w:tcPr>
            <w:tcW w:w="4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Singolda, certify that:</w:t>
      </w:r>
    </w:p>
    <w:p>
      <w:pPr>
        <w:spacing w:after="0" w:line="203" w:lineRule="exact"/>
        <w:rPr>
          <w:sz w:val="20"/>
          <w:szCs w:val="20"/>
          <w:color w:val="auto"/>
        </w:rPr>
      </w:pPr>
    </w:p>
    <w:p>
      <w:pPr>
        <w:ind w:left="160" w:hanging="160"/>
        <w:spacing w:after="0"/>
        <w:tabs>
          <w:tab w:leader="none" w:pos="1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Taboola.com Ltd.;</w:t>
      </w:r>
    </w:p>
    <w:p>
      <w:pPr>
        <w:spacing w:after="0" w:line="202" w:lineRule="exact"/>
        <w:rPr>
          <w:rFonts w:ascii="Times New Roman" w:cs="Times New Roman" w:eastAsia="Times New Roman" w:hAnsi="Times New Roman"/>
          <w:sz w:val="17"/>
          <w:szCs w:val="17"/>
          <w:color w:val="auto"/>
        </w:rPr>
      </w:pPr>
    </w:p>
    <w:p>
      <w:pPr>
        <w:spacing w:after="0" w:line="269" w:lineRule="auto"/>
        <w:tabs>
          <w:tab w:leader="none" w:pos="16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spacing w:after="0" w:line="269" w:lineRule="auto"/>
        <w:tabs>
          <w:tab w:leader="none" w:pos="16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left="180" w:hanging="180"/>
        <w:spacing w:after="0"/>
        <w:tabs>
          <w:tab w:leader="none" w:pos="1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6"/>
          <w:szCs w:val="16"/>
          <w:color w:val="auto"/>
        </w:rPr>
      </w:pPr>
    </w:p>
    <w:p>
      <w:pPr>
        <w:jc w:val="both"/>
        <w:ind w:left="600" w:hanging="3"/>
        <w:spacing w:after="0" w:line="256" w:lineRule="auto"/>
        <w:tabs>
          <w:tab w:leader="none" w:pos="83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hanging="3"/>
        <w:spacing w:after="0" w:line="256" w:lineRule="auto"/>
        <w:tabs>
          <w:tab w:leader="none" w:pos="85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hanging="3"/>
        <w:spacing w:after="0" w:line="269" w:lineRule="auto"/>
        <w:tabs>
          <w:tab w:leader="none" w:pos="8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4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spacing w:after="0" w:line="269" w:lineRule="auto"/>
        <w:tabs>
          <w:tab w:leader="none" w:pos="18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4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5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7280" w:type="dxa"/>
            <w:vAlign w:val="bottom"/>
            <w:gridSpan w:val="3"/>
          </w:tcPr>
          <w:p>
            <w:pPr>
              <w:ind w:left="2340"/>
              <w:spacing w:after="0"/>
              <w:rPr>
                <w:sz w:val="20"/>
                <w:szCs w:val="20"/>
                <w:color w:val="auto"/>
              </w:rPr>
            </w:pPr>
            <w:r>
              <w:rPr>
                <w:rFonts w:ascii="Times New Roman" w:cs="Times New Roman" w:eastAsia="Times New Roman" w:hAnsi="Times New Roman"/>
                <w:sz w:val="17"/>
                <w:szCs w:val="17"/>
                <w:color w:val="auto"/>
              </w:rPr>
              <w:t>By:   /s/ Adam Singolda</w:t>
            </w:r>
          </w:p>
        </w:tc>
      </w:tr>
      <w:tr>
        <w:trPr>
          <w:trHeight w:val="200"/>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Adam Singolda</w:t>
            </w:r>
          </w:p>
        </w:tc>
        <w:tc>
          <w:tcPr>
            <w:tcW w:w="3240" w:type="dxa"/>
            <w:vAlign w:val="bottom"/>
          </w:tcPr>
          <w:p>
            <w:pPr>
              <w:spacing w:after="0"/>
              <w:rPr>
                <w:sz w:val="17"/>
                <w:szCs w:val="17"/>
                <w:color w:val="auto"/>
              </w:rPr>
            </w:pPr>
          </w:p>
        </w:tc>
      </w:tr>
      <w:tr>
        <w:trPr>
          <w:trHeight w:val="197"/>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8"/>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r>
        <w:trPr>
          <w:trHeight w:val="478"/>
        </w:trPr>
        <w:tc>
          <w:tcPr>
            <w:tcW w:w="39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Walker, certify that:</w:t>
      </w:r>
    </w:p>
    <w:p>
      <w:pPr>
        <w:spacing w:after="0" w:line="203" w:lineRule="exact"/>
        <w:rPr>
          <w:sz w:val="20"/>
          <w:szCs w:val="20"/>
          <w:color w:val="auto"/>
        </w:rPr>
      </w:pPr>
    </w:p>
    <w:p>
      <w:pPr>
        <w:ind w:left="160" w:hanging="160"/>
        <w:spacing w:after="0"/>
        <w:tabs>
          <w:tab w:leader="none" w:pos="1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Taboola.com Ltd.;</w:t>
      </w:r>
    </w:p>
    <w:p>
      <w:pPr>
        <w:spacing w:after="0" w:line="202" w:lineRule="exact"/>
        <w:rPr>
          <w:rFonts w:ascii="Times New Roman" w:cs="Times New Roman" w:eastAsia="Times New Roman" w:hAnsi="Times New Roman"/>
          <w:sz w:val="17"/>
          <w:szCs w:val="17"/>
          <w:color w:val="auto"/>
        </w:rPr>
      </w:pPr>
    </w:p>
    <w:p>
      <w:pPr>
        <w:spacing w:after="0" w:line="269" w:lineRule="auto"/>
        <w:tabs>
          <w:tab w:leader="none" w:pos="16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spacing w:after="0" w:line="269" w:lineRule="auto"/>
        <w:tabs>
          <w:tab w:leader="none" w:pos="16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left="180" w:hanging="180"/>
        <w:spacing w:after="0"/>
        <w:tabs>
          <w:tab w:leader="none" w:pos="1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6"/>
          <w:szCs w:val="16"/>
          <w:color w:val="auto"/>
        </w:rPr>
      </w:pPr>
    </w:p>
    <w:p>
      <w:pPr>
        <w:jc w:val="both"/>
        <w:ind w:left="600" w:hanging="3"/>
        <w:spacing w:after="0" w:line="256" w:lineRule="auto"/>
        <w:tabs>
          <w:tab w:leader="none" w:pos="83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hanging="3"/>
        <w:spacing w:after="0" w:line="256" w:lineRule="auto"/>
        <w:tabs>
          <w:tab w:leader="none" w:pos="85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hanging="3"/>
        <w:spacing w:after="0" w:line="269" w:lineRule="auto"/>
        <w:tabs>
          <w:tab w:leader="none" w:pos="83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4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spacing w:after="0" w:line="269" w:lineRule="auto"/>
        <w:tabs>
          <w:tab w:leader="none" w:pos="18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4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600" w:hanging="3"/>
        <w:spacing w:after="0" w:line="269" w:lineRule="auto"/>
        <w:tabs>
          <w:tab w:leader="none" w:pos="85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7280" w:type="dxa"/>
            <w:vAlign w:val="bottom"/>
            <w:gridSpan w:val="3"/>
          </w:tcPr>
          <w:p>
            <w:pPr>
              <w:ind w:left="2340"/>
              <w:spacing w:after="0"/>
              <w:rPr>
                <w:sz w:val="20"/>
                <w:szCs w:val="20"/>
                <w:color w:val="auto"/>
              </w:rPr>
            </w:pPr>
            <w:r>
              <w:rPr>
                <w:rFonts w:ascii="Times New Roman" w:cs="Times New Roman" w:eastAsia="Times New Roman" w:hAnsi="Times New Roman"/>
                <w:sz w:val="17"/>
                <w:szCs w:val="17"/>
                <w:color w:val="auto"/>
              </w:rPr>
              <w:t>By:   /s/ Stephen Walker</w:t>
            </w:r>
          </w:p>
        </w:tc>
      </w:tr>
      <w:tr>
        <w:trPr>
          <w:trHeight w:val="200"/>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Stephen Walker</w:t>
            </w:r>
          </w:p>
        </w:tc>
        <w:tc>
          <w:tcPr>
            <w:tcW w:w="3240" w:type="dxa"/>
            <w:vAlign w:val="bottom"/>
          </w:tcPr>
          <w:p>
            <w:pPr>
              <w:spacing w:after="0"/>
              <w:rPr>
                <w:sz w:val="17"/>
                <w:szCs w:val="17"/>
                <w:color w:val="auto"/>
              </w:rPr>
            </w:pPr>
          </w:p>
        </w:tc>
      </w:tr>
      <w:tr>
        <w:trPr>
          <w:trHeight w:val="197"/>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r>
      <w:tr>
        <w:trPr>
          <w:trHeight w:val="478"/>
        </w:trPr>
        <w:tc>
          <w:tcPr>
            <w:tcW w:w="39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§1350</w:t>
      </w:r>
    </w:p>
    <w:p>
      <w:pPr>
        <w:spacing w:after="0" w:line="186" w:lineRule="exact"/>
        <w:rPr>
          <w:sz w:val="20"/>
          <w:szCs w:val="20"/>
          <w:color w:val="auto"/>
        </w:rPr>
      </w:pPr>
    </w:p>
    <w:p>
      <w:pPr>
        <w:jc w:val="both"/>
        <w:ind w:right="100" w:firstLine="448"/>
        <w:spacing w:after="0" w:line="250" w:lineRule="auto"/>
        <w:rPr>
          <w:sz w:val="20"/>
          <w:szCs w:val="20"/>
          <w:color w:val="auto"/>
        </w:rPr>
      </w:pPr>
      <w:r>
        <w:rPr>
          <w:rFonts w:ascii="Times New Roman" w:cs="Times New Roman" w:eastAsia="Times New Roman" w:hAnsi="Times New Roman"/>
          <w:sz w:val="17"/>
          <w:szCs w:val="17"/>
          <w:color w:val="auto"/>
        </w:rPr>
        <w:t>Solely for the purposes of complying with 18 U.S.C. § 1350, as adopted pursuant to § 906 of the Sarbanes- Oxley Act of 2002, we, the undersigned Chief Executive Officer and Chief Financial Officer of Taboola.com Ltd. (the “Company”), hereby certify, based on our knowledge, that the Annual Report on Form 10-K of the Company for the year ended December 31, 2023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28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By: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/s/ Adam Singolda</w:t>
            </w:r>
          </w:p>
        </w:tc>
        <w:tc>
          <w:tcPr>
            <w:tcW w:w="3240" w:type="dxa"/>
            <w:vAlign w:val="bottom"/>
          </w:tcPr>
          <w:p>
            <w:pPr>
              <w:spacing w:after="0"/>
              <w:rPr>
                <w:sz w:val="17"/>
                <w:szCs w:val="17"/>
                <w:color w:val="auto"/>
              </w:rPr>
            </w:pPr>
          </w:p>
        </w:tc>
      </w:tr>
      <w:tr>
        <w:trPr>
          <w:trHeight w:val="200"/>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Adam Singolda</w:t>
            </w:r>
          </w:p>
        </w:tc>
      </w:tr>
      <w:tr>
        <w:trPr>
          <w:trHeight w:val="197"/>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8"/>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361"/>
        </w:trPr>
        <w:tc>
          <w:tcPr>
            <w:tcW w:w="3960" w:type="dxa"/>
            <w:vAlign w:val="bottom"/>
          </w:tcPr>
          <w:p>
            <w:pPr>
              <w:spacing w:after="0"/>
              <w:rPr>
                <w:sz w:val="24"/>
                <w:szCs w:val="24"/>
                <w:color w:val="auto"/>
              </w:rPr>
            </w:pPr>
          </w:p>
        </w:tc>
        <w:tc>
          <w:tcPr>
            <w:tcW w:w="28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Stephen Walker</w:t>
            </w:r>
          </w:p>
        </w:tc>
      </w:tr>
      <w:tr>
        <w:trPr>
          <w:trHeight w:val="200"/>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Stephen Walker</w:t>
            </w:r>
          </w:p>
        </w:tc>
        <w:tc>
          <w:tcPr>
            <w:tcW w:w="3240" w:type="dxa"/>
            <w:vAlign w:val="bottom"/>
          </w:tcPr>
          <w:p>
            <w:pPr>
              <w:spacing w:after="0"/>
              <w:rPr>
                <w:sz w:val="17"/>
                <w:szCs w:val="17"/>
                <w:color w:val="auto"/>
              </w:rPr>
            </w:pPr>
          </w:p>
        </w:tc>
      </w:tr>
      <w:tr>
        <w:trPr>
          <w:trHeight w:val="197"/>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r>
        <w:trPr>
          <w:trHeight w:val="478"/>
        </w:trPr>
        <w:tc>
          <w:tcPr>
            <w:tcW w:w="39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FOR RECOVERY OF ERRONEOUSLY AWARDED COMPENSATION</w:t>
      </w:r>
    </w:p>
    <w:p>
      <w:pPr>
        <w:spacing w:after="0" w:line="203" w:lineRule="exact"/>
        <w:rPr>
          <w:sz w:val="20"/>
          <w:szCs w:val="20"/>
          <w:color w:val="auto"/>
        </w:rPr>
      </w:pPr>
    </w:p>
    <w:p>
      <w:pPr>
        <w:ind w:firstLine="597"/>
        <w:spacing w:after="0" w:line="274" w:lineRule="auto"/>
        <w:rPr>
          <w:sz w:val="20"/>
          <w:szCs w:val="20"/>
          <w:color w:val="auto"/>
        </w:rPr>
      </w:pPr>
      <w:r>
        <w:rPr>
          <w:rFonts w:ascii="Times New Roman" w:cs="Times New Roman" w:eastAsia="Times New Roman" w:hAnsi="Times New Roman"/>
          <w:sz w:val="17"/>
          <w:szCs w:val="17"/>
          <w:color w:val="auto"/>
        </w:rPr>
        <w:t>Taboola.com Ltd.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Policy for Recovery of Erroneously Awarded Compensation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effective as of October 2,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Capitalized terms used in this Policy but not otherwise defined herein are defined in Section 11 of this Policy.</w:t>
      </w:r>
    </w:p>
    <w:p>
      <w:pPr>
        <w:spacing w:after="0" w:line="151" w:lineRule="exact"/>
        <w:rPr>
          <w:sz w:val="20"/>
          <w:szCs w:val="20"/>
          <w:color w:val="auto"/>
        </w:rPr>
      </w:pPr>
    </w:p>
    <w:p>
      <w:pPr>
        <w:ind w:left="600" w:hanging="600"/>
        <w:spacing w:after="0"/>
        <w:tabs>
          <w:tab w:leader="none" w:pos="60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Subject to Policy</w:t>
      </w:r>
    </w:p>
    <w:p>
      <w:pPr>
        <w:spacing w:after="0" w:line="207"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This Policy shall apply to and be binding and enforceable on current and former Officers. In addition, the Committee and the Board may apply this Policy to persons who are not Officers, and such application shall apply in the manner determined by the Committee and the Board in their sole discretion.</w:t>
      </w:r>
    </w:p>
    <w:p>
      <w:pPr>
        <w:spacing w:after="0" w:line="155" w:lineRule="exact"/>
        <w:rPr>
          <w:sz w:val="20"/>
          <w:szCs w:val="20"/>
          <w:color w:val="auto"/>
        </w:rPr>
      </w:pPr>
    </w:p>
    <w:p>
      <w:pPr>
        <w:ind w:left="600" w:hanging="600"/>
        <w:spacing w:after="0"/>
        <w:tabs>
          <w:tab w:leader="none" w:pos="6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Subject to Policy</w:t>
      </w:r>
    </w:p>
    <w:p>
      <w:pPr>
        <w:spacing w:after="0" w:line="207"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0" w:lineRule="exact"/>
        <w:rPr>
          <w:sz w:val="20"/>
          <w:szCs w:val="20"/>
          <w:color w:val="auto"/>
        </w:rPr>
      </w:pPr>
    </w:p>
    <w:p>
      <w:pPr>
        <w:ind w:left="600" w:hanging="600"/>
        <w:spacing w:after="0"/>
        <w:tabs>
          <w:tab w:leader="none" w:pos="60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Recovery of Compensation</w:t>
      </w:r>
    </w:p>
    <w:p>
      <w:pPr>
        <w:spacing w:after="0" w:line="207"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17"/>
          <w:szCs w:val="17"/>
          <w:color w:val="auto"/>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175" w:lineRule="exact"/>
        <w:rPr>
          <w:sz w:val="20"/>
          <w:szCs w:val="20"/>
          <w:color w:val="auto"/>
        </w:rPr>
      </w:pPr>
    </w:p>
    <w:p>
      <w:pPr>
        <w:ind w:left="600" w:hanging="600"/>
        <w:spacing w:after="0"/>
        <w:tabs>
          <w:tab w:leader="none" w:pos="60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Manner of Recovery; Limitation on Duplicative Recovery</w:t>
      </w:r>
    </w:p>
    <w:p>
      <w:pPr>
        <w:spacing w:after="0" w:line="207" w:lineRule="exact"/>
        <w:rPr>
          <w:sz w:val="20"/>
          <w:szCs w:val="20"/>
          <w:color w:val="auto"/>
        </w:rPr>
      </w:pPr>
    </w:p>
    <w:p>
      <w:pPr>
        <w:jc w:val="both"/>
        <w:ind w:firstLine="597"/>
        <w:spacing w:after="0" w:line="247" w:lineRule="auto"/>
        <w:rPr>
          <w:sz w:val="20"/>
          <w:szCs w:val="20"/>
          <w:color w:val="auto"/>
        </w:rPr>
      </w:pPr>
      <w:r>
        <w:rPr>
          <w:rFonts w:ascii="Times New Roman" w:cs="Times New Roman" w:eastAsia="Times New Roman" w:hAnsi="Times New Roman"/>
          <w:sz w:val="17"/>
          <w:szCs w:val="17"/>
          <w:color w:val="auto"/>
        </w:rPr>
        <w:t>The Committee and the Board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6" w:name="page167"/>
    <w:bookmarkEnd w:id="166"/>
    <w:p>
      <w:pPr>
        <w:ind w:left="600" w:hanging="600"/>
        <w:spacing w:after="0"/>
        <w:tabs>
          <w:tab w:leader="none" w:pos="6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Administration</w:t>
      </w:r>
    </w:p>
    <w:p>
      <w:pPr>
        <w:spacing w:after="0" w:line="207"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spacing w:after="0" w:line="173" w:lineRule="exact"/>
        <w:rPr>
          <w:sz w:val="20"/>
          <w:szCs w:val="20"/>
          <w:color w:val="auto"/>
        </w:rPr>
      </w:pPr>
    </w:p>
    <w:p>
      <w:pPr>
        <w:ind w:left="600" w:hanging="600"/>
        <w:spacing w:after="0"/>
        <w:tabs>
          <w:tab w:leader="none" w:pos="6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Interpretation</w:t>
      </w:r>
    </w:p>
    <w:p>
      <w:pPr>
        <w:spacing w:after="0" w:line="207"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55" w:lineRule="exact"/>
        <w:rPr>
          <w:sz w:val="20"/>
          <w:szCs w:val="20"/>
          <w:color w:val="auto"/>
        </w:rPr>
      </w:pPr>
    </w:p>
    <w:p>
      <w:pPr>
        <w:ind w:left="600" w:hanging="600"/>
        <w:spacing w:after="0"/>
        <w:tabs>
          <w:tab w:leader="none" w:pos="6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Indemnification; No Liability</w:t>
      </w:r>
    </w:p>
    <w:p>
      <w:pPr>
        <w:spacing w:after="0" w:line="207"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0" w:lineRule="exact"/>
        <w:rPr>
          <w:sz w:val="20"/>
          <w:szCs w:val="20"/>
          <w:color w:val="auto"/>
        </w:rPr>
      </w:pPr>
    </w:p>
    <w:p>
      <w:pPr>
        <w:ind w:left="600" w:hanging="600"/>
        <w:spacing w:after="0"/>
        <w:tabs>
          <w:tab w:leader="none" w:pos="6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Application; Enforceability</w:t>
      </w:r>
    </w:p>
    <w:p>
      <w:pPr>
        <w:spacing w:after="0" w:line="207"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17"/>
          <w:szCs w:val="17"/>
          <w:color w:val="auto"/>
        </w:rPr>
        <w:t>Except as otherwise determined by the Committee or the Board, the adoption of this Policy does not limit, and is intended to apply in addition to, any Other Recovery Arrangements. Without limiting the foregoing, in the event of a conflict between this Policy and the Compensation Policy, the Compensation Policy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7" w:name="page168"/>
    <w:bookmarkEnd w:id="167"/>
    <w:p>
      <w:pPr>
        <w:ind w:left="600" w:hanging="600"/>
        <w:spacing w:after="0"/>
        <w:tabs>
          <w:tab w:leader="none" w:pos="6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p>
    <w:p>
      <w:pPr>
        <w:spacing w:after="0" w:line="207"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67" w:lineRule="exact"/>
        <w:rPr>
          <w:sz w:val="20"/>
          <w:szCs w:val="20"/>
          <w:color w:val="auto"/>
        </w:rPr>
      </w:pPr>
    </w:p>
    <w:p>
      <w:pPr>
        <w:ind w:left="600" w:hanging="600"/>
        <w:spacing w:after="0"/>
        <w:tabs>
          <w:tab w:leader="none" w:pos="60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and Termination</w:t>
      </w:r>
    </w:p>
    <w:p>
      <w:pPr>
        <w:spacing w:after="0" w:line="207"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 the U.S.</w:t>
      </w:r>
    </w:p>
    <w:p>
      <w:pPr>
        <w:spacing w:after="0" w:line="155" w:lineRule="exact"/>
        <w:rPr>
          <w:sz w:val="20"/>
          <w:szCs w:val="20"/>
          <w:color w:val="auto"/>
        </w:rPr>
      </w:pPr>
    </w:p>
    <w:p>
      <w:pPr>
        <w:ind w:left="600" w:hanging="600"/>
        <w:spacing w:after="0"/>
        <w:tabs>
          <w:tab w:leader="none" w:pos="60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3"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03" w:lineRule="exact"/>
        <w:rPr>
          <w:sz w:val="20"/>
          <w:szCs w:val="20"/>
          <w:color w:val="auto"/>
        </w:rPr>
      </w:pPr>
    </w:p>
    <w:p>
      <w:pPr>
        <w:jc w:val="both"/>
        <w:ind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Compensation Policy</w:t>
      </w:r>
      <w:r>
        <w:rPr>
          <w:rFonts w:ascii="Times New Roman" w:cs="Times New Roman" w:eastAsia="Times New Roman" w:hAnsi="Times New Roman"/>
          <w:sz w:val="17"/>
          <w:szCs w:val="17"/>
          <w:color w:val="auto"/>
        </w:rPr>
        <w:t>” means the Company’s compensation policy for officers and directors, as adopted in accordance with the Israeli Companies Law 5759-1999 and as in effect from time to time.</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means the Compensation Committee of the Board or, in the absence of such a committee, a majority of the independent directors serving on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w:t>
      </w:r>
    </w:p>
    <w:p>
      <w:pPr>
        <w:spacing w:after="0" w:line="182"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03"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determined and presented in accordance with the accounting principles used in preparing the Company’s financial statements, and any measures derived wholly or in part from such measures, including GAAP, (or if applicable IFRS) and non-GAAP (or if applicable non-IFRS) financial measures, as well as stock price and total shareholder return.</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8" w:name="page169"/>
    <w:bookmarkEnd w:id="168"/>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IFRS</w:t>
      </w:r>
      <w:r>
        <w:rPr>
          <w:rFonts w:ascii="Times New Roman" w:cs="Times New Roman" w:eastAsia="Times New Roman" w:hAnsi="Times New Roman"/>
          <w:sz w:val="17"/>
          <w:szCs w:val="17"/>
          <w:color w:val="auto"/>
        </w:rPr>
        <w:t>” means international financial reporting standards as adopted by the International Accounting Standards Board.</w:t>
      </w:r>
    </w:p>
    <w:p>
      <w:pPr>
        <w:spacing w:after="0" w:line="203" w:lineRule="exact"/>
        <w:rPr>
          <w:sz w:val="20"/>
          <w:szCs w:val="20"/>
          <w:color w:val="auto"/>
        </w:rPr>
      </w:pPr>
    </w:p>
    <w:p>
      <w:pPr>
        <w:jc w:val="both"/>
        <w:ind w:firstLine="59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Impracticable</w:t>
      </w:r>
      <w:r>
        <w:rPr>
          <w:rFonts w:ascii="Times New Roman" w:cs="Times New Roman" w:eastAsia="Times New Roman" w:hAnsi="Times New Roman"/>
          <w:sz w:val="16"/>
          <w:szCs w:val="16"/>
          <w:color w:val="auto"/>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w:t>
      </w:r>
    </w:p>
    <w:p>
      <w:pPr>
        <w:spacing w:after="0" w:line="248" w:lineRule="auto"/>
        <w:tabs>
          <w:tab w:leader="none" w:pos="23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73"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68" w:lineRule="exact"/>
        <w:rPr>
          <w:sz w:val="20"/>
          <w:szCs w:val="20"/>
          <w:color w:val="auto"/>
        </w:rPr>
      </w:pPr>
    </w:p>
    <w:p>
      <w:pPr>
        <w:jc w:val="both"/>
        <w:ind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each person who the Company determines serves as a Company officer, as defined in Section 16 of the Securities Exchange Act of 1934, as amended.</w:t>
      </w:r>
    </w:p>
    <w:p>
      <w:pPr>
        <w:spacing w:after="0" w:line="151"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Other Recovery Arrangements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clawback, recoupment, forfeiture or similar policies or provisions of the Company or its affiliates, including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spacing w:after="0" w:line="164"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 w:cs="Times New Roman" w:eastAsia="Times New Roman" w:hAnsi="Times New Roman"/>
          <w:sz w:val="17"/>
          <w:szCs w:val="17"/>
          <w:i w:val="1"/>
          <w:iCs w:val="1"/>
          <w:color w:val="auto"/>
        </w:rPr>
        <w:t>.</w:t>
      </w:r>
    </w:p>
    <w:p>
      <w:pPr>
        <w:spacing w:after="0" w:line="164"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Three-Year Period</w:t>
      </w:r>
      <w:r>
        <w:rPr>
          <w:rFonts w:ascii="Times New Roman" w:cs="Times New Roman" w:eastAsia="Times New Roman" w:hAnsi="Times New Roman"/>
          <w:sz w:val="17"/>
          <w:szCs w:val="17"/>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 AND CONSENT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FOR RECOVERY OF ERRONEOUSLY AWARDED COMPENSATION</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undersigned has received a copy of the Policy for Recovery of Erroneously Awarded Compensation (the “Policy”) adopted by Taboola.com Ltd. (the “Company”), and has read and understands the Policy. Capitalized terms used but not defined herein shall have the meanings ascribed to such terms in the Policy.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a condition of receiving Incentive-Based Compensation from the Company, the undersigned agrees that any Incentive-Based Compensation received on or after the Effective Date is subject to recovery pursuant to the terms of the Policy. To the extent the Company’s recovery right conflicts with any other contractual rights the undersigned may have with the Company, the undersigned understands that the terms of the Policy shall supersede any such contractual rights. The terms of the Policy shall apply in addition to any right of recoupment against the undersigned under the Compensation Policy or applicable law and regulations.</w:t>
      </w:r>
    </w:p>
    <w:p>
      <w:pPr>
        <w:spacing w:after="0" w:line="17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12700</wp:posOffset>
            </wp:positionV>
            <wp:extent cx="142240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1422400" cy="15875"/>
                    </a:xfrm>
                    <a:prstGeom prst="rect">
                      <a:avLst/>
                    </a:prstGeom>
                    <a:noFill/>
                  </pic:spPr>
                </pic:pic>
              </a:graphicData>
            </a:graphic>
          </wp:anchor>
        </w:drawing>
      </w:r>
    </w:p>
    <w:p>
      <w:pPr>
        <w:spacing w:after="0" w:line="20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12700</wp:posOffset>
            </wp:positionV>
            <wp:extent cx="142240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1422400" cy="15875"/>
                    </a:xfrm>
                    <a:prstGeom prst="rect">
                      <a:avLst/>
                    </a:prstGeom>
                    <a:noFill/>
                  </pic:spPr>
                </pic:pic>
              </a:graphicData>
            </a:graphic>
          </wp:anchor>
        </w:drawing>
      </w:r>
    </w:p>
    <w:p>
      <w:pPr>
        <w:spacing w:after="0" w:line="20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12700</wp:posOffset>
            </wp:positionV>
            <wp:extent cx="142240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1422400" cy="1587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4311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lvl w:ilvl="1">
      <w:lvlJc w:val="left"/>
      <w:lvlText w:val="(%2)"/>
      <w:numFmt w:val="decimal"/>
      <w:start w:val="7"/>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amp;"/>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lowerLetter"/>
      <w:start w:val="4"/>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Roman"/>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emdash "/>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2"/>
    </w:lvl>
  </w:abstractNum>
  <w:abstractNum w:abstractNumId="44">
    <w:nsid w:val="10233C99"/>
    <w:multiLevelType w:val="hybridMultilevel"/>
    <w:lvl w:ilvl="0">
      <w:lvlJc w:val="left"/>
      <w:lvlText w:val="%1."/>
      <w:numFmt w:val="lowerLetter"/>
      <w:start w:val="3"/>
    </w:lvl>
  </w:abstractNum>
  <w:abstractNum w:abstractNumId="45">
    <w:nsid w:val="3F6AB60F"/>
    <w:multiLevelType w:val="hybridMultilevel"/>
    <w:lvl w:ilvl="0">
      <w:lvlJc w:val="left"/>
      <w:lvlText w:val="%1."/>
      <w:numFmt w:val="lowerLetter"/>
      <w:start w:val="4"/>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decimal"/>
      <w:start w:val="2"/>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3"/>
    </w:lvl>
  </w:abstractNum>
  <w:abstractNum w:abstractNumId="59">
    <w:nsid w:val="100F8FCA"/>
    <w:multiLevelType w:val="hybridMultilevel"/>
    <w:lvl w:ilvl="0">
      <w:lvlJc w:val="left"/>
      <w:lvlText w:val="%1."/>
      <w:numFmt w:val="decimal"/>
      <w:start w:val="4"/>
    </w:lvl>
  </w:abstractNum>
  <w:abstractNum w:abstractNumId="60">
    <w:nsid w:val="6590700B"/>
    <w:multiLevelType w:val="hybridMultilevel"/>
    <w:lvl w:ilvl="0">
      <w:lvlJc w:val="left"/>
      <w:lvlText w:val="%1."/>
      <w:numFmt w:val="decimal"/>
      <w:start w:val="7"/>
    </w:lvl>
  </w:abstractNum>
  <w:abstractNum w:abstractNumId="61">
    <w:nsid w:val="15014ACB"/>
    <w:multiLevelType w:val="hybridMultilevel"/>
    <w:lvl w:ilvl="0">
      <w:lvlJc w:val="left"/>
      <w:lvlText w:val="%1."/>
      <w:numFmt w:val="decimal"/>
      <w:start w:val="8"/>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lvl w:ilvl="1">
      <w:lvlJc w:val="left"/>
      <w:lvlText w:val="(%2)"/>
      <w:numFmt w:val="lowerLetter"/>
      <w:start w:val="1"/>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2"/>
    </w:lvl>
  </w:abstractNum>
  <w:abstractNum w:abstractNumId="67">
    <w:nsid w:val="168E121F"/>
    <w:multiLevelType w:val="hybridMultilevel"/>
    <w:lvl w:ilvl="0">
      <w:lvlJc w:val="left"/>
      <w:lvlText w:val="%1."/>
      <w:numFmt w:val="decimal"/>
      <w:start w:val="3"/>
    </w:lvl>
  </w:abstractNum>
  <w:abstractNum w:abstractNumId="68">
    <w:nsid w:val="1EBA5D23"/>
    <w:multiLevelType w:val="hybridMultilevel"/>
    <w:lvl w:ilvl="0">
      <w:lvlJc w:val="left"/>
      <w:lvlText w:val="%1."/>
      <w:numFmt w:val="decimal"/>
      <w:start w:val="4"/>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decimal"/>
      <w:start w:val="6"/>
    </w:lvl>
  </w:abstractNum>
  <w:abstractNum w:abstractNumId="71">
    <w:nsid w:val="540A471C"/>
    <w:multiLevelType w:val="hybridMultilevel"/>
    <w:lvl w:ilvl="0">
      <w:lvlJc w:val="left"/>
      <w:lvlText w:val="%1."/>
      <w:numFmt w:val="decimal"/>
      <w:start w:val="7"/>
    </w:lvl>
  </w:abstractNum>
  <w:abstractNum w:abstractNumId="72">
    <w:nsid w:val="7BD3EE7B"/>
    <w:multiLevelType w:val="hybridMultilevel"/>
    <w:lvl w:ilvl="0">
      <w:lvlJc w:val="left"/>
      <w:lvlText w:val="%1."/>
      <w:numFmt w:val="decimal"/>
      <w:start w:val="8"/>
    </w:lvl>
  </w:abstractNum>
  <w:abstractNum w:abstractNumId="73">
    <w:nsid w:val="51D9C564"/>
    <w:multiLevelType w:val="hybridMultilevel"/>
    <w:lvl w:ilvl="0">
      <w:lvlJc w:val="left"/>
      <w:lvlText w:val="%1."/>
      <w:numFmt w:val="decimal"/>
      <w:start w:val="9"/>
    </w:lvl>
  </w:abstractNum>
  <w:abstractNum w:abstractNumId="74">
    <w:nsid w:val="613EFDC5"/>
    <w:multiLevelType w:val="hybridMultilevel"/>
    <w:lvl w:ilvl="0">
      <w:lvlJc w:val="left"/>
      <w:lvlText w:val="%1."/>
      <w:numFmt w:val="decimal"/>
      <w:start w:val="10"/>
    </w:lvl>
  </w:abstractNum>
  <w:abstractNum w:abstractNumId="75">
    <w:nsid w:val="BF72B14"/>
    <w:multiLevelType w:val="hybridMultilevel"/>
    <w:lvl w:ilvl="0">
      <w:lvlJc w:val="left"/>
      <w:lvlText w:val="%1."/>
      <w:numFmt w:val="decimal"/>
      <w:start w:val="11"/>
    </w:lvl>
  </w:abstractNum>
  <w:abstractNum w:abstractNumId="76">
    <w:nsid w:val="11447B7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194" Type="http://schemas.openxmlformats.org/officeDocument/2006/relationships/hyperlink" Target="https://www.sec.gov/Archives/edgar/data/1840502/000114036123001725/brhc10046656_ex3-1.htm" TargetMode="External"/><Relationship Id="rId195" Type="http://schemas.openxmlformats.org/officeDocument/2006/relationships/hyperlink" Target="https://www.sec.gov/Archives/edgar/data/1840502/000114036121015334/nt10019597x7_ex4-5.htm" TargetMode="External"/><Relationship Id="rId196" Type="http://schemas.openxmlformats.org/officeDocument/2006/relationships/hyperlink" Target="https://www.sec.gov/Archives/edgar/data/1840502/000114036121015334/nt10019597x7_ex4-6.htm" TargetMode="External"/><Relationship Id="rId197" Type="http://schemas.openxmlformats.org/officeDocument/2006/relationships/hyperlink" Target="https://www.sec.gov/Archives/edgar/data/1840502/000114036121015334/nt10019597x7_ex10-10.htm" TargetMode="External"/><Relationship Id="rId198" Type="http://schemas.openxmlformats.org/officeDocument/2006/relationships/hyperlink" Target="https://www.sec.gov/Archives/edgar/data/1840502/000114036122010978/brhc10035439_ex4-5.htm" TargetMode="External"/><Relationship Id="rId199" Type="http://schemas.openxmlformats.org/officeDocument/2006/relationships/hyperlink" Target="https://www.sec.gov/Archives/edgar/data/1840502/000114036121015334/nt10019597x7_ex10-8.htm" TargetMode="External"/><Relationship Id="rId200" Type="http://schemas.openxmlformats.org/officeDocument/2006/relationships/hyperlink" Target="https://www.sec.gov/Archives/edgar/data/1840502/000114036121015334/nt10019597x7_ex10-9.htm" TargetMode="External"/><Relationship Id="rId201" Type="http://schemas.openxmlformats.org/officeDocument/2006/relationships/hyperlink" Target="https://www.sec.gov/Archives/edgar/data/1840502/000114036121029914/nt10026806x3_ex2-3.htm" TargetMode="External"/><Relationship Id="rId202" Type="http://schemas.openxmlformats.org/officeDocument/2006/relationships/hyperlink" Target="https://www.sec.gov/Archives/edgar/data/1840502/000114036121015334/nt10019597x7_ex4-10.htm" TargetMode="External"/><Relationship Id="rId203" Type="http://schemas.openxmlformats.org/officeDocument/2006/relationships/hyperlink" Target="https://www.sec.gov/Archives/edgar/data/1840502/000114036121030043/nt10026806x5_ex99-2.htm" TargetMode="External"/><Relationship Id="rId204" Type="http://schemas.openxmlformats.org/officeDocument/2006/relationships/hyperlink" Target="https://www.sec.gov/Archives/edgar/data/1840502/000114036121030043/nt10026806x5_ex99-3.htm" TargetMode="External"/><Relationship Id="rId205" Type="http://schemas.openxmlformats.org/officeDocument/2006/relationships/hyperlink" Target="https://www.sec.gov/Archives/edgar/data/1840502/000114036122030494/brhc10041063_ex99-1.htm" TargetMode="External"/><Relationship Id="rId206" Type="http://schemas.openxmlformats.org/officeDocument/2006/relationships/hyperlink" Target="https://www.sec.gov/Archives/edgar/data/1840502/000114036123038686/brhc20056716_ex10-2.htm" TargetMode="External"/><Relationship Id="rId207" Type="http://schemas.openxmlformats.org/officeDocument/2006/relationships/hyperlink" Target="https://www.sec.gov/Archives/edgar/data/1840502/000114036123001725/brhc10046656_ex10-1.htm" TargetMode="External"/><Relationship Id="rId208" Type="http://schemas.openxmlformats.org/officeDocument/2006/relationships/hyperlink" Target="https://www.sec.gov/Archives/edgar/data/1840502/000114036123001725/brhc10046656_ex10-2.htm" TargetMode="External"/><Relationship Id="rId209" Type="http://schemas.openxmlformats.org/officeDocument/2006/relationships/hyperlink" Target="https://www.sec.gov/Archives/edgar/data/1840502/000114036123011303/brhc10049391_ex10-12.htm" TargetMode="External"/><Relationship Id="rId210" Type="http://schemas.openxmlformats.org/officeDocument/2006/relationships/hyperlink" Target="https://www.sec.gov/Archives/edgar/data/1840502/000114036123038686/brhc20056716_ex10-1.htm" TargetMode="External"/><Relationship Id="rId211" Type="http://schemas.openxmlformats.org/officeDocument/2006/relationships/hyperlink" Target="https://www.sec.gov/Archives/edgar/data/1840502/000114036123011303/brhc10049391_ex10-14.htm" TargetMode="External"/><Relationship Id="rId212" Type="http://schemas.openxmlformats.org/officeDocument/2006/relationships/hyperlink" Target="https://www.sec.gov/Archives/edgar/data/1840502/000114036123011303/brhc10049391_ex10-15.htm" TargetMode="External"/><Relationship Id="rId213" Type="http://schemas.openxmlformats.org/officeDocument/2006/relationships/hyperlink" Target="https://www.sec.gov/Archives/edgar/data/1840502/000114036123011303/brhc10049391_ex10-16.htm" TargetMode="External"/><Relationship Id="rId214" Type="http://schemas.openxmlformats.org/officeDocument/2006/relationships/hyperlink" Target="https://www.sec.gov/Archives/edgar/data/1840502/000114036123011303/brhc10049391_ex10-17.htm" TargetMode="External"/><Relationship Id="rId215" Type="http://schemas.openxmlformats.org/officeDocument/2006/relationships/hyperlink" Target="https://www.sec.gov/Archives/edgar/data/1840502/000114036123011303/brhc10049391_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2024-02-28T05:49:41Z</dcterms:created>
  <dcterms:modified xsi:type="dcterms:W3CDTF">2024-02-28T05:49:41Z</dcterms:modified>
</cp:coreProperties>
</file>