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9, 2026</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TABOOLA.COM LTD.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10" w:type="dxa"/>
        <w:tblCellMar>
          <w:top w:w="0" w:type="dxa"/>
          <w:left w:w="0" w:type="dxa"/>
          <w:bottom w:w="0" w:type="dxa"/>
          <w:right w:w="0" w:type="dxa"/>
        </w:tblCellMar>
      </w:tblPr>
      <w:tr>
        <w:trPr>
          <w:trHeight w:val="225"/>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3820" w:type="dxa"/>
            <w:vAlign w:val="bottom"/>
            <w:tcBorders>
              <w:top w:val="single" w:sz="8" w:color="auto"/>
              <w:right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001-40566</w:t>
            </w:r>
          </w:p>
        </w:tc>
        <w:tc>
          <w:tcPr>
            <w:tcW w:w="36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41"/>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 Madison Square West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212-206-7633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02"/>
        </w:trPr>
        <w:tc>
          <w:tcPr>
            <w:tcW w:w="3760" w:type="dxa"/>
            <w:vAlign w:val="bottom"/>
            <w:tcBorders>
              <w:top w:val="single" w:sz="8" w:color="auto"/>
              <w:left w:val="single" w:sz="8" w:color="auto"/>
              <w:right w:val="single" w:sz="8" w:color="auto"/>
            </w:tcBorders>
          </w:tcPr>
          <w:p>
            <w:pPr>
              <w:spacing w:after="0"/>
              <w:rPr>
                <w:sz w:val="17"/>
                <w:szCs w:val="17"/>
                <w:color w:val="auto"/>
              </w:rPr>
            </w:pPr>
          </w:p>
        </w:tc>
        <w:tc>
          <w:tcPr>
            <w:tcW w:w="3800" w:type="dxa"/>
            <w:vAlign w:val="bottom"/>
            <w:tcBorders>
              <w:top w:val="single" w:sz="8" w:color="auto"/>
              <w:right w:val="single" w:sz="8" w:color="auto"/>
            </w:tcBorders>
          </w:tcPr>
          <w:p>
            <w:pPr>
              <w:spacing w:after="0"/>
              <w:rPr>
                <w:sz w:val="17"/>
                <w:szCs w:val="17"/>
                <w:color w:val="auto"/>
              </w:rPr>
            </w:pPr>
          </w:p>
        </w:tc>
        <w:tc>
          <w:tcPr>
            <w:tcW w:w="3680" w:type="dxa"/>
            <w:vAlign w:val="bottom"/>
            <w:tcBorders>
              <w:top w:val="single" w:sz="8" w:color="auto"/>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registered</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Ordinary shares, no par value</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TBLA</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r>
        <w:trPr>
          <w:trHeight w:val="223"/>
        </w:trPr>
        <w:tc>
          <w:tcPr>
            <w:tcW w:w="37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Warrants to purchase ordinary shares</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TBLAW</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Taboola.com Ltd. (the “Company”) announced the results of the Company’s Annual General Meeting of Shareholders (the “Meeting”), which was held online via live audio webcast at 9:00 a.m. (Eastern time) / 4:00 p.m. (Israel time) on June 9, 2026.</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At the Meeting, the Company’s shareholders voted upon and approved, by the requisite majority in accordance with the Israel Companies Law, 5759-1999 and the Company’s articles of association, the following matters: (i) the re-election of two Class II directors; (ii) the advisory proposal on executive compensation; (iii) the Compensation Policy for Executives and Directors of the Company; (iv) the compensation terms for our Chief Executive Officer (and Director); and (v) the re-appointment of Kost, Forer, Gabbay &amp; Kasierer, a member of Ernst &amp; Young Global, as the Company’s independent registered public accounting firm for the year ending December 31, 2026 and until the next annual general meeting of shareholders.</w:t>
      </w:r>
    </w:p>
    <w:p>
      <w:pPr>
        <w:spacing w:after="0" w:line="18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number of votes cast for or against and the number of abstentions and broker non-votes, as applicable, in connection with each matter presented for shareholder consideration at the Meeting, are set forth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1: Re-election of two Class II directors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0" w:type="dxa"/>
            <w:vAlign w:val="bottom"/>
            <w:tcBorders>
              <w:right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1780" w:type="dxa"/>
            <w:vAlign w:val="bottom"/>
            <w:tcBorders>
              <w:top w:val="single" w:sz="8" w:color="auto"/>
              <w:bottom w:val="single" w:sz="8" w:color="auto"/>
              <w:right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right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40" w:type="dxa"/>
            <w:vAlign w:val="bottom"/>
            <w:tcBorders>
              <w:top w:val="single" w:sz="8" w:color="auto"/>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440" w:type="dxa"/>
            <w:vAlign w:val="bottom"/>
            <w:tcBorders>
              <w:top w:val="single" w:sz="8" w:color="auto"/>
              <w:bottom w:val="single" w:sz="8" w:color="auto"/>
              <w:right w:val="single" w:sz="8" w:color="auto"/>
            </w:tcBorders>
          </w:tcPr>
          <w:p>
            <w:pPr>
              <w:spacing w:after="0"/>
              <w:rPr>
                <w:sz w:val="21"/>
                <w:szCs w:val="21"/>
                <w:color w:val="auto"/>
              </w:rPr>
            </w:pPr>
          </w:p>
        </w:tc>
        <w:tc>
          <w:tcPr>
            <w:tcW w:w="1500" w:type="dxa"/>
            <w:vAlign w:val="bottom"/>
            <w:tcBorders>
              <w:top w:val="single" w:sz="8" w:color="auto"/>
              <w:bottom w:val="single" w:sz="8" w:color="auto"/>
            </w:tcBorders>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740" w:type="dxa"/>
            <w:vAlign w:val="bottom"/>
            <w:tcBorders>
              <w:top w:val="single" w:sz="8" w:color="auto"/>
              <w:bottom w:val="single" w:sz="8" w:color="auto"/>
              <w:right w:val="single" w:sz="8" w:color="auto"/>
            </w:tcBorders>
          </w:tcPr>
          <w:p>
            <w:pPr>
              <w:spacing w:after="0"/>
              <w:rPr>
                <w:sz w:val="21"/>
                <w:szCs w:val="21"/>
                <w:color w:val="auto"/>
              </w:rPr>
            </w:pPr>
          </w:p>
        </w:tc>
        <w:tc>
          <w:tcPr>
            <w:tcW w:w="1700" w:type="dxa"/>
            <w:vAlign w:val="bottom"/>
            <w:tcBorders>
              <w:top w:val="single" w:sz="8" w:color="auto"/>
              <w:bottom w:val="single" w:sz="8" w:color="auto"/>
              <w:right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600" w:type="dxa"/>
            <w:vAlign w:val="bottom"/>
            <w:tcBorders>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Nechemia J. Peres</w:t>
            </w:r>
          </w:p>
        </w:tc>
        <w:tc>
          <w:tcPr>
            <w:tcW w:w="2120" w:type="dxa"/>
            <w:vAlign w:val="bottom"/>
            <w:tcBorders>
              <w:bottom w:val="single" w:sz="8" w:color="auto"/>
              <w:right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95,074,350</w:t>
            </w:r>
          </w:p>
        </w:tc>
        <w:tc>
          <w:tcPr>
            <w:tcW w:w="1240" w:type="dxa"/>
            <w:vAlign w:val="bottom"/>
            <w:tcBorders>
              <w:bottom w:val="single" w:sz="8" w:color="auto"/>
            </w:tcBorders>
            <w:gridSpan w:val="2"/>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27,496,480</w:t>
            </w:r>
          </w:p>
        </w:tc>
        <w:tc>
          <w:tcPr>
            <w:tcW w:w="440" w:type="dxa"/>
            <w:vAlign w:val="bottom"/>
            <w:tcBorders>
              <w:bottom w:val="single" w:sz="8" w:color="auto"/>
              <w:right w:val="single" w:sz="8" w:color="auto"/>
            </w:tcBorders>
            <w:shd w:val="clear" w:color="auto" w:fill="CCEEFF"/>
          </w:tcPr>
          <w:p>
            <w:pPr>
              <w:spacing w:after="0"/>
              <w:rPr>
                <w:sz w:val="19"/>
                <w:szCs w:val="19"/>
                <w:color w:val="auto"/>
              </w:rPr>
            </w:pPr>
          </w:p>
        </w:tc>
        <w:tc>
          <w:tcPr>
            <w:tcW w:w="15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767,842</w:t>
            </w:r>
          </w:p>
        </w:tc>
        <w:tc>
          <w:tcPr>
            <w:tcW w:w="740" w:type="dxa"/>
            <w:vAlign w:val="bottom"/>
            <w:tcBorders>
              <w:bottom w:val="single" w:sz="8" w:color="auto"/>
              <w:right w:val="single" w:sz="8" w:color="auto"/>
            </w:tcBorders>
            <w:shd w:val="clear" w:color="auto" w:fill="CCEEFF"/>
          </w:tcPr>
          <w:p>
            <w:pPr>
              <w:spacing w:after="0"/>
              <w:rPr>
                <w:sz w:val="19"/>
                <w:szCs w:val="19"/>
                <w:color w:val="auto"/>
              </w:rPr>
            </w:pPr>
          </w:p>
        </w:tc>
        <w:tc>
          <w:tcPr>
            <w:tcW w:w="1700" w:type="dxa"/>
            <w:vAlign w:val="bottom"/>
            <w:tcBorders>
              <w:bottom w:val="single" w:sz="8" w:color="auto"/>
              <w:right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8"/>
              </w:rPr>
              <w:t>46,673,320</w:t>
            </w:r>
          </w:p>
        </w:tc>
      </w:tr>
      <w:tr>
        <w:trPr>
          <w:trHeight w:val="223"/>
        </w:trPr>
        <w:tc>
          <w:tcPr>
            <w:tcW w:w="600" w:type="dxa"/>
            <w:vAlign w:val="bottom"/>
            <w:tcBorders>
              <w:right w:val="single" w:sz="8" w:color="auto"/>
            </w:tcBorders>
          </w:tcPr>
          <w:p>
            <w:pPr>
              <w:spacing w:after="0"/>
              <w:rPr>
                <w:sz w:val="19"/>
                <w:szCs w:val="19"/>
                <w:color w:val="auto"/>
              </w:rPr>
            </w:pPr>
          </w:p>
        </w:tc>
        <w:tc>
          <w:tcPr>
            <w:tcW w:w="2340" w:type="dxa"/>
            <w:vAlign w:val="bottom"/>
            <w:tcBorders>
              <w:bottom w:val="single" w:sz="8" w:color="auto"/>
              <w:righ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Gilad Shany</w:t>
            </w:r>
          </w:p>
        </w:tc>
        <w:tc>
          <w:tcPr>
            <w:tcW w:w="2120" w:type="dxa"/>
            <w:vAlign w:val="bottom"/>
            <w:tcBorders>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96,453,223</w:t>
            </w:r>
          </w:p>
        </w:tc>
        <w:tc>
          <w:tcPr>
            <w:tcW w:w="1240" w:type="dxa"/>
            <w:vAlign w:val="bottom"/>
            <w:tcBorders>
              <w:bottom w:val="single" w:sz="8" w:color="auto"/>
            </w:tcBorders>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8"/>
              </w:rPr>
              <w:t>25,578,895</w:t>
            </w:r>
          </w:p>
        </w:tc>
        <w:tc>
          <w:tcPr>
            <w:tcW w:w="440" w:type="dxa"/>
            <w:vAlign w:val="bottom"/>
            <w:tcBorders>
              <w:bottom w:val="single" w:sz="8" w:color="auto"/>
              <w:right w:val="single" w:sz="8" w:color="auto"/>
            </w:tcBorders>
          </w:tcPr>
          <w:p>
            <w:pPr>
              <w:spacing w:after="0"/>
              <w:rPr>
                <w:sz w:val="19"/>
                <w:szCs w:val="19"/>
                <w:color w:val="auto"/>
              </w:rPr>
            </w:pPr>
          </w:p>
        </w:tc>
        <w:tc>
          <w:tcPr>
            <w:tcW w:w="15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1,306,554</w:t>
            </w:r>
          </w:p>
        </w:tc>
        <w:tc>
          <w:tcPr>
            <w:tcW w:w="740" w:type="dxa"/>
            <w:vAlign w:val="bottom"/>
            <w:tcBorders>
              <w:bottom w:val="single" w:sz="8" w:color="auto"/>
              <w:right w:val="single" w:sz="8" w:color="auto"/>
            </w:tcBorders>
          </w:tcPr>
          <w:p>
            <w:pPr>
              <w:spacing w:after="0"/>
              <w:rPr>
                <w:sz w:val="19"/>
                <w:szCs w:val="19"/>
                <w:color w:val="auto"/>
              </w:rPr>
            </w:pPr>
          </w:p>
        </w:tc>
        <w:tc>
          <w:tcPr>
            <w:tcW w:w="1700" w:type="dxa"/>
            <w:vAlign w:val="bottom"/>
            <w:tcBorders>
              <w:bottom w:val="single" w:sz="8" w:color="auto"/>
              <w:right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46,673,320</w:t>
            </w:r>
          </w:p>
        </w:tc>
      </w:tr>
      <w:tr>
        <w:trPr>
          <w:trHeight w:val="432"/>
        </w:trPr>
        <w:tc>
          <w:tcPr>
            <w:tcW w:w="50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2: Advisory proposal on executive compensation</w:t>
            </w: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580" w:type="dxa"/>
            <w:vAlign w:val="bottom"/>
            <w:gridSpan w:val="2"/>
          </w:tcPr>
          <w:p>
            <w:pPr>
              <w:spacing w:after="0"/>
              <w:rPr>
                <w:sz w:val="19"/>
                <w:szCs w:val="19"/>
                <w:color w:val="auto"/>
              </w:rPr>
            </w:pPr>
          </w:p>
        </w:tc>
        <w:tc>
          <w:tcPr>
            <w:tcW w:w="360" w:type="dxa"/>
            <w:vAlign w:val="bottom"/>
          </w:tcPr>
          <w:p>
            <w:pPr>
              <w:spacing w:after="0"/>
              <w:rPr>
                <w:sz w:val="19"/>
                <w:szCs w:val="19"/>
                <w:color w:val="auto"/>
              </w:rPr>
            </w:pPr>
          </w:p>
        </w:tc>
        <w:tc>
          <w:tcPr>
            <w:tcW w:w="188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For</w:t>
            </w:r>
          </w:p>
        </w:tc>
        <w:tc>
          <w:tcPr>
            <w:tcW w:w="460" w:type="dxa"/>
            <w:vAlign w:val="bottom"/>
            <w:tcBorders>
              <w:top w:val="single" w:sz="8" w:color="auto"/>
              <w:bottom w:val="single" w:sz="8" w:color="auto"/>
              <w:right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580" w:type="dxa"/>
            <w:vAlign w:val="bottom"/>
            <w:tcBorders>
              <w:top w:val="single" w:sz="8" w:color="auto"/>
              <w:bottom w:val="single" w:sz="8" w:color="auto"/>
              <w:right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6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right w:val="single" w:sz="8" w:color="auto"/>
            </w:tcBorders>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560" w:type="dxa"/>
            <w:vAlign w:val="bottom"/>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780" w:type="dxa"/>
            <w:vAlign w:val="bottom"/>
            <w:tcBorders>
              <w:bottom w:val="single" w:sz="8" w:color="auto"/>
              <w:right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116,848,846</w:t>
            </w:r>
          </w:p>
        </w:tc>
        <w:tc>
          <w:tcPr>
            <w:tcW w:w="460" w:type="dxa"/>
            <w:vAlign w:val="bottom"/>
            <w:tcBorders>
              <w:bottom w:val="single" w:sz="8" w:color="auto"/>
              <w:right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CCEEFF"/>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5,965,232</w:t>
            </w:r>
          </w:p>
        </w:tc>
        <w:tc>
          <w:tcPr>
            <w:tcW w:w="580" w:type="dxa"/>
            <w:vAlign w:val="bottom"/>
            <w:tcBorders>
              <w:bottom w:val="single" w:sz="8" w:color="auto"/>
              <w:right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524,594</w:t>
            </w:r>
          </w:p>
        </w:tc>
        <w:tc>
          <w:tcPr>
            <w:tcW w:w="3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right w:val="single" w:sz="8" w:color="auto"/>
            </w:tcBorders>
            <w:gridSpan w:val="2"/>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8"/>
              </w:rPr>
              <w:t>46,673,320</w:t>
            </w:r>
          </w:p>
        </w:tc>
        <w:tc>
          <w:tcPr>
            <w:tcW w:w="560" w:type="dxa"/>
            <w:vAlign w:val="bottom"/>
          </w:tcPr>
          <w:p>
            <w:pPr>
              <w:spacing w:after="0"/>
              <w:rPr>
                <w:sz w:val="19"/>
                <w:szCs w:val="19"/>
                <w:color w:val="auto"/>
              </w:rPr>
            </w:pPr>
          </w:p>
        </w:tc>
      </w:tr>
      <w:tr>
        <w:trPr>
          <w:trHeight w:val="432"/>
        </w:trPr>
        <w:tc>
          <w:tcPr>
            <w:tcW w:w="63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3: Approval of Compensation Policy for Executives and Directors*</w:t>
            </w:r>
          </w:p>
        </w:tc>
        <w:tc>
          <w:tcPr>
            <w:tcW w:w="4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940" w:type="dxa"/>
            <w:vAlign w:val="bottom"/>
            <w:gridSpan w:val="3"/>
          </w:tcPr>
          <w:p>
            <w:pPr>
              <w:spacing w:after="0"/>
              <w:rPr>
                <w:sz w:val="19"/>
                <w:szCs w:val="19"/>
                <w:color w:val="auto"/>
              </w:rPr>
            </w:pPr>
          </w:p>
        </w:tc>
        <w:tc>
          <w:tcPr>
            <w:tcW w:w="2440" w:type="dxa"/>
            <w:vAlign w:val="bottom"/>
            <w:gridSpan w:val="3"/>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78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For</w:t>
            </w:r>
          </w:p>
        </w:tc>
        <w:tc>
          <w:tcPr>
            <w:tcW w:w="460" w:type="dxa"/>
            <w:vAlign w:val="bottom"/>
            <w:tcBorders>
              <w:top w:val="single" w:sz="8" w:color="auto"/>
              <w:bottom w:val="single" w:sz="8" w:color="auto"/>
              <w:right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580" w:type="dxa"/>
            <w:vAlign w:val="bottom"/>
            <w:tcBorders>
              <w:top w:val="single" w:sz="8" w:color="auto"/>
              <w:bottom w:val="single" w:sz="8" w:color="auto"/>
              <w:right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360" w:type="dxa"/>
            <w:vAlign w:val="bottom"/>
            <w:tcBorders>
              <w:top w:val="single" w:sz="8" w:color="auto"/>
              <w:bottom w:val="single" w:sz="8" w:color="auto"/>
            </w:tcBorders>
          </w:tcPr>
          <w:p>
            <w:pPr>
              <w:spacing w:after="0"/>
              <w:rPr>
                <w:sz w:val="19"/>
                <w:szCs w:val="19"/>
                <w:color w:val="auto"/>
              </w:rPr>
            </w:pPr>
          </w:p>
        </w:tc>
        <w:tc>
          <w:tcPr>
            <w:tcW w:w="1880" w:type="dxa"/>
            <w:vAlign w:val="bottom"/>
            <w:tcBorders>
              <w:top w:val="single" w:sz="8" w:color="auto"/>
              <w:bottom w:val="single" w:sz="8" w:color="auto"/>
              <w:right w:val="single" w:sz="8" w:color="auto"/>
            </w:tcBorders>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560" w:type="dxa"/>
            <w:vAlign w:val="bottom"/>
          </w:tcPr>
          <w:p>
            <w:pPr>
              <w:spacing w:after="0"/>
              <w:rPr>
                <w:sz w:val="19"/>
                <w:szCs w:val="19"/>
                <w:color w:val="auto"/>
              </w:rPr>
            </w:pPr>
          </w:p>
        </w:tc>
      </w:tr>
      <w:tr>
        <w:trPr>
          <w:trHeight w:val="223"/>
        </w:trPr>
        <w:tc>
          <w:tcPr>
            <w:tcW w:w="600" w:type="dxa"/>
            <w:vAlign w:val="bottom"/>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780" w:type="dxa"/>
            <w:vAlign w:val="bottom"/>
            <w:tcBorders>
              <w:bottom w:val="single" w:sz="8" w:color="auto"/>
              <w:right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94,075,407</w:t>
            </w:r>
          </w:p>
        </w:tc>
        <w:tc>
          <w:tcPr>
            <w:tcW w:w="460" w:type="dxa"/>
            <w:vAlign w:val="bottom"/>
            <w:tcBorders>
              <w:bottom w:val="single" w:sz="8" w:color="auto"/>
              <w:right w:val="single" w:sz="8" w:color="auto"/>
            </w:tcBorders>
            <w:shd w:val="clear" w:color="auto" w:fill="CCEEFF"/>
          </w:tcPr>
          <w:p>
            <w:pPr>
              <w:spacing w:after="0"/>
              <w:rPr>
                <w:sz w:val="19"/>
                <w:szCs w:val="19"/>
                <w:color w:val="auto"/>
              </w:rPr>
            </w:pPr>
          </w:p>
        </w:tc>
        <w:tc>
          <w:tcPr>
            <w:tcW w:w="1660" w:type="dxa"/>
            <w:vAlign w:val="bottom"/>
            <w:tcBorders>
              <w:bottom w:val="single" w:sz="8" w:color="auto"/>
              <w:right w:val="single" w:sz="8" w:color="CCEEFF"/>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6,019,060</w:t>
            </w:r>
          </w:p>
        </w:tc>
        <w:tc>
          <w:tcPr>
            <w:tcW w:w="580" w:type="dxa"/>
            <w:vAlign w:val="bottom"/>
            <w:tcBorders>
              <w:bottom w:val="single" w:sz="8" w:color="auto"/>
              <w:right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right w:val="single" w:sz="8" w:color="auto"/>
            </w:tcBorders>
            <w:gridSpan w:val="2"/>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23,244,205</w:t>
            </w:r>
          </w:p>
        </w:tc>
        <w:tc>
          <w:tcPr>
            <w:tcW w:w="36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right w:val="single" w:sz="8" w:color="auto"/>
            </w:tcBorders>
            <w:gridSpan w:val="2"/>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8"/>
              </w:rPr>
              <w:t>46,673,320</w:t>
            </w:r>
          </w:p>
        </w:tc>
        <w:tc>
          <w:tcPr>
            <w:tcW w:w="560" w:type="dxa"/>
            <w:vAlign w:val="bottom"/>
          </w:tcPr>
          <w:p>
            <w:pPr>
              <w:spacing w:after="0"/>
              <w:rPr>
                <w:sz w:val="19"/>
                <w:szCs w:val="19"/>
                <w:color w:val="auto"/>
              </w:rPr>
            </w:pPr>
          </w:p>
        </w:tc>
      </w:tr>
    </w:tbl>
    <w:p>
      <w:pPr>
        <w:spacing w:after="0" w:line="196" w:lineRule="exact"/>
        <w:rPr>
          <w:sz w:val="20"/>
          <w:szCs w:val="20"/>
          <w:color w:val="auto"/>
        </w:rPr>
      </w:pPr>
    </w:p>
    <w:p>
      <w:pPr>
        <w:ind w:firstLine="8"/>
        <w:spacing w:after="0" w:line="284" w:lineRule="auto"/>
        <w:tabs>
          <w:tab w:leader="none" w:pos="144"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required by Israeli law, Proposal 3 was approved by shareholders holding a majority of the ordinary shares of the Company (excluding abstentions) who were non-controlling shareholders and did not have a personal interest.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Proposal 4: Approval of the compensation terms for our Chief Executive Officer (and Director)</w:t>
      </w:r>
    </w:p>
    <w:p>
      <w:pPr>
        <w:spacing w:after="0" w:line="227" w:lineRule="exact"/>
        <w:rPr>
          <w:sz w:val="20"/>
          <w:szCs w:val="20"/>
          <w:color w:val="auto"/>
        </w:rPr>
      </w:pPr>
    </w:p>
    <w:tbl>
      <w:tblPr>
        <w:tblLayout w:type="fixed"/>
        <w:tblInd w:w="1150" w:type="dxa"/>
        <w:tblCellMar>
          <w:top w:w="0" w:type="dxa"/>
          <w:left w:w="0" w:type="dxa"/>
          <w:bottom w:w="0" w:type="dxa"/>
          <w:right w:w="0" w:type="dxa"/>
        </w:tblCellMar>
      </w:tblPr>
      <w:tr>
        <w:trPr>
          <w:trHeight w:val="250"/>
        </w:trPr>
        <w:tc>
          <w:tcPr>
            <w:tcW w:w="2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40" w:type="dxa"/>
            <w:vAlign w:val="bottom"/>
            <w:tcBorders>
              <w:top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r>
      <w:tr>
        <w:trPr>
          <w:trHeight w:val="223"/>
        </w:trPr>
        <w:tc>
          <w:tcPr>
            <w:tcW w:w="2260" w:type="dxa"/>
            <w:vAlign w:val="bottom"/>
            <w:tcBorders>
              <w:left w:val="single" w:sz="8" w:color="auto"/>
              <w:bottom w:val="single" w:sz="8" w:color="auto"/>
              <w:right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110,976,304</w:t>
            </w:r>
          </w:p>
        </w:tc>
        <w:tc>
          <w:tcPr>
            <w:tcW w:w="2240" w:type="dxa"/>
            <w:vAlign w:val="bottom"/>
            <w:tcBorders>
              <w:bottom w:val="single" w:sz="8" w:color="auto"/>
              <w:right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11,922,890</w:t>
            </w:r>
          </w:p>
        </w:tc>
        <w:tc>
          <w:tcPr>
            <w:tcW w:w="2240" w:type="dxa"/>
            <w:vAlign w:val="bottom"/>
            <w:tcBorders>
              <w:bottom w:val="single" w:sz="8" w:color="auto"/>
              <w:right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439,478</w:t>
            </w:r>
          </w:p>
        </w:tc>
        <w:tc>
          <w:tcPr>
            <w:tcW w:w="2240" w:type="dxa"/>
            <w:vAlign w:val="bottom"/>
            <w:tcBorders>
              <w:bottom w:val="single" w:sz="8" w:color="auto"/>
              <w:right w:val="single" w:sz="8" w:color="auto"/>
            </w:tcBorders>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46,673,320</w:t>
            </w:r>
          </w:p>
        </w:tc>
      </w:tr>
    </w:tbl>
    <w:p>
      <w:pPr>
        <w:spacing w:after="0" w:line="19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Proposal 5: Approval and re-appointment of Kost, Forer, Gabbay &amp; Kasierer, a member of Ernst &amp; Young Global, as the Company’s independent registered public accounting firm for the year ending December 31, 2026 and until the next annual general meeting of shareholders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160" w:type="dxa"/>
            <w:vAlign w:val="bottom"/>
            <w:tcBorders>
              <w:right w:val="single" w:sz="8" w:color="auto"/>
            </w:tcBorders>
          </w:tcPr>
          <w:p>
            <w:pPr>
              <w:spacing w:after="0"/>
              <w:rPr>
                <w:sz w:val="21"/>
                <w:szCs w:val="21"/>
                <w:color w:val="auto"/>
              </w:rPr>
            </w:pP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240" w:type="dxa"/>
            <w:vAlign w:val="bottom"/>
            <w:tcBorders>
              <w:top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240" w:type="dxa"/>
            <w:vAlign w:val="bottom"/>
            <w:tcBorders>
              <w:top w:val="single" w:sz="8" w:color="auto"/>
              <w:bottom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22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 Non-Votes</w:t>
            </w:r>
          </w:p>
        </w:tc>
        <w:tc>
          <w:tcPr>
            <w:tcW w:w="1120" w:type="dxa"/>
            <w:vAlign w:val="bottom"/>
          </w:tcPr>
          <w:p>
            <w:pPr>
              <w:spacing w:after="0"/>
              <w:rPr>
                <w:sz w:val="21"/>
                <w:szCs w:val="2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2240" w:type="dxa"/>
            <w:vAlign w:val="bottom"/>
            <w:tcBorders>
              <w:bottom w:val="single" w:sz="8" w:color="auto"/>
              <w:right w:val="single" w:sz="8" w:color="auto"/>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168,627,937</w:t>
            </w:r>
          </w:p>
        </w:tc>
        <w:tc>
          <w:tcPr>
            <w:tcW w:w="2240" w:type="dxa"/>
            <w:vAlign w:val="bottom"/>
            <w:tcBorders>
              <w:bottom w:val="single" w:sz="8" w:color="auto"/>
              <w:right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626,505</w:t>
            </w:r>
          </w:p>
        </w:tc>
        <w:tc>
          <w:tcPr>
            <w:tcW w:w="2240" w:type="dxa"/>
            <w:vAlign w:val="bottom"/>
            <w:tcBorders>
              <w:bottom w:val="single" w:sz="8" w:color="auto"/>
              <w:right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757,550</w:t>
            </w:r>
          </w:p>
        </w:tc>
        <w:tc>
          <w:tcPr>
            <w:tcW w:w="2240" w:type="dxa"/>
            <w:vAlign w:val="bottom"/>
            <w:tcBorders>
              <w:bottom w:val="single" w:sz="8" w:color="auto"/>
              <w:right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9"/>
                <w:szCs w:val="19"/>
                <w:color w:val="auto"/>
              </w:rPr>
            </w:pPr>
          </w:p>
        </w:tc>
      </w:tr>
      <w:tr>
        <w:trPr>
          <w:trHeight w:val="398"/>
        </w:trPr>
        <w:tc>
          <w:tcPr>
            <w:tcW w:w="11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TABOOLA.COM LTD.</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Stephen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26035</wp:posOffset>
            </wp:positionV>
            <wp:extent cx="33686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8675" cy="17145"/>
                    </a:xfrm>
                    <a:prstGeom prst="rect">
                      <a:avLst/>
                    </a:prstGeom>
                    <a:noFill/>
                  </pic:spPr>
                </pic:pic>
              </a:graphicData>
            </a:graphic>
          </wp:anchor>
        </w:drawing>
      </w:r>
    </w:p>
    <w:p>
      <w:pPr>
        <w:spacing w:after="0" w:line="3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Stephen Walker</w:t>
      </w:r>
    </w:p>
    <w:p>
      <w:pPr>
        <w:spacing w:after="0" w:line="27" w:lineRule="exact"/>
        <w:rPr>
          <w:sz w:val="20"/>
          <w:szCs w:val="20"/>
          <w:color w:val="auto"/>
        </w:rPr>
      </w:pPr>
    </w:p>
    <w:p>
      <w:pPr>
        <w:ind w:left="5940"/>
        <w:spacing w:after="0"/>
        <w:tabs>
          <w:tab w:leader="none" w:pos="64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600"/>
      </w:cols>
      <w:pgMar w:left="320" w:top="117"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2026-06-10T15:24:05Z</dcterms:created>
  <dcterms:modified xsi:type="dcterms:W3CDTF">2026-06-10T15:24:05Z</dcterms:modified>
</cp:coreProperties>
</file>