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261.xml.htm"/>
      <w:bookmarkStart w:id="1" w:name="kswkform4_17863922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LIMON ZVI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1943 LANDINGS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5"/>
        <w:gridCol w:w="774"/>
        <w:gridCol w:w="601"/>
        <w:gridCol w:w="348"/>
        <w:gridCol w:w="973"/>
        <w:gridCol w:w="453"/>
        <w:gridCol w:w="616"/>
        <w:gridCol w:w="1279"/>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38,046</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3,405,889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granted to the Reporting Person in connection with their service on the Issuer's Board of Directors. 100% of the RSUs shall vest on May 1, 2027, subject to the Reporting Person's continuous service through the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a trust for which the Reporting Person's spouse is the beneficiary. Reporting Person disclaims beneficial ownership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702"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3563</Characters>
  <CharactersWithSpaces>4146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