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Walker Stephen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 MADISON SQ W 7TH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Taboola.com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TBLA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tcPr>
          <w:p>
            <w:pPr>
              <w:ind w:left="4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 Securities</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 (Instr. 3</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6"/>
                <w:szCs w:val="6"/>
                <w:color w:val="auto"/>
              </w:rPr>
            </w:pPr>
          </w:p>
        </w:tc>
        <w:tc>
          <w:tcPr>
            <w:tcW w:w="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05/16/2026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113,071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w:t>
            </w:r>
          </w:p>
        </w:tc>
        <w:tc>
          <w:tcPr>
            <w:tcW w:w="1520" w:type="dxa"/>
            <w:vAlign w:val="bottom"/>
            <w:tcBorders>
              <w:bottom w:val="single" w:sz="8" w:color="2C2C2C"/>
            </w:tcBorders>
            <w:gridSpan w:val="3"/>
          </w:tcPr>
          <w:p>
            <w:pPr>
              <w:ind w:left="60"/>
              <w:spacing w:after="0" w:line="320" w:lineRule="exact"/>
              <w:rPr>
                <w:sz w:val="20"/>
                <w:szCs w:val="20"/>
                <w:color w:val="auto"/>
              </w:rPr>
            </w:pPr>
            <w:r>
              <w:rPr>
                <w:rFonts w:ascii="Times New Roman" w:cs="Times New Roman" w:eastAsia="Times New Roman" w:hAnsi="Times New Roman"/>
                <w:sz w:val="34"/>
                <w:szCs w:val="34"/>
                <w:color w:val="0000FF"/>
                <w:w w:val="92"/>
                <w:vertAlign w:val="subscript"/>
              </w:rPr>
              <w:t>3,160,434</w:t>
            </w:r>
            <w:r>
              <w:rPr>
                <w:rFonts w:ascii="Times New Roman" w:cs="Times New Roman" w:eastAsia="Times New Roman" w:hAnsi="Times New Roman"/>
                <w:sz w:val="11"/>
                <w:szCs w:val="11"/>
                <w:color w:val="008000"/>
                <w:w w:val="92"/>
              </w:rPr>
              <w:t>(2)(3)(4)(5)(6)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to satisfy tax withholding obligations in connection with the vesting of previously awarded Restricted Share Units ("RSUs"). No shares were sold.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1,084,942 ordinary shares.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111,696 RSUs which shall vest in equal quarterly installments through 2027,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280,869 RSUs which shall vest in equal quarterly installments through 2028,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661,240 RSUs which shall vest in equal quarterly installments through 2029,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1,021,687 RSUs which shall vest in equal quarterly installments through 2030, subject to the Reporting Person's provision of service to the Issuer on each vesting date. Each RSU represents the right to receive one ordinary share upon vesting and settlement.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Ferrantino,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3238" TargetMode="External"/><Relationship Id="rId14" Type="http://schemas.openxmlformats.org/officeDocument/2006/relationships/hyperlink" Target="http://www.sec.gov/cgi-bin/browse-edgar?action=getcompany&amp;CIK=0001840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2026-05-19T15:12:37Z</dcterms:created>
  <dcterms:modified xsi:type="dcterms:W3CDTF">2026-05-19T15:12:37Z</dcterms:modified>
</cp:coreProperties>
</file>