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2542.xml.htm"/>
      <w:bookmarkStart w:id="1" w:name="kswkform4_17863925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Peres Nechemia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BASEL STREET, P.O. BOX 3190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02"/>
        <w:gridCol w:w="771"/>
        <w:gridCol w:w="599"/>
        <w:gridCol w:w="350"/>
        <w:gridCol w:w="975"/>
        <w:gridCol w:w="459"/>
        <w:gridCol w:w="621"/>
        <w:gridCol w:w="1201"/>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38,046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283,873</w:t>
            </w:r>
            <w:r>
              <w:rPr>
                <w:rFonts w:ascii="Times;serif" w:hAnsi="Times;serif"/>
                <w:color w:val="008000"/>
                <w:position w:val="7"/>
                <w:sz w:val="16"/>
                <w:sz w:val="20"/>
                <w:shd w:fill="FFFFFF" w:val="clear"/>
              </w:rPr>
              <w:t>(2)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granted to the Reporting Person in connection with their service on the Issuer's Board of Directors. 100% of the RSUs shall vest on May 1, 2027, subject to the Reporting Person's continuous service through the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affiliated with Pitango Venture Capital ("Pitango"). Pitango related entities are shareholders in the Issuer. Other Pitango fund managers have a pecuniary interest in the reported shares. The Reporting Person disclaims beneficial ownership of such securities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1521"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3807</Characters>
  <CharactersWithSpaces>4439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